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2200663</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וחמש</w:t>
      </w:r>
      <w:bookmarkEnd w:id="1"/>
    </w:p>
    <w:p w14:paraId="7F6961A3" w14:textId="77777777" w:rsidR="00E13C27" w:rsidRPr="00F67051" w:rsidRDefault="00E13C27" w:rsidP="00E13C27">
      <w:pPr>
        <w:rPr>
          <w:b/>
          <w:bCs/>
          <w:sz w:val="26"/>
          <w:szCs w:val="26"/>
          <w:rtl/>
        </w:rPr>
      </w:pPr>
    </w:p>
    <w:p w14:paraId="7F6961AA" w14:textId="54C81EC3" w:rsidR="00E13C27" w:rsidRPr="00CF1AA2" w:rsidRDefault="008F6665" w:rsidP="00946F4F">
      <w:pPr>
        <w:pStyle w:val="David"/>
        <w:spacing w:before="102"/>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עודד פורר</w:t>
      </w:r>
      <w:r>
        <w:br/>
      </w:r>
      <w:r>
        <w:rPr>
          <w:rFonts w:hint="cs"/>
          <w:b/>
          <w:bCs/>
          <w:rtl/>
        </w:rPr>
        <w:t xml:space="preserve"> </w:t>
      </w:r>
      <w:r>
        <w:tab/>
      </w:r>
      <w:r>
        <w:tab/>
      </w:r>
      <w:r>
        <w:tab/>
      </w:r>
      <w:r>
        <w:tab/>
      </w:r>
      <w:r>
        <w:rPr>
          <w:rFonts w:hint="cs"/>
          <w:b/>
          <w:bCs/>
          <w:rtl/>
        </w:rPr>
        <w:t>אביגדור ליברמן</w:t>
      </w:r>
      <w:r>
        <w:br/>
      </w:r>
      <w:r>
        <w:rPr>
          <w:rFonts w:hint="cs"/>
          <w:b/>
          <w:bCs/>
          <w:rtl/>
        </w:rPr>
        <w:t xml:space="preserve"> </w:t>
      </w:r>
      <w:r>
        <w:tab/>
      </w:r>
      <w:r>
        <w:tab/>
      </w:r>
      <w:r>
        <w:tab/>
      </w:r>
      <w:r>
        <w:tab/>
      </w:r>
      <w:r>
        <w:rPr>
          <w:rFonts w:hint="cs"/>
          <w:b/>
          <w:bCs/>
          <w:rtl/>
        </w:rPr>
        <w:t>יבגני סובה</w:t>
      </w:r>
      <w:r>
        <w:br/>
      </w:r>
      <w:r>
        <w:rPr>
          <w:rFonts w:hint="cs"/>
          <w:b/>
          <w:bCs/>
          <w:rtl/>
        </w:rPr>
        <w:t xml:space="preserve"> </w:t>
      </w:r>
      <w:r>
        <w:tab/>
      </w:r>
      <w:r>
        <w:tab/>
      </w:r>
      <w:r>
        <w:tab/>
      </w:r>
      <w:r>
        <w:tab/>
      </w:r>
      <w:r>
        <w:rPr>
          <w:rFonts w:hint="cs"/>
          <w:b/>
          <w:bCs/>
          <w:rtl/>
        </w:rPr>
        <w:t>שרון ניר</w:t>
      </w:r>
      <w:r>
        <w:br/>
      </w:r>
      <w:r>
        <w:rPr>
          <w:rFonts w:hint="cs"/>
          <w:b/>
          <w:bCs/>
          <w:rtl/>
        </w:rPr>
        <w:t xml:space="preserve"> </w:t>
      </w:r>
      <w:r>
        <w:tab/>
      </w:r>
      <w:r>
        <w:tab/>
      </w:r>
      <w:r>
        <w:tab/>
      </w:r>
      <w:r>
        <w:tab/>
      </w:r>
      <w:r>
        <w:rPr>
          <w:rFonts w:hint="cs"/>
          <w:b/>
          <w:bCs/>
          <w:rtl/>
        </w:rPr>
        <w:t>חמד עמאר</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6F8699DB" w:rsidR="00E13C27" w:rsidRPr="00E06736" w:rsidRDefault="00946F4F" w:rsidP="00904591">
      <w:pPr>
        <w:pStyle w:val="David"/>
        <w:spacing w:line="240" w:lineRule="auto"/>
        <w:ind w:left="3544"/>
        <w:rPr>
          <w:rtl/>
        </w:rPr>
      </w:pPr>
      <w:r>
        <w:rPr>
          <w:rtl/>
        </w:rPr>
        <w:tab/>
      </w:r>
      <w:r>
        <w:rPr>
          <w:rFonts w:hint="cs"/>
          <w:rtl/>
        </w:rPr>
        <w:t xml:space="preserve">   </w:t>
      </w:r>
      <w:r w:rsidR="00904591">
        <w:t xml:space="preserve">                                            </w:t>
      </w:r>
      <w:r w:rsidR="008F1308">
        <w:t xml:space="preserve"> </w:t>
      </w:r>
      <w:bookmarkStart w:id="6" w:name="Private_Number"/>
      <w:r w:rsidR="00904591">
        <w:rPr>
          <w:rFonts w:hint="cs"/>
          <w:rtl/>
        </w:rPr>
        <w:t>פ/2198/25</w:t>
      </w:r>
      <w:bookmarkEnd w:id="6"/>
    </w:p>
    <w:p w14:paraId="66973C7E" w14:textId="77777777" w:rsidR="00FA262D" w:rsidRPr="00F67051" w:rsidRDefault="00FA262D" w:rsidP="00FA262D">
      <w:pPr>
        <w:pStyle w:val="HeadHatzaotHok"/>
        <w:rPr>
          <w:rtl/>
        </w:rPr>
      </w:pPr>
      <w:bookmarkStart w:id="7" w:name="LGS_Subject"/>
      <w:r>
        <w:rPr>
          <w:rFonts w:hint="cs"/>
          <w:rtl/>
        </w:rPr>
        <w:t>הצעת חוק העונשין (תיקון – עונש מוות למחבלים), התשפ"ג–2023</w:t>
      </w:r>
      <w:bookmarkEnd w:id="7"/>
    </w:p>
    <w:tbl>
      <w:tblPr>
        <w:tblpPr w:leftFromText="180" w:rightFromText="180" w:vertAnchor="text" w:horzAnchor="margin" w:tblpXSpec="right" w:tblpY="323"/>
        <w:tblOverlap w:val="never"/>
        <w:bidiVisual/>
        <w:tblW w:w="9636" w:type="dxa"/>
        <w:tblLayout w:type="fixed"/>
        <w:tblCellMar>
          <w:top w:w="57" w:type="dxa"/>
          <w:left w:w="0" w:type="dxa"/>
          <w:bottom w:w="57" w:type="dxa"/>
          <w:right w:w="0" w:type="dxa"/>
        </w:tblCellMar>
        <w:tblLook w:val="01E0" w:firstRow="1" w:lastRow="1" w:firstColumn="1" w:lastColumn="1" w:noHBand="0" w:noVBand="0"/>
      </w:tblPr>
      <w:tblGrid>
        <w:gridCol w:w="1869"/>
        <w:gridCol w:w="624"/>
        <w:gridCol w:w="624"/>
        <w:gridCol w:w="6519"/>
      </w:tblGrid>
      <w:tr w:rsidR="00C45C07" w:rsidRPr="00565DCE" w14:paraId="5EC8EDDD" w14:textId="77777777" w:rsidTr="00946F4F">
        <w:trPr>
          <w:cantSplit/>
        </w:trPr>
        <w:tc>
          <w:tcPr>
            <w:tcW w:w="1869" w:type="dxa"/>
            <w:hideMark/>
          </w:tcPr>
          <w:p w14:paraId="5CFCC960" w14:textId="77777777" w:rsidR="00C45C07" w:rsidRPr="000D4155" w:rsidRDefault="00C45C07" w:rsidP="000D50D5">
            <w:pPr>
              <w:pStyle w:val="TableSideHeading"/>
            </w:pPr>
            <w:r w:rsidRPr="000D4155">
              <w:rPr>
                <w:rFonts w:hint="cs"/>
                <w:rtl/>
              </w:rPr>
              <w:t>תיקון סעיף 301א</w:t>
            </w:r>
          </w:p>
        </w:tc>
        <w:tc>
          <w:tcPr>
            <w:tcW w:w="624" w:type="dxa"/>
            <w:hideMark/>
          </w:tcPr>
          <w:p w14:paraId="68C6581E" w14:textId="77777777" w:rsidR="00C45C07" w:rsidRPr="000D4155" w:rsidRDefault="00C45C07" w:rsidP="000D50D5">
            <w:pPr>
              <w:pStyle w:val="TableText"/>
              <w:jc w:val="both"/>
              <w:rPr>
                <w:rtl/>
              </w:rPr>
            </w:pPr>
            <w:r w:rsidRPr="000D4155">
              <w:rPr>
                <w:rFonts w:hint="cs"/>
                <w:rtl/>
              </w:rPr>
              <w:t>1.</w:t>
            </w:r>
          </w:p>
        </w:tc>
        <w:tc>
          <w:tcPr>
            <w:tcW w:w="7143" w:type="dxa"/>
            <w:gridSpan w:val="2"/>
            <w:hideMark/>
          </w:tcPr>
          <w:p w14:paraId="1C2F547D" w14:textId="77777777" w:rsidR="00C45C07" w:rsidRPr="000D4155" w:rsidRDefault="00C45C07" w:rsidP="000D50D5">
            <w:pPr>
              <w:pStyle w:val="TableBlock"/>
              <w:rPr>
                <w:rtl/>
              </w:rPr>
            </w:pPr>
            <w:r w:rsidRPr="000D4155">
              <w:rPr>
                <w:rFonts w:hint="cs"/>
                <w:rtl/>
              </w:rPr>
              <w:t>בחוק העונשין, התשל"ז–1977</w:t>
            </w:r>
            <w:r w:rsidRPr="000D4155">
              <w:rPr>
                <w:vertAlign w:val="superscript"/>
                <w:rtl/>
              </w:rPr>
              <w:footnoteReference w:id="2"/>
            </w:r>
            <w:r w:rsidRPr="000D4155">
              <w:rPr>
                <w:rFonts w:hint="cs"/>
                <w:rtl/>
              </w:rPr>
              <w:t>, בסעיף 301א, אחרי סעיף קטן (ב) יבוא:</w:t>
            </w:r>
          </w:p>
        </w:tc>
      </w:tr>
      <w:tr w:rsidR="00C45C07" w:rsidRPr="00565DCE" w14:paraId="35E3914D" w14:textId="77777777" w:rsidTr="00946F4F">
        <w:trPr>
          <w:cantSplit/>
        </w:trPr>
        <w:tc>
          <w:tcPr>
            <w:tcW w:w="1869" w:type="dxa"/>
            <w:hideMark/>
          </w:tcPr>
          <w:p w14:paraId="5D5A28CD" w14:textId="77777777" w:rsidR="00C45C07" w:rsidRPr="000D4155" w:rsidRDefault="00C45C07" w:rsidP="000D50D5">
            <w:pPr>
              <w:pStyle w:val="TableSideHeading"/>
              <w:rPr>
                <w:rtl/>
              </w:rPr>
            </w:pPr>
          </w:p>
        </w:tc>
        <w:tc>
          <w:tcPr>
            <w:tcW w:w="624" w:type="dxa"/>
            <w:hideMark/>
          </w:tcPr>
          <w:p w14:paraId="66DC216E" w14:textId="77777777" w:rsidR="00C45C07" w:rsidRPr="000D4155" w:rsidRDefault="00C45C07" w:rsidP="000D50D5">
            <w:pPr>
              <w:pStyle w:val="TableText"/>
              <w:jc w:val="both"/>
            </w:pPr>
          </w:p>
        </w:tc>
        <w:tc>
          <w:tcPr>
            <w:tcW w:w="7143" w:type="dxa"/>
            <w:gridSpan w:val="2"/>
            <w:hideMark/>
          </w:tcPr>
          <w:p w14:paraId="25FB5473" w14:textId="77777777" w:rsidR="00C45C07" w:rsidRPr="000D4155" w:rsidRDefault="00C45C07" w:rsidP="000D50D5">
            <w:pPr>
              <w:pStyle w:val="TableBlock"/>
            </w:pPr>
            <w:r w:rsidRPr="000D4155">
              <w:rPr>
                <w:rFonts w:hint="cs"/>
                <w:rtl/>
              </w:rPr>
              <w:t>"(ג)</w:t>
            </w:r>
            <w:r w:rsidRPr="000D4155">
              <w:rPr>
                <w:rFonts w:hint="cs"/>
                <w:rtl/>
              </w:rPr>
              <w:tab/>
              <w:t xml:space="preserve">על אף הוראות סעיף קטן (א), </w:t>
            </w:r>
            <w:r w:rsidRPr="000D4155">
              <w:rPr>
                <w:rtl/>
              </w:rPr>
              <w:t xml:space="preserve">הגורם בכוונה או באדישות למותו של </w:t>
            </w:r>
            <w:r w:rsidRPr="000D4155">
              <w:rPr>
                <w:rFonts w:hint="cs"/>
                <w:rtl/>
              </w:rPr>
              <w:t xml:space="preserve">אזרח ישראל כשהמעשה נעשה </w:t>
            </w:r>
            <w:r w:rsidRPr="000D4155">
              <w:rPr>
                <w:rtl/>
              </w:rPr>
              <w:t>מתוך מניע של גזענות או עוינות כלפי ציבור, כאמור בסעיף 14</w:t>
            </w:r>
            <w:r w:rsidRPr="000D4155">
              <w:rPr>
                <w:rFonts w:hint="cs"/>
                <w:rtl/>
              </w:rPr>
              <w:t>4ו לחוק זה, ומתוך מטרה לפגוע במדינת ישראל ובתקומת העם היהודי בארצו,</w:t>
            </w:r>
            <w:r w:rsidRPr="000D4155">
              <w:rPr>
                <w:rtl/>
              </w:rPr>
              <w:t xml:space="preserve"> דינו – </w:t>
            </w:r>
            <w:r w:rsidRPr="000D4155">
              <w:rPr>
                <w:rFonts w:hint="cs"/>
                <w:rtl/>
              </w:rPr>
              <w:t>מיתה, ועונש זה בלבד."</w:t>
            </w:r>
          </w:p>
        </w:tc>
      </w:tr>
      <w:tr w:rsidR="00C45C07" w:rsidRPr="00565DCE" w14:paraId="24FBA87A" w14:textId="77777777" w:rsidTr="00946F4F">
        <w:trPr>
          <w:cantSplit/>
        </w:trPr>
        <w:tc>
          <w:tcPr>
            <w:tcW w:w="1869" w:type="dxa"/>
            <w:hideMark/>
          </w:tcPr>
          <w:p w14:paraId="764A026C" w14:textId="77777777" w:rsidR="00C45C07" w:rsidRPr="000D4155" w:rsidRDefault="00C45C07" w:rsidP="000D50D5">
            <w:pPr>
              <w:pStyle w:val="TableSideHeading"/>
              <w:rPr>
                <w:rtl/>
              </w:rPr>
            </w:pPr>
            <w:r w:rsidRPr="000D4155">
              <w:rPr>
                <w:rFonts w:hint="cs"/>
                <w:rtl/>
              </w:rPr>
              <w:t>הוראות  לגבי האזור</w:t>
            </w:r>
          </w:p>
        </w:tc>
        <w:tc>
          <w:tcPr>
            <w:tcW w:w="624" w:type="dxa"/>
            <w:hideMark/>
          </w:tcPr>
          <w:p w14:paraId="104BE611" w14:textId="77777777" w:rsidR="00C45C07" w:rsidRPr="000D4155" w:rsidRDefault="00C45C07" w:rsidP="000D50D5">
            <w:pPr>
              <w:pStyle w:val="TableText"/>
              <w:jc w:val="both"/>
              <w:rPr>
                <w:rtl/>
              </w:rPr>
            </w:pPr>
            <w:r w:rsidRPr="000D4155">
              <w:rPr>
                <w:rFonts w:hint="cs"/>
                <w:rtl/>
              </w:rPr>
              <w:t>2.</w:t>
            </w:r>
          </w:p>
        </w:tc>
        <w:tc>
          <w:tcPr>
            <w:tcW w:w="7143" w:type="dxa"/>
            <w:gridSpan w:val="2"/>
            <w:hideMark/>
          </w:tcPr>
          <w:p w14:paraId="4AC5E554" w14:textId="77777777" w:rsidR="00C45C07" w:rsidRPr="000D4155" w:rsidRDefault="00C45C07" w:rsidP="000D50D5">
            <w:pPr>
              <w:pStyle w:val="TableBlock"/>
              <w:rPr>
                <w:rtl/>
              </w:rPr>
            </w:pPr>
            <w:r w:rsidRPr="000D4155">
              <w:rPr>
                <w:rFonts w:hint="cs"/>
                <w:rtl/>
              </w:rPr>
              <w:t>(א)</w:t>
            </w:r>
            <w:r w:rsidRPr="000D4155">
              <w:rPr>
                <w:rFonts w:hint="cs"/>
                <w:rtl/>
              </w:rPr>
              <w:tab/>
              <w:t>בסעיף זה, "אזור" – כהגדרתו בחוק לתיקון ולהארכת תוקפן של תקנות שעת חירום (יהודה והשומרון – שיפוט בעבירות ועזרה משפטית), התשס"ז–2007</w:t>
            </w:r>
            <w:r w:rsidRPr="000D4155">
              <w:rPr>
                <w:vertAlign w:val="superscript"/>
                <w:rtl/>
              </w:rPr>
              <w:footnoteReference w:id="3"/>
            </w:r>
            <w:r w:rsidRPr="000D4155">
              <w:rPr>
                <w:rFonts w:hint="cs"/>
                <w:rtl/>
              </w:rPr>
              <w:t>.</w:t>
            </w:r>
          </w:p>
        </w:tc>
      </w:tr>
      <w:tr w:rsidR="00C45C07" w:rsidRPr="00565DCE" w14:paraId="663E930B" w14:textId="77777777" w:rsidTr="00946F4F">
        <w:trPr>
          <w:cantSplit/>
        </w:trPr>
        <w:tc>
          <w:tcPr>
            <w:tcW w:w="1869" w:type="dxa"/>
          </w:tcPr>
          <w:p w14:paraId="657B0571" w14:textId="77777777" w:rsidR="00C45C07" w:rsidRPr="000D4155" w:rsidRDefault="00C45C07" w:rsidP="000D50D5">
            <w:pPr>
              <w:pStyle w:val="TableSideHeading"/>
              <w:rPr>
                <w:rtl/>
              </w:rPr>
            </w:pPr>
          </w:p>
        </w:tc>
        <w:tc>
          <w:tcPr>
            <w:tcW w:w="624" w:type="dxa"/>
          </w:tcPr>
          <w:p w14:paraId="3B8CB7F0" w14:textId="77777777" w:rsidR="00C45C07" w:rsidRPr="000D4155" w:rsidRDefault="00C45C07" w:rsidP="000D50D5">
            <w:pPr>
              <w:pStyle w:val="TableText"/>
              <w:jc w:val="both"/>
              <w:rPr>
                <w:rtl/>
              </w:rPr>
            </w:pPr>
          </w:p>
        </w:tc>
        <w:tc>
          <w:tcPr>
            <w:tcW w:w="7143" w:type="dxa"/>
            <w:gridSpan w:val="2"/>
            <w:hideMark/>
          </w:tcPr>
          <w:p w14:paraId="20793DA4" w14:textId="77777777" w:rsidR="00C45C07" w:rsidRPr="000D4155" w:rsidRDefault="00C45C07" w:rsidP="000D50D5">
            <w:pPr>
              <w:pStyle w:val="TableBlock"/>
              <w:rPr>
                <w:rtl/>
              </w:rPr>
            </w:pPr>
            <w:r w:rsidRPr="000D4155">
              <w:rPr>
                <w:rFonts w:hint="cs"/>
                <w:rtl/>
              </w:rPr>
              <w:t>(ב)</w:t>
            </w:r>
            <w:r w:rsidRPr="000D4155">
              <w:rPr>
                <w:rFonts w:hint="cs"/>
                <w:rtl/>
              </w:rPr>
              <w:tab/>
              <w:t>שר הביטחון יורה למפקד כוחות צבא ההגנה לישראל באזור להורות בצו –</w:t>
            </w:r>
          </w:p>
        </w:tc>
      </w:tr>
      <w:tr w:rsidR="00C45C07" w:rsidRPr="00565DCE" w14:paraId="29840746" w14:textId="77777777" w:rsidTr="00946F4F">
        <w:trPr>
          <w:cantSplit/>
        </w:trPr>
        <w:tc>
          <w:tcPr>
            <w:tcW w:w="1869" w:type="dxa"/>
          </w:tcPr>
          <w:p w14:paraId="099BFE5E" w14:textId="77777777" w:rsidR="00C45C07" w:rsidRPr="000D4155" w:rsidRDefault="00C45C07" w:rsidP="000D50D5">
            <w:pPr>
              <w:pStyle w:val="TableSideHeading"/>
              <w:rPr>
                <w:rtl/>
              </w:rPr>
            </w:pPr>
          </w:p>
        </w:tc>
        <w:tc>
          <w:tcPr>
            <w:tcW w:w="624" w:type="dxa"/>
          </w:tcPr>
          <w:p w14:paraId="407A08CE" w14:textId="77777777" w:rsidR="00C45C07" w:rsidRPr="000D4155" w:rsidRDefault="00C45C07" w:rsidP="000D50D5">
            <w:pPr>
              <w:pStyle w:val="TableText"/>
              <w:jc w:val="both"/>
            </w:pPr>
          </w:p>
        </w:tc>
        <w:tc>
          <w:tcPr>
            <w:tcW w:w="624" w:type="dxa"/>
          </w:tcPr>
          <w:p w14:paraId="24B0AA91" w14:textId="77777777" w:rsidR="00C45C07" w:rsidRPr="000D4155" w:rsidRDefault="00C45C07" w:rsidP="000D50D5">
            <w:pPr>
              <w:pStyle w:val="TableText"/>
              <w:jc w:val="both"/>
            </w:pPr>
          </w:p>
        </w:tc>
        <w:tc>
          <w:tcPr>
            <w:tcW w:w="6519" w:type="dxa"/>
            <w:hideMark/>
          </w:tcPr>
          <w:p w14:paraId="288C4D73" w14:textId="77777777" w:rsidR="00C45C07" w:rsidRPr="000D4155" w:rsidRDefault="00C45C07" w:rsidP="000D50D5">
            <w:pPr>
              <w:pStyle w:val="TableBlock"/>
            </w:pPr>
            <w:r w:rsidRPr="000D4155">
              <w:rPr>
                <w:rFonts w:hint="cs"/>
                <w:rtl/>
              </w:rPr>
              <w:t>(1)</w:t>
            </w:r>
            <w:r w:rsidRPr="000D4155">
              <w:rPr>
                <w:rFonts w:hint="cs"/>
                <w:rtl/>
              </w:rPr>
              <w:tab/>
              <w:t>כי סמכותו של מותב של בית משפט צבאי באזור לגזור על נאשם עונש מוות לא תותנה בכך שגזר הדין ניתן פה אחד, וניתן יהיה לגזור עונש כאמור ברוב רגיל של שופטי המותב;</w:t>
            </w:r>
          </w:p>
        </w:tc>
      </w:tr>
      <w:tr w:rsidR="00C45C07" w:rsidRPr="00565DCE" w14:paraId="1D97E874" w14:textId="77777777" w:rsidTr="00946F4F">
        <w:trPr>
          <w:cantSplit/>
        </w:trPr>
        <w:tc>
          <w:tcPr>
            <w:tcW w:w="1869" w:type="dxa"/>
          </w:tcPr>
          <w:p w14:paraId="4917E1BE" w14:textId="77777777" w:rsidR="00C45C07" w:rsidRPr="000D4155" w:rsidRDefault="00C45C07" w:rsidP="000D50D5">
            <w:pPr>
              <w:pStyle w:val="TableSideHeading"/>
              <w:rPr>
                <w:rtl/>
              </w:rPr>
            </w:pPr>
          </w:p>
        </w:tc>
        <w:tc>
          <w:tcPr>
            <w:tcW w:w="624" w:type="dxa"/>
          </w:tcPr>
          <w:p w14:paraId="343C23A5" w14:textId="77777777" w:rsidR="00C45C07" w:rsidRPr="000D4155" w:rsidRDefault="00C45C07" w:rsidP="000D50D5">
            <w:pPr>
              <w:pStyle w:val="TableText"/>
              <w:jc w:val="both"/>
            </w:pPr>
          </w:p>
        </w:tc>
        <w:tc>
          <w:tcPr>
            <w:tcW w:w="624" w:type="dxa"/>
          </w:tcPr>
          <w:p w14:paraId="023040D2" w14:textId="77777777" w:rsidR="00C45C07" w:rsidRPr="000D4155" w:rsidRDefault="00C45C07" w:rsidP="000D50D5">
            <w:pPr>
              <w:pStyle w:val="TableText"/>
              <w:jc w:val="both"/>
            </w:pPr>
          </w:p>
        </w:tc>
        <w:tc>
          <w:tcPr>
            <w:tcW w:w="6519" w:type="dxa"/>
            <w:hideMark/>
          </w:tcPr>
          <w:p w14:paraId="10335D88" w14:textId="77777777" w:rsidR="00C45C07" w:rsidRPr="000D4155" w:rsidRDefault="00C45C07" w:rsidP="000D50D5">
            <w:pPr>
              <w:pStyle w:val="TableBlock"/>
              <w:rPr>
                <w:rtl/>
              </w:rPr>
            </w:pPr>
            <w:r w:rsidRPr="000D4155">
              <w:rPr>
                <w:rFonts w:hint="cs"/>
                <w:rtl/>
              </w:rPr>
              <w:t>(2)</w:t>
            </w:r>
            <w:r w:rsidRPr="000D4155">
              <w:rPr>
                <w:rFonts w:hint="cs"/>
                <w:rtl/>
              </w:rPr>
              <w:tab/>
              <w:t xml:space="preserve">כי לא ניתן יהיה להקל בעונשו של מי שנגזר עליו עונש מוות בגזר דין סופי בבית משפט צבאי באזור. </w:t>
            </w:r>
          </w:p>
        </w:tc>
      </w:tr>
    </w:tbl>
    <w:p w14:paraId="7F6961CA" w14:textId="77777777" w:rsidR="002D1EE3" w:rsidRDefault="002D1EE3" w:rsidP="002D1EE3">
      <w:pPr>
        <w:pStyle w:val="HeadDivreiHesber"/>
        <w:rPr>
          <w:rtl/>
        </w:rPr>
      </w:pPr>
      <w:r w:rsidRPr="0027450A">
        <w:rPr>
          <w:rFonts w:hint="cs"/>
          <w:rtl/>
        </w:rPr>
        <w:t>דברי הסבר</w:t>
      </w:r>
    </w:p>
    <w:p w14:paraId="1E4CF072" w14:textId="77777777" w:rsidR="00C45C07" w:rsidRPr="005516DC" w:rsidRDefault="00C45C07" w:rsidP="00C45C07">
      <w:pPr>
        <w:pStyle w:val="Hesber"/>
        <w:rPr>
          <w:rtl/>
        </w:rPr>
      </w:pPr>
      <w:r w:rsidRPr="005516DC">
        <w:rPr>
          <w:rtl/>
        </w:rPr>
        <w:t>בשנים האחרונות אנו עדים לתופעה הולכת ונרחבת של פעולות טרור של רצח יהודים, אך בשל היותם יהודים. המשותף לכל אירוע הטרור הללו – רצח יהודים אך בשל היותם יהודים אזרחי המדינה, מתוך מטרה לפגוע במדינת ישראל ובתקומת העם היהודי בארצו.</w:t>
      </w:r>
    </w:p>
    <w:p w14:paraId="08B10EFF" w14:textId="77777777" w:rsidR="00C45C07" w:rsidRPr="005516DC" w:rsidRDefault="00C45C07" w:rsidP="00C45C07">
      <w:pPr>
        <w:pStyle w:val="Hesber"/>
        <w:rPr>
          <w:rtl/>
        </w:rPr>
      </w:pPr>
      <w:r w:rsidRPr="005516DC">
        <w:rPr>
          <w:rtl/>
        </w:rPr>
        <w:lastRenderedPageBreak/>
        <w:t>לאחר כל אירוע טרור, מבטיחים ראשי מערכת הביטחון כי "זרועה הארוכה של מדינת ישראל תבוא חשבון עם המרצחים". דא עקא, שבפועל – כלל המרצחים זוכים לתנאים משופרים בבתי הכלא, למשכורות מהרשות הפלסטינית, ובבוא העת רובם משוחררים בעסקאות כאלה ואחרות.</w:t>
      </w:r>
    </w:p>
    <w:p w14:paraId="0B990E5A" w14:textId="77777777" w:rsidR="00C45C07" w:rsidRPr="005516DC" w:rsidRDefault="00C45C07" w:rsidP="00C45C07">
      <w:pPr>
        <w:pStyle w:val="Hesber"/>
        <w:rPr>
          <w:rtl/>
        </w:rPr>
      </w:pPr>
      <w:r w:rsidRPr="005516DC">
        <w:rPr>
          <w:rtl/>
        </w:rPr>
        <w:t xml:space="preserve">מטרתה של הצעת חוק זו לגדוע את הטרור באיבו, ולייצר הרתעה כבדת משקל. לא עוד בתי כליאה עם תנאי </w:t>
      </w:r>
      <w:r w:rsidRPr="005516DC">
        <w:rPr>
          <w:rFonts w:hint="cs"/>
          <w:rtl/>
        </w:rPr>
        <w:t>"</w:t>
      </w:r>
      <w:r w:rsidRPr="005516DC">
        <w:rPr>
          <w:rtl/>
        </w:rPr>
        <w:t>הכל כלול</w:t>
      </w:r>
      <w:r w:rsidRPr="005516DC">
        <w:rPr>
          <w:rFonts w:hint="cs"/>
          <w:rtl/>
        </w:rPr>
        <w:t>"</w:t>
      </w:r>
      <w:r w:rsidRPr="005516DC">
        <w:rPr>
          <w:rtl/>
        </w:rPr>
        <w:t>. לא עוד שחרורי מחבלים אחרי ריצוי מחצית העונש. לפי הצעה זו – טרוריסט שיורשע ברצח מתוך מניע של גזענות או עוינות כלפי ציבור, ובנסיבות שבהן המעשה נעשה מתוך מטרה לפגוע במדינת ישראל ובתקומת העם היהודי בארצו, ידון לעונש מיתה – חובה. לא רשות, ולא בשיקול דעת. עונש חובה.</w:t>
      </w:r>
      <w:r w:rsidRPr="005516DC">
        <w:rPr>
          <w:rFonts w:hint="cs"/>
          <w:rtl/>
        </w:rPr>
        <w:t xml:space="preserve"> כמו כן, ההצעה מבקשת לשנות את הדין החל באזור, ולקבוע כי ניתן יהיה לגזור עונש מוות גם ברוב דעות, וכי לא ניתן יהיה להקל בעונשו של מי שקיבל גזר דין סופי. </w:t>
      </w:r>
    </w:p>
    <w:p w14:paraId="6EC68354" w14:textId="6CE86947" w:rsidR="000D0FFE" w:rsidRPr="005516DC" w:rsidRDefault="000D0FFE" w:rsidP="000D0FFE">
      <w:pPr>
        <w:pStyle w:val="Hesber"/>
        <w:rPr>
          <w:rtl/>
        </w:rPr>
      </w:pPr>
      <w:r w:rsidRPr="005516DC">
        <w:rPr>
          <w:rtl/>
        </w:rPr>
        <w:t>הצע</w:t>
      </w:r>
      <w:r>
        <w:rPr>
          <w:rFonts w:hint="cs"/>
          <w:rtl/>
        </w:rPr>
        <w:t>ו</w:t>
      </w:r>
      <w:r>
        <w:rPr>
          <w:rtl/>
        </w:rPr>
        <w:t>ת חוק זה</w:t>
      </w:r>
      <w:r>
        <w:rPr>
          <w:rFonts w:hint="cs"/>
          <w:rtl/>
        </w:rPr>
        <w:t>ות</w:t>
      </w:r>
      <w:r>
        <w:rPr>
          <w:rtl/>
        </w:rPr>
        <w:t xml:space="preserve"> הונח</w:t>
      </w:r>
      <w:r>
        <w:rPr>
          <w:rFonts w:hint="cs"/>
          <w:rtl/>
        </w:rPr>
        <w:t>ו</w:t>
      </w:r>
      <w:r w:rsidRPr="005516DC">
        <w:rPr>
          <w:rtl/>
        </w:rPr>
        <w:t xml:space="preserve"> על שולחן הכנסת העשרים וארבע על ידי חבר הכנסת </w:t>
      </w:r>
      <w:r w:rsidRPr="005516DC">
        <w:rPr>
          <w:rFonts w:hint="cs"/>
          <w:rtl/>
        </w:rPr>
        <w:t xml:space="preserve">איתמר בן גביר וקבוצת חברי הכנסת </w:t>
      </w:r>
      <w:r w:rsidRPr="005516DC">
        <w:rPr>
          <w:rtl/>
        </w:rPr>
        <w:t>(פ/</w:t>
      </w:r>
      <w:r w:rsidRPr="005516DC">
        <w:rPr>
          <w:rFonts w:hint="cs"/>
          <w:rtl/>
        </w:rPr>
        <w:t>2649</w:t>
      </w:r>
      <w:r>
        <w:rPr>
          <w:rtl/>
        </w:rPr>
        <w:t>/24)</w:t>
      </w:r>
      <w:r>
        <w:rPr>
          <w:rFonts w:hint="cs"/>
          <w:rtl/>
        </w:rPr>
        <w:t xml:space="preserve"> ועל שולחן הכנסת העשרים וחמש על ידי חברת הכנסת שרן מרים השכל (פ/1181/25) ועל ידי חברת הכנסת לימור סון הר מלך (פ/1738/25).</w:t>
      </w:r>
    </w:p>
    <w:p w14:paraId="7F6961CB" w14:textId="77624C04" w:rsidR="00E13C27" w:rsidRDefault="000D0FFE" w:rsidP="00E13C27">
      <w:pPr>
        <w:pStyle w:val="Hesber"/>
        <w:rPr>
          <w:rtl/>
        </w:rPr>
      </w:pPr>
      <w:r>
        <w:rPr>
          <w:rFonts w:hint="cs"/>
          <w:rtl/>
        </w:rPr>
        <w:t xml:space="preserve">הצעת החוק זהה לפ/1738/25 ולפיכך לא נבדקה על ידי הלשכה המשפטית של הכנסת.  </w:t>
      </w:r>
    </w:p>
    <w:p w14:paraId="19C951C9" w14:textId="77777777" w:rsidR="00946F4F" w:rsidRDefault="00946F4F" w:rsidP="00E13C27">
      <w:pPr>
        <w:pStyle w:val="Hesber"/>
        <w:rPr>
          <w:rtl/>
        </w:rPr>
      </w:pPr>
      <w:bookmarkStart w:id="8" w:name="_GoBack"/>
      <w:bookmarkEnd w:id="8"/>
    </w:p>
    <w:p w14:paraId="7E512060" w14:textId="77777777" w:rsidR="00423DA0" w:rsidRDefault="00946F4F">
      <w:pPr>
        <w:jc w:val="left"/>
      </w:pPr>
      <w:bookmarkStart w:id="9" w:name="selectedDocDateB"/>
      <w:bookmarkEnd w:id="9"/>
      <w:r>
        <w:rPr>
          <w:rFonts w:eastAsia="David" w:hint="cs"/>
          <w:sz w:val="26"/>
          <w:szCs w:val="26"/>
          <w:rtl/>
        </w:rPr>
        <w:t>--------------------------------</w:t>
      </w:r>
    </w:p>
    <w:p w14:paraId="0953FDC3" w14:textId="77777777" w:rsidR="00423DA0" w:rsidRDefault="00946F4F">
      <w:pPr>
        <w:jc w:val="left"/>
      </w:pPr>
      <w:r>
        <w:rPr>
          <w:rFonts w:eastAsia="David" w:hint="cs"/>
          <w:sz w:val="26"/>
          <w:szCs w:val="26"/>
          <w:rtl/>
        </w:rPr>
        <w:t>הוגשה ליו"ר הכנסת והסגנים</w:t>
      </w:r>
    </w:p>
    <w:p w14:paraId="763AD11E" w14:textId="77777777" w:rsidR="00423DA0" w:rsidRDefault="00946F4F">
      <w:pPr>
        <w:jc w:val="left"/>
      </w:pPr>
      <w:r>
        <w:rPr>
          <w:rFonts w:eastAsia="David" w:hint="cs"/>
          <w:sz w:val="26"/>
          <w:szCs w:val="26"/>
          <w:rtl/>
        </w:rPr>
        <w:t>והונחה על שולחן הכנסת ביום</w:t>
      </w:r>
    </w:p>
    <w:p w14:paraId="49755D57" w14:textId="77777777" w:rsidR="00423DA0" w:rsidRDefault="00946F4F">
      <w:pPr>
        <w:jc w:val="left"/>
      </w:pPr>
      <w:r>
        <w:rPr>
          <w:rFonts w:eastAsia="David" w:hint="cs"/>
          <w:sz w:val="26"/>
          <w:szCs w:val="26"/>
          <w:rtl/>
        </w:rPr>
        <w:t xml:space="preserve">ט"ו בשבט התשפ"ג (06.02.2023) </w:t>
      </w:r>
    </w:p>
    <w:p w14:paraId="66C0678B" w14:textId="77777777" w:rsidR="00423DA0" w:rsidRDefault="00423DA0">
      <w:pPr>
        <w:spacing w:line="276" w:lineRule="auto"/>
        <w:jc w:val="left"/>
      </w:pPr>
    </w:p>
    <w:sectPr w:rsidR="00423DA0"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946F4F">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67BD5D8A" w14:textId="77777777" w:rsidR="00C45C07" w:rsidRDefault="00C45C07" w:rsidP="00C45C07">
      <w:pPr>
        <w:pStyle w:val="a4"/>
        <w:rPr>
          <w:rtl/>
        </w:rPr>
      </w:pPr>
      <w:r>
        <w:rPr>
          <w:rStyle w:val="a6"/>
        </w:rPr>
        <w:footnoteRef/>
      </w:r>
      <w:r>
        <w:rPr>
          <w:rFonts w:hint="cs"/>
          <w:rtl/>
        </w:rPr>
        <w:t xml:space="preserve"> ס"ח התשל"ז, עמ' 226.</w:t>
      </w:r>
    </w:p>
  </w:footnote>
  <w:footnote w:id="3">
    <w:p w14:paraId="66BA6833" w14:textId="77777777" w:rsidR="00C45C07" w:rsidRDefault="00C45C07" w:rsidP="00C45C07">
      <w:pPr>
        <w:pStyle w:val="a4"/>
        <w:rPr>
          <w:rtl/>
        </w:rPr>
      </w:pPr>
      <w:r>
        <w:rPr>
          <w:rStyle w:val="a6"/>
        </w:rPr>
        <w:footnoteRef/>
      </w:r>
      <w:r>
        <w:rPr>
          <w:rFonts w:hint="cs"/>
          <w:rtl/>
        </w:rPr>
        <w:t xml:space="preserve"> ס"ח התשס"ז, עמ' 364.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B6A88"/>
    <w:rsid w:val="000D0FF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23DA0"/>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46F4F"/>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45C07"/>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262D"/>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9959EEE3-FE0E-4ED2-BB88-4B129AAB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F4F"/>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946F4F"/>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946F4F"/>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946F4F"/>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946F4F"/>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946F4F"/>
    <w:pPr>
      <w:spacing w:line="259" w:lineRule="auto"/>
      <w:outlineLvl w:val="4"/>
    </w:pPr>
    <w:rPr>
      <w:color w:val="000000" w:themeColor="text1"/>
    </w:rPr>
  </w:style>
  <w:style w:type="character" w:default="1" w:styleId="a0">
    <w:name w:val="Default Paragraph Font"/>
    <w:uiPriority w:val="1"/>
    <w:semiHidden/>
    <w:unhideWhenUsed/>
    <w:rsid w:val="00946F4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46F4F"/>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946F4F"/>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946F4F"/>
    <w:rPr>
      <w:sz w:val="36"/>
      <w:szCs w:val="52"/>
    </w:rPr>
  </w:style>
  <w:style w:type="paragraph" w:customStyle="1" w:styleId="Cover3-Haknesset">
    <w:name w:val="Cover 3-Haknesset"/>
    <w:basedOn w:val="Cover1-Reshumot"/>
    <w:rsid w:val="00946F4F"/>
    <w:rPr>
      <w:b/>
      <w:bCs/>
      <w:spacing w:val="60"/>
    </w:rPr>
  </w:style>
  <w:style w:type="paragraph" w:customStyle="1" w:styleId="Cover4-Date">
    <w:name w:val="Cover 4-Date"/>
    <w:basedOn w:val="a"/>
    <w:rsid w:val="00946F4F"/>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946F4F"/>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946F4F"/>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946F4F"/>
    <w:pPr>
      <w:spacing w:before="120" w:after="120"/>
    </w:pPr>
    <w:rPr>
      <w:color w:val="FF0000"/>
      <w:w w:val="80"/>
    </w:rPr>
  </w:style>
  <w:style w:type="paragraph" w:styleId="a3">
    <w:name w:val="endnote text"/>
    <w:basedOn w:val="a"/>
    <w:semiHidden/>
    <w:rsid w:val="00946F4F"/>
    <w:pPr>
      <w:ind w:left="227" w:hanging="227"/>
    </w:pPr>
    <w:rPr>
      <w:sz w:val="14"/>
      <w:szCs w:val="22"/>
    </w:rPr>
  </w:style>
  <w:style w:type="paragraph" w:customStyle="1" w:styleId="TableText">
    <w:name w:val="Table Text"/>
    <w:basedOn w:val="a"/>
    <w:rsid w:val="00946F4F"/>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946F4F"/>
    <w:pPr>
      <w:outlineLvl w:val="2"/>
    </w:pPr>
  </w:style>
  <w:style w:type="paragraph" w:customStyle="1" w:styleId="TableBlock">
    <w:name w:val="Table Block"/>
    <w:basedOn w:val="TableText"/>
    <w:rsid w:val="00946F4F"/>
    <w:pPr>
      <w:jc w:val="both"/>
    </w:pPr>
  </w:style>
  <w:style w:type="paragraph" w:customStyle="1" w:styleId="TableHead">
    <w:name w:val="Table Head"/>
    <w:basedOn w:val="TableText"/>
    <w:rsid w:val="00946F4F"/>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46F4F"/>
    <w:pPr>
      <w:outlineLvl w:val="9"/>
    </w:pPr>
  </w:style>
  <w:style w:type="paragraph" w:customStyle="1" w:styleId="Hesber">
    <w:name w:val="Hesber"/>
    <w:basedOn w:val="a"/>
    <w:rsid w:val="00946F4F"/>
    <w:pPr>
      <w:snapToGrid w:val="0"/>
      <w:ind w:left="0" w:firstLine="340"/>
    </w:pPr>
    <w:rPr>
      <w:rFonts w:ascii="Arial" w:eastAsia="Arial Unicode MS" w:hAnsi="Arial"/>
      <w:snapToGrid w:val="0"/>
      <w:sz w:val="20"/>
      <w:szCs w:val="26"/>
    </w:rPr>
  </w:style>
  <w:style w:type="paragraph" w:styleId="a4">
    <w:name w:val="footnote text"/>
    <w:basedOn w:val="a"/>
    <w:link w:val="a5"/>
    <w:autoRedefine/>
    <w:semiHidden/>
    <w:rsid w:val="00946F4F"/>
    <w:pPr>
      <w:snapToGrid w:val="0"/>
      <w:spacing w:line="240" w:lineRule="auto"/>
      <w:ind w:left="0"/>
      <w:jc w:val="left"/>
    </w:pPr>
    <w:rPr>
      <w:rFonts w:ascii="Arial" w:eastAsia="Arial Unicode MS" w:hAnsi="Arial"/>
      <w:snapToGrid w:val="0"/>
      <w:sz w:val="14"/>
      <w:szCs w:val="20"/>
    </w:rPr>
  </w:style>
  <w:style w:type="character" w:styleId="a6">
    <w:name w:val="footnote reference"/>
    <w:aliases w:val="Footnote Reference"/>
    <w:basedOn w:val="a0"/>
    <w:semiHidden/>
    <w:rsid w:val="00946F4F"/>
    <w:rPr>
      <w:vertAlign w:val="superscript"/>
    </w:rPr>
  </w:style>
  <w:style w:type="paragraph" w:customStyle="1" w:styleId="HesberHeading">
    <w:name w:val="Hesber Heading"/>
    <w:basedOn w:val="Hesber"/>
    <w:rsid w:val="00946F4F"/>
    <w:pPr>
      <w:tabs>
        <w:tab w:val="left" w:pos="624"/>
        <w:tab w:val="left" w:pos="1247"/>
      </w:tabs>
    </w:pPr>
    <w:rPr>
      <w:b/>
      <w:bCs/>
    </w:rPr>
  </w:style>
  <w:style w:type="paragraph" w:customStyle="1" w:styleId="HesberWriters">
    <w:name w:val="Hesber Writers"/>
    <w:basedOn w:val="Hesber"/>
    <w:rsid w:val="00946F4F"/>
    <w:pPr>
      <w:spacing w:before="120" w:after="120"/>
      <w:ind w:left="1418"/>
      <w:jc w:val="right"/>
    </w:pPr>
    <w:rPr>
      <w:b/>
      <w:bCs/>
    </w:rPr>
  </w:style>
  <w:style w:type="paragraph" w:customStyle="1" w:styleId="Hesber1st">
    <w:name w:val="Hesber 1st"/>
    <w:basedOn w:val="Hesber"/>
    <w:rsid w:val="00946F4F"/>
    <w:pPr>
      <w:tabs>
        <w:tab w:val="left" w:pos="680"/>
        <w:tab w:val="left" w:pos="1020"/>
      </w:tabs>
      <w:ind w:firstLine="0"/>
    </w:pPr>
  </w:style>
  <w:style w:type="character" w:styleId="a7">
    <w:name w:val="endnote reference"/>
    <w:basedOn w:val="a0"/>
    <w:semiHidden/>
    <w:rsid w:val="00946F4F"/>
    <w:rPr>
      <w:vertAlign w:val="superscript"/>
    </w:rPr>
  </w:style>
  <w:style w:type="paragraph" w:customStyle="1" w:styleId="TableBlockOutdent">
    <w:name w:val="Table BlockOutdent"/>
    <w:basedOn w:val="TableBlock"/>
    <w:rsid w:val="00946F4F"/>
    <w:pPr>
      <w:ind w:left="624" w:hanging="624"/>
    </w:pPr>
  </w:style>
  <w:style w:type="paragraph" w:styleId="a8">
    <w:name w:val="header"/>
    <w:basedOn w:val="a"/>
    <w:rsid w:val="00946F4F"/>
    <w:pPr>
      <w:tabs>
        <w:tab w:val="center" w:pos="4153"/>
        <w:tab w:val="right" w:pos="8306"/>
      </w:tabs>
    </w:pPr>
  </w:style>
  <w:style w:type="paragraph" w:styleId="a9">
    <w:name w:val="footer"/>
    <w:basedOn w:val="a"/>
    <w:rsid w:val="00946F4F"/>
    <w:pPr>
      <w:tabs>
        <w:tab w:val="center" w:pos="4153"/>
        <w:tab w:val="right" w:pos="8306"/>
      </w:tabs>
    </w:pPr>
  </w:style>
  <w:style w:type="paragraph" w:customStyle="1" w:styleId="HeadDivreiHesber">
    <w:name w:val="Head DivreiHesber"/>
    <w:basedOn w:val="a"/>
    <w:rsid w:val="00946F4F"/>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946F4F"/>
    <w:pPr>
      <w:snapToGrid w:val="0"/>
      <w:jc w:val="left"/>
    </w:pPr>
    <w:rPr>
      <w:rFonts w:ascii="Arial" w:eastAsia="Arial Unicode MS" w:hAnsi="Arial"/>
      <w:snapToGrid w:val="0"/>
      <w:sz w:val="20"/>
      <w:szCs w:val="26"/>
    </w:rPr>
  </w:style>
  <w:style w:type="paragraph" w:styleId="aa">
    <w:name w:val="Title"/>
    <w:basedOn w:val="a"/>
    <w:qFormat/>
    <w:rsid w:val="00943386"/>
    <w:pPr>
      <w:jc w:val="center"/>
    </w:pPr>
    <w:rPr>
      <w:b/>
      <w:bCs/>
      <w:sz w:val="28"/>
      <w:szCs w:val="28"/>
      <w:u w:val="single"/>
    </w:rPr>
  </w:style>
  <w:style w:type="character" w:styleId="ab">
    <w:name w:val="page number"/>
    <w:basedOn w:val="a0"/>
    <w:rsid w:val="00946F4F"/>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c">
    <w:name w:val="Balloon Text"/>
    <w:basedOn w:val="a"/>
    <w:link w:val="ad"/>
    <w:semiHidden/>
    <w:unhideWhenUsed/>
    <w:rsid w:val="00325C14"/>
    <w:pPr>
      <w:spacing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C45C07"/>
    <w:rPr>
      <w:rFonts w:ascii="Arial" w:eastAsia="Arial Unicode MS" w:hAnsi="Arial" w:cs="David"/>
      <w:snapToGrid w:val="0"/>
      <w:sz w:val="14"/>
    </w:rPr>
  </w:style>
  <w:style w:type="character" w:customStyle="1" w:styleId="10">
    <w:name w:val="כותרת 1 תו"/>
    <w:basedOn w:val="a0"/>
    <w:link w:val="1"/>
    <w:uiPriority w:val="9"/>
    <w:rsid w:val="00946F4F"/>
    <w:rPr>
      <w:rFonts w:asciiTheme="majorHAnsi" w:eastAsiaTheme="majorEastAsia" w:hAnsiTheme="majorHAnsi" w:cs="David"/>
      <w:bCs/>
      <w:sz w:val="32"/>
      <w:szCs w:val="36"/>
    </w:rPr>
  </w:style>
  <w:style w:type="character" w:customStyle="1" w:styleId="20">
    <w:name w:val="כותרת 2 תו"/>
    <w:basedOn w:val="a0"/>
    <w:link w:val="2"/>
    <w:rsid w:val="00946F4F"/>
    <w:rPr>
      <w:rFonts w:asciiTheme="majorHAnsi" w:eastAsiaTheme="majorEastAsia" w:hAnsiTheme="majorHAnsi" w:cs="David"/>
      <w:bCs/>
      <w:sz w:val="26"/>
      <w:szCs w:val="36"/>
      <w:u w:val="single"/>
    </w:rPr>
  </w:style>
  <w:style w:type="character" w:customStyle="1" w:styleId="30">
    <w:name w:val="כותרת 3 תו"/>
    <w:basedOn w:val="a0"/>
    <w:link w:val="3"/>
    <w:rsid w:val="00946F4F"/>
    <w:rPr>
      <w:rFonts w:asciiTheme="majorHAnsi" w:eastAsiaTheme="majorEastAsia" w:hAnsiTheme="majorHAnsi" w:cs="David"/>
      <w:sz w:val="24"/>
      <w:szCs w:val="28"/>
      <w:u w:val="double"/>
    </w:rPr>
  </w:style>
  <w:style w:type="character" w:customStyle="1" w:styleId="40">
    <w:name w:val="כותרת 4 תו"/>
    <w:basedOn w:val="a0"/>
    <w:link w:val="4"/>
    <w:uiPriority w:val="9"/>
    <w:rsid w:val="00946F4F"/>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946F4F"/>
    <w:rPr>
      <w:rFonts w:ascii="David" w:eastAsiaTheme="minorHAnsi" w:hAnsi="David" w:cs="David"/>
      <w:color w:val="000000" w:themeColor="text1"/>
      <w:sz w:val="24"/>
      <w:szCs w:val="24"/>
    </w:rPr>
  </w:style>
  <w:style w:type="paragraph" w:styleId="ae">
    <w:name w:val="TOC Heading"/>
    <w:basedOn w:val="1"/>
    <w:next w:val="a"/>
    <w:uiPriority w:val="39"/>
    <w:unhideWhenUsed/>
    <w:qFormat/>
    <w:rsid w:val="00946F4F"/>
    <w:pPr>
      <w:widowControl/>
      <w:spacing w:before="120" w:after="120"/>
      <w:outlineLvl w:val="9"/>
    </w:pPr>
    <w:rPr>
      <w:rtl/>
      <w:cs/>
    </w:rPr>
  </w:style>
  <w:style w:type="paragraph" w:styleId="TOC1">
    <w:name w:val="toc 1"/>
    <w:basedOn w:val="a"/>
    <w:next w:val="a"/>
    <w:autoRedefine/>
    <w:uiPriority w:val="39"/>
    <w:unhideWhenUsed/>
    <w:rsid w:val="00946F4F"/>
    <w:pPr>
      <w:tabs>
        <w:tab w:val="right" w:leader="dot" w:pos="9629"/>
      </w:tabs>
      <w:spacing w:after="100"/>
    </w:pPr>
    <w:rPr>
      <w:bCs/>
      <w:szCs w:val="22"/>
    </w:rPr>
  </w:style>
  <w:style w:type="paragraph" w:styleId="TOC2">
    <w:name w:val="toc 2"/>
    <w:basedOn w:val="a"/>
    <w:next w:val="a"/>
    <w:uiPriority w:val="39"/>
    <w:unhideWhenUsed/>
    <w:rsid w:val="00946F4F"/>
    <w:pPr>
      <w:tabs>
        <w:tab w:val="right" w:leader="dot" w:pos="9628"/>
      </w:tabs>
      <w:spacing w:after="100"/>
    </w:pPr>
    <w:rPr>
      <w:szCs w:val="22"/>
    </w:rPr>
  </w:style>
  <w:style w:type="character" w:styleId="Hyperlink">
    <w:name w:val="Hyperlink"/>
    <w:basedOn w:val="a0"/>
    <w:uiPriority w:val="99"/>
    <w:unhideWhenUsed/>
    <w:rsid w:val="00946F4F"/>
    <w:rPr>
      <w:color w:val="0000FF" w:themeColor="hyperlink"/>
      <w:u w:val="single"/>
    </w:rPr>
  </w:style>
  <w:style w:type="paragraph" w:styleId="TOC3">
    <w:name w:val="toc 3"/>
    <w:basedOn w:val="a"/>
    <w:next w:val="a"/>
    <w:uiPriority w:val="39"/>
    <w:unhideWhenUsed/>
    <w:rsid w:val="00946F4F"/>
    <w:pPr>
      <w:numPr>
        <w:numId w:val="21"/>
      </w:numPr>
      <w:tabs>
        <w:tab w:val="right" w:leader="dot" w:pos="9629"/>
      </w:tabs>
      <w:spacing w:after="100"/>
      <w:ind w:left="811" w:hanging="357"/>
    </w:pPr>
    <w:rPr>
      <w:szCs w:val="22"/>
    </w:rPr>
  </w:style>
  <w:style w:type="paragraph" w:styleId="TOC4">
    <w:name w:val="toc 4"/>
    <w:basedOn w:val="a"/>
    <w:next w:val="a"/>
    <w:autoRedefine/>
    <w:unhideWhenUsed/>
    <w:qFormat/>
    <w:rsid w:val="00946F4F"/>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946F4F"/>
    <w:pPr>
      <w:tabs>
        <w:tab w:val="right" w:leader="dot" w:pos="9628"/>
      </w:tabs>
      <w:spacing w:after="100"/>
      <w:ind w:left="567"/>
    </w:pPr>
    <w:rPr>
      <w:szCs w:val="22"/>
    </w:rPr>
  </w:style>
  <w:style w:type="paragraph" w:styleId="TOC6">
    <w:name w:val="toc 6"/>
    <w:basedOn w:val="a"/>
    <w:next w:val="a"/>
    <w:autoRedefine/>
    <w:semiHidden/>
    <w:unhideWhenUsed/>
    <w:rsid w:val="00946F4F"/>
    <w:pPr>
      <w:spacing w:after="100"/>
      <w:ind w:left="850"/>
    </w:pPr>
  </w:style>
  <w:style w:type="paragraph" w:styleId="TOC7">
    <w:name w:val="toc 7"/>
    <w:basedOn w:val="a"/>
    <w:next w:val="a"/>
    <w:autoRedefine/>
    <w:semiHidden/>
    <w:unhideWhenUsed/>
    <w:rsid w:val="00946F4F"/>
    <w:pPr>
      <w:spacing w:after="100"/>
      <w:ind w:left="1020"/>
    </w:pPr>
  </w:style>
  <w:style w:type="paragraph" w:styleId="TOC8">
    <w:name w:val="toc 8"/>
    <w:basedOn w:val="a"/>
    <w:next w:val="a"/>
    <w:autoRedefine/>
    <w:semiHidden/>
    <w:unhideWhenUsed/>
    <w:rsid w:val="00946F4F"/>
    <w:pPr>
      <w:spacing w:after="100"/>
      <w:ind w:left="1190"/>
    </w:pPr>
  </w:style>
  <w:style w:type="paragraph" w:styleId="TOC9">
    <w:name w:val="toc 9"/>
    <w:basedOn w:val="a"/>
    <w:next w:val="a"/>
    <w:autoRedefine/>
    <w:semiHidden/>
    <w:unhideWhenUsed/>
    <w:rsid w:val="00946F4F"/>
    <w:pPr>
      <w:spacing w:after="100"/>
      <w:ind w:left="1360"/>
    </w:pPr>
  </w:style>
  <w:style w:type="paragraph" w:customStyle="1" w:styleId="TableHead2">
    <w:name w:val="Table Head2"/>
    <w:basedOn w:val="TableHead"/>
    <w:qFormat/>
    <w:rsid w:val="00946F4F"/>
    <w:pPr>
      <w:outlineLvl w:val="9"/>
    </w:pPr>
  </w:style>
  <w:style w:type="paragraph" w:customStyle="1" w:styleId="TableSideHeading2">
    <w:name w:val="Table SideHeading2"/>
    <w:basedOn w:val="TableSideHeading"/>
    <w:autoRedefine/>
    <w:qFormat/>
    <w:rsid w:val="00946F4F"/>
    <w:pPr>
      <w:keepLines w:val="0"/>
      <w:outlineLvl w:val="9"/>
    </w:pPr>
  </w:style>
  <w:style w:type="paragraph" w:customStyle="1" w:styleId="0">
    <w:name w:val="סגנון שורה ראשונה:  0  ס''מ"/>
    <w:basedOn w:val="2"/>
    <w:rsid w:val="00946F4F"/>
    <w:rPr>
      <w:rFonts w:eastAsia="Times New Roman"/>
    </w:rPr>
  </w:style>
  <w:style w:type="paragraph" w:styleId="af">
    <w:name w:val="List Paragraph"/>
    <w:basedOn w:val="a"/>
    <w:uiPriority w:val="34"/>
    <w:qFormat/>
    <w:rsid w:val="00946F4F"/>
    <w:pPr>
      <w:widowControl/>
      <w:spacing w:line="259" w:lineRule="auto"/>
    </w:pPr>
    <w:rPr>
      <w:rFonts w:asciiTheme="minorHAnsi" w:hAnsiTheme="minorHAnsi"/>
      <w:sz w:val="22"/>
    </w:rPr>
  </w:style>
  <w:style w:type="table" w:styleId="af0">
    <w:name w:val="Table Grid"/>
    <w:basedOn w:val="a1"/>
    <w:rsid w:val="00946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946F4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946F4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946F4F"/>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946F4F"/>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E21C28B32ECF49ADBB6A5BBBCCB3CD" ma:contentTypeVersion="" ma:contentTypeDescription="צור מסמך חדש." ma:contentTypeScope="" ma:versionID="f81d89568b860eeaa06327f0f2d2f14b">
  <xsd:schema xmlns:xsd="http://www.w3.org/2001/XMLSchema" xmlns:xs="http://www.w3.org/2001/XMLSchema" xmlns:p="http://schemas.microsoft.com/office/2006/metadata/properties" xmlns:ns2="290d5b49-c690-4c6f-bbb9-1e50dab33eee" targetNamespace="http://schemas.microsoft.com/office/2006/metadata/properties" ma:root="true" ma:fieldsID="a6db6e33f8462d87724f237088727803"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5EAB0-BDEC-46C6-8CF0-2BFD33931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4AFE3-9455-419C-8851-785A55F44517}">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290d5b49-c690-4c6f-bbb9-1e50dab33eee"/>
    <ds:schemaRef ds:uri="http://purl.org/dc/dcmitype/"/>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FA73CBE7-E80B-4301-A65F-6E011A0A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380</Words>
  <Characters>2172</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8</cp:revision>
  <cp:lastPrinted>2023-02-01T07:58:00Z</cp:lastPrinted>
  <dcterms:created xsi:type="dcterms:W3CDTF">2015-04-20T09:58:00Z</dcterms:created>
  <dcterms:modified xsi:type="dcterms:W3CDTF">2023-02-01T07:58:00Z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0x01010054E21C28B32ECF49ADBB6A5BBBCCB3CD</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2200663</vt:r8>
  </property>
</Properties>
</file>