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61A1" w14:textId="77777777" w:rsidR="002C2E29" w:rsidRPr="00E635A2" w:rsidRDefault="004033D8" w:rsidP="00E635A2">
      <w:pPr>
        <w:jc w:val="right"/>
        <w:rPr>
          <w:b/>
          <w:bCs/>
          <w:sz w:val="20"/>
          <w:szCs w:val="20"/>
        </w:rPr>
      </w:pPr>
      <w:r w:rsidRPr="00E635A2">
        <w:rPr>
          <w:rFonts w:hint="cs"/>
          <w:sz w:val="2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sz w:val="20"/>
          <w:szCs w:val="20"/>
          <w:rtl/>
        </w:rPr>
        <w:t>2200701</w:t>
      </w:r>
      <w:bookmarkEnd w:id="0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 וחמש</w:t>
      </w:r>
      <w:bookmarkEnd w:id="1"/>
    </w:p>
    <w:p w14:paraId="7F6961A3" w14:textId="77777777" w:rsidR="00E13C27" w:rsidRPr="00F67051" w:rsidRDefault="00E13C27" w:rsidP="00E13C27">
      <w:pPr>
        <w:rPr>
          <w:b/>
          <w:bCs/>
          <w:sz w:val="26"/>
          <w:szCs w:val="26"/>
          <w:rtl/>
        </w:rPr>
      </w:pPr>
    </w:p>
    <w:p w14:paraId="7227A371" w14:textId="2B867D84" w:rsidR="007860ED" w:rsidRDefault="008F6665" w:rsidP="007860ED">
      <w:pPr>
        <w:pStyle w:val="David"/>
        <w:ind w:left="1440" w:firstLine="720"/>
        <w:rPr>
          <w:b/>
          <w:bCs/>
          <w:rtl/>
        </w:rPr>
      </w:pPr>
      <w:bookmarkStart w:id="2" w:name="LGS_Initiators_List"/>
      <w:r>
        <w:rPr>
          <w:b/>
          <w:bCs/>
          <w:rtl/>
        </w:rPr>
        <w:t>יוזמים:      חברי הכנסת</w:t>
      </w:r>
      <w:bookmarkStart w:id="3" w:name="LGS_PM_Names"/>
      <w:bookmarkEnd w:id="2"/>
      <w:r w:rsidR="007860ED">
        <w:rPr>
          <w:b/>
          <w:bCs/>
          <w:rtl/>
        </w:rPr>
        <w:tab/>
      </w:r>
      <w:r>
        <w:rPr>
          <w:rFonts w:hint="cs"/>
          <w:b/>
          <w:bCs/>
          <w:rtl/>
        </w:rPr>
        <w:t>אופיר כץ</w:t>
      </w:r>
      <w:r w:rsidR="007860ED">
        <w:rPr>
          <w:b/>
          <w:bCs/>
          <w:rtl/>
        </w:rPr>
        <w:tab/>
      </w:r>
      <w:r w:rsidR="007860ED">
        <w:rPr>
          <w:b/>
          <w:bCs/>
          <w:rtl/>
        </w:rPr>
        <w:tab/>
      </w:r>
      <w:r w:rsidR="007860ED">
        <w:rPr>
          <w:rFonts w:hint="cs"/>
          <w:b/>
          <w:bCs/>
          <w:rtl/>
        </w:rPr>
        <w:t>טלי גוטליב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 w:rsidR="007860ED">
        <w:rPr>
          <w:rtl/>
        </w:rPr>
        <w:tab/>
      </w:r>
      <w:r>
        <w:rPr>
          <w:rFonts w:hint="cs"/>
          <w:b/>
          <w:bCs/>
          <w:rtl/>
        </w:rPr>
        <w:t>ינון אזולאי</w:t>
      </w:r>
      <w:r w:rsidR="007860ED">
        <w:rPr>
          <w:b/>
          <w:bCs/>
          <w:rtl/>
        </w:rPr>
        <w:tab/>
      </w:r>
      <w:r w:rsidR="007860ED">
        <w:rPr>
          <w:b/>
          <w:bCs/>
          <w:rtl/>
        </w:rPr>
        <w:tab/>
      </w:r>
      <w:r w:rsidR="007860ED">
        <w:rPr>
          <w:rFonts w:hint="cs"/>
          <w:b/>
          <w:bCs/>
          <w:rtl/>
        </w:rPr>
        <w:t>חנוך דב מלביצקי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 w:rsidR="007860ED">
        <w:rPr>
          <w:rtl/>
        </w:rPr>
        <w:tab/>
      </w:r>
      <w:r>
        <w:rPr>
          <w:rFonts w:hint="cs"/>
          <w:b/>
          <w:bCs/>
          <w:rtl/>
        </w:rPr>
        <w:t>יצחק פינדרוס</w:t>
      </w:r>
      <w:r w:rsidR="007860ED">
        <w:rPr>
          <w:b/>
          <w:bCs/>
          <w:rtl/>
        </w:rPr>
        <w:tab/>
      </w:r>
      <w:r w:rsidR="007860ED">
        <w:rPr>
          <w:b/>
          <w:bCs/>
          <w:rtl/>
        </w:rPr>
        <w:tab/>
      </w:r>
      <w:r w:rsidR="007860ED">
        <w:rPr>
          <w:rFonts w:hint="cs"/>
          <w:b/>
          <w:bCs/>
          <w:rtl/>
        </w:rPr>
        <w:t>בועז ביסמוט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 w:rsidR="007860ED">
        <w:rPr>
          <w:rtl/>
        </w:rPr>
        <w:tab/>
      </w:r>
      <w:r>
        <w:rPr>
          <w:rFonts w:hint="cs"/>
          <w:b/>
          <w:bCs/>
          <w:rtl/>
        </w:rPr>
        <w:t>יצחק קרויזר</w:t>
      </w:r>
      <w:r w:rsidR="007860ED">
        <w:rPr>
          <w:b/>
          <w:bCs/>
          <w:rtl/>
        </w:rPr>
        <w:tab/>
      </w:r>
      <w:r w:rsidR="007860ED">
        <w:rPr>
          <w:b/>
          <w:bCs/>
          <w:rtl/>
        </w:rPr>
        <w:tab/>
      </w:r>
      <w:r w:rsidR="007860ED">
        <w:rPr>
          <w:rFonts w:hint="cs"/>
          <w:b/>
          <w:bCs/>
          <w:rtl/>
        </w:rPr>
        <w:t>משה סעדה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 w:rsidR="007860ED">
        <w:rPr>
          <w:rtl/>
        </w:rPr>
        <w:tab/>
      </w:r>
      <w:r>
        <w:rPr>
          <w:rFonts w:hint="cs"/>
          <w:b/>
          <w:bCs/>
          <w:rtl/>
        </w:rPr>
        <w:t>משה ארבל</w:t>
      </w:r>
      <w:r w:rsidR="007860ED">
        <w:rPr>
          <w:b/>
          <w:bCs/>
          <w:rtl/>
        </w:rPr>
        <w:tab/>
      </w:r>
      <w:r w:rsidR="007860ED">
        <w:rPr>
          <w:b/>
          <w:bCs/>
          <w:rtl/>
        </w:rPr>
        <w:tab/>
      </w:r>
      <w:r w:rsidR="007860ED">
        <w:rPr>
          <w:rFonts w:hint="cs"/>
          <w:b/>
          <w:bCs/>
          <w:rtl/>
        </w:rPr>
        <w:t>אלי דלל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 w:rsidR="007860ED">
        <w:rPr>
          <w:rtl/>
        </w:rPr>
        <w:tab/>
      </w:r>
      <w:r>
        <w:rPr>
          <w:rFonts w:hint="cs"/>
          <w:b/>
          <w:bCs/>
          <w:rtl/>
        </w:rPr>
        <w:t>אוריאל בוסו</w:t>
      </w:r>
      <w:r w:rsidR="007860ED">
        <w:rPr>
          <w:b/>
          <w:bCs/>
          <w:rtl/>
        </w:rPr>
        <w:tab/>
      </w:r>
      <w:r w:rsidR="007860ED">
        <w:rPr>
          <w:b/>
          <w:bCs/>
          <w:rtl/>
        </w:rPr>
        <w:tab/>
      </w:r>
      <w:r w:rsidR="007860ED">
        <w:rPr>
          <w:rFonts w:hint="cs"/>
          <w:b/>
          <w:bCs/>
          <w:rtl/>
        </w:rPr>
        <w:t>דן אילוז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 w:rsidR="007860ED">
        <w:rPr>
          <w:rtl/>
        </w:rPr>
        <w:tab/>
      </w:r>
      <w:r>
        <w:rPr>
          <w:rFonts w:hint="cs"/>
          <w:b/>
          <w:bCs/>
          <w:rtl/>
        </w:rPr>
        <w:t>יוסף טייב</w:t>
      </w:r>
      <w:r w:rsidR="007860ED">
        <w:rPr>
          <w:b/>
          <w:bCs/>
          <w:rtl/>
        </w:rPr>
        <w:tab/>
      </w:r>
      <w:r w:rsidR="007860ED">
        <w:rPr>
          <w:b/>
          <w:bCs/>
          <w:rtl/>
        </w:rPr>
        <w:tab/>
      </w:r>
      <w:r w:rsidR="007860ED">
        <w:rPr>
          <w:rFonts w:hint="cs"/>
          <w:b/>
          <w:bCs/>
          <w:rtl/>
        </w:rPr>
        <w:t>אריאל קלנר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 w:rsidR="007860ED">
        <w:rPr>
          <w:rtl/>
        </w:rPr>
        <w:tab/>
      </w:r>
      <w:r>
        <w:rPr>
          <w:rFonts w:hint="cs"/>
          <w:b/>
          <w:bCs/>
          <w:rtl/>
        </w:rPr>
        <w:t>אברהם בצלאל</w:t>
      </w:r>
      <w:r w:rsidR="007860ED">
        <w:rPr>
          <w:b/>
          <w:bCs/>
          <w:rtl/>
        </w:rPr>
        <w:tab/>
      </w:r>
      <w:r w:rsidR="007860ED">
        <w:rPr>
          <w:b/>
          <w:bCs/>
          <w:rtl/>
        </w:rPr>
        <w:tab/>
      </w:r>
      <w:r w:rsidR="007860ED">
        <w:rPr>
          <w:rFonts w:hint="cs"/>
          <w:b/>
          <w:bCs/>
          <w:rtl/>
        </w:rPr>
        <w:t>חוה אתי עטייה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 w:rsidR="007860ED">
        <w:rPr>
          <w:rtl/>
        </w:rPr>
        <w:tab/>
      </w:r>
      <w:r>
        <w:rPr>
          <w:rFonts w:hint="cs"/>
          <w:b/>
          <w:bCs/>
          <w:rtl/>
        </w:rPr>
        <w:t>יונתן מישרקי</w:t>
      </w:r>
      <w:r w:rsidR="007860ED">
        <w:rPr>
          <w:b/>
          <w:bCs/>
          <w:rtl/>
        </w:rPr>
        <w:tab/>
      </w:r>
      <w:r w:rsidR="007860ED">
        <w:rPr>
          <w:b/>
          <w:bCs/>
          <w:rtl/>
        </w:rPr>
        <w:tab/>
      </w:r>
      <w:r w:rsidR="007860ED">
        <w:rPr>
          <w:rFonts w:hint="cs"/>
          <w:b/>
          <w:bCs/>
          <w:rtl/>
        </w:rPr>
        <w:t>דוד אמסלם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 w:rsidR="007860ED">
        <w:rPr>
          <w:rtl/>
        </w:rPr>
        <w:tab/>
      </w:r>
      <w:r>
        <w:rPr>
          <w:rFonts w:hint="cs"/>
          <w:b/>
          <w:bCs/>
          <w:rtl/>
        </w:rPr>
        <w:t>יעקב אשר</w:t>
      </w:r>
      <w:r w:rsidR="007860ED">
        <w:rPr>
          <w:b/>
          <w:bCs/>
          <w:rtl/>
        </w:rPr>
        <w:tab/>
      </w:r>
      <w:r w:rsidR="007860ED">
        <w:rPr>
          <w:b/>
          <w:bCs/>
          <w:rtl/>
        </w:rPr>
        <w:tab/>
      </w:r>
      <w:r w:rsidR="007860ED">
        <w:rPr>
          <w:rFonts w:hint="cs"/>
          <w:b/>
          <w:bCs/>
          <w:rtl/>
        </w:rPr>
        <w:t>עמית הלוי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 w:rsidR="007860ED">
        <w:rPr>
          <w:rtl/>
        </w:rPr>
        <w:tab/>
      </w:r>
      <w:r>
        <w:rPr>
          <w:rFonts w:hint="cs"/>
          <w:b/>
          <w:bCs/>
          <w:rtl/>
        </w:rPr>
        <w:t>ישראל אייכלר</w:t>
      </w:r>
      <w:r w:rsidR="007860ED">
        <w:rPr>
          <w:b/>
          <w:bCs/>
          <w:rtl/>
        </w:rPr>
        <w:tab/>
      </w:r>
      <w:r w:rsidR="007860ED">
        <w:rPr>
          <w:b/>
          <w:bCs/>
          <w:rtl/>
        </w:rPr>
        <w:tab/>
      </w:r>
      <w:r w:rsidR="007860ED">
        <w:rPr>
          <w:rFonts w:hint="cs"/>
          <w:b/>
          <w:bCs/>
          <w:rtl/>
        </w:rPr>
        <w:t>משה שמעון רוט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 w:rsidR="007860ED">
        <w:rPr>
          <w:rtl/>
        </w:rPr>
        <w:tab/>
      </w:r>
      <w:r>
        <w:rPr>
          <w:rFonts w:hint="cs"/>
          <w:b/>
          <w:bCs/>
          <w:rtl/>
        </w:rPr>
        <w:t>משה גפני</w:t>
      </w:r>
      <w:r w:rsidR="007860ED">
        <w:rPr>
          <w:b/>
          <w:bCs/>
          <w:rtl/>
        </w:rPr>
        <w:tab/>
      </w:r>
      <w:r w:rsidR="007860ED">
        <w:rPr>
          <w:b/>
          <w:bCs/>
          <w:rtl/>
        </w:rPr>
        <w:tab/>
      </w:r>
      <w:r w:rsidR="007860ED">
        <w:rPr>
          <w:rFonts w:hint="cs"/>
          <w:b/>
          <w:bCs/>
          <w:rtl/>
        </w:rPr>
        <w:t>יולי יואל אדלשטיין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 w:rsidR="007860ED">
        <w:rPr>
          <w:rtl/>
        </w:rPr>
        <w:tab/>
      </w:r>
      <w:r>
        <w:rPr>
          <w:rFonts w:hint="cs"/>
          <w:b/>
          <w:bCs/>
          <w:rtl/>
        </w:rPr>
        <w:t>אליהו ברוכי</w:t>
      </w:r>
      <w:r w:rsidR="007860ED">
        <w:rPr>
          <w:b/>
          <w:bCs/>
          <w:rtl/>
        </w:rPr>
        <w:tab/>
      </w:r>
      <w:r w:rsidR="007860ED">
        <w:rPr>
          <w:b/>
          <w:bCs/>
          <w:rtl/>
        </w:rPr>
        <w:tab/>
      </w:r>
      <w:r w:rsidR="007860ED">
        <w:rPr>
          <w:rFonts w:hint="cs"/>
          <w:b/>
          <w:bCs/>
          <w:rtl/>
        </w:rPr>
        <w:t>דוד ביטן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 w:rsidR="007860ED">
        <w:rPr>
          <w:rtl/>
        </w:rPr>
        <w:tab/>
      </w:r>
      <w:r>
        <w:rPr>
          <w:rFonts w:hint="cs"/>
          <w:b/>
          <w:bCs/>
          <w:rtl/>
        </w:rPr>
        <w:t>אלמוג כהן</w:t>
      </w:r>
      <w:r w:rsidR="007860ED">
        <w:rPr>
          <w:b/>
          <w:bCs/>
          <w:rtl/>
        </w:rPr>
        <w:tab/>
      </w:r>
      <w:r w:rsidR="007860ED">
        <w:rPr>
          <w:b/>
          <w:bCs/>
          <w:rtl/>
        </w:rPr>
        <w:tab/>
      </w:r>
      <w:r w:rsidR="007860ED">
        <w:rPr>
          <w:rFonts w:hint="cs"/>
          <w:b/>
          <w:bCs/>
          <w:rtl/>
        </w:rPr>
        <w:t>דני דנון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 w:rsidR="007860ED">
        <w:rPr>
          <w:rtl/>
        </w:rPr>
        <w:tab/>
      </w:r>
      <w:r>
        <w:rPr>
          <w:rFonts w:hint="cs"/>
          <w:b/>
          <w:bCs/>
          <w:rtl/>
        </w:rPr>
        <w:t>צביקה פוגל</w:t>
      </w:r>
      <w:r w:rsidR="007860ED">
        <w:rPr>
          <w:b/>
          <w:bCs/>
          <w:rtl/>
        </w:rPr>
        <w:tab/>
      </w:r>
      <w:r w:rsidR="007860ED">
        <w:rPr>
          <w:b/>
          <w:bCs/>
          <w:rtl/>
        </w:rPr>
        <w:tab/>
      </w:r>
      <w:r w:rsidR="007860ED">
        <w:rPr>
          <w:rFonts w:hint="cs"/>
          <w:b/>
          <w:bCs/>
          <w:rtl/>
        </w:rPr>
        <w:t>משה סולומון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 w:rsidR="007860ED">
        <w:rPr>
          <w:rtl/>
        </w:rPr>
        <w:tab/>
      </w:r>
      <w:r>
        <w:rPr>
          <w:rFonts w:hint="cs"/>
          <w:b/>
          <w:bCs/>
          <w:rtl/>
        </w:rPr>
        <w:t>לימור סון הר מלך</w:t>
      </w:r>
      <w:r w:rsidR="007860ED">
        <w:rPr>
          <w:b/>
          <w:bCs/>
          <w:rtl/>
        </w:rPr>
        <w:tab/>
      </w:r>
      <w:r w:rsidR="007860ED">
        <w:rPr>
          <w:rFonts w:hint="cs"/>
          <w:b/>
          <w:bCs/>
          <w:rtl/>
        </w:rPr>
        <w:t>אוהד טל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 w:rsidR="007860ED">
        <w:rPr>
          <w:rtl/>
        </w:rPr>
        <w:tab/>
      </w:r>
      <w:r>
        <w:rPr>
          <w:rFonts w:hint="cs"/>
          <w:b/>
          <w:bCs/>
          <w:rtl/>
        </w:rPr>
        <w:t>אליהו רביבו</w:t>
      </w:r>
      <w:r w:rsidR="007860ED">
        <w:rPr>
          <w:b/>
          <w:bCs/>
          <w:rtl/>
        </w:rPr>
        <w:tab/>
      </w:r>
      <w:r w:rsidR="007860ED">
        <w:rPr>
          <w:b/>
          <w:bCs/>
          <w:rtl/>
        </w:rPr>
        <w:tab/>
      </w:r>
      <w:r w:rsidR="007860ED">
        <w:rPr>
          <w:rFonts w:hint="cs"/>
          <w:b/>
          <w:bCs/>
          <w:rtl/>
        </w:rPr>
        <w:t>ארז מלול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 w:rsidR="007860ED">
        <w:rPr>
          <w:rtl/>
        </w:rPr>
        <w:tab/>
      </w:r>
      <w:r>
        <w:rPr>
          <w:rFonts w:hint="cs"/>
          <w:b/>
          <w:bCs/>
          <w:rtl/>
        </w:rPr>
        <w:t>ניסים ואטורי</w:t>
      </w:r>
      <w:r w:rsidR="007860ED">
        <w:rPr>
          <w:b/>
          <w:bCs/>
          <w:rtl/>
        </w:rPr>
        <w:tab/>
      </w:r>
      <w:r w:rsidR="007860ED">
        <w:rPr>
          <w:b/>
          <w:bCs/>
          <w:rtl/>
        </w:rPr>
        <w:tab/>
      </w:r>
      <w:r w:rsidR="007860ED">
        <w:rPr>
          <w:rFonts w:hint="cs"/>
          <w:b/>
          <w:bCs/>
          <w:rtl/>
        </w:rPr>
        <w:t>סימיון מושיאשוילי</w:t>
      </w:r>
    </w:p>
    <w:p w14:paraId="7F6961AA" w14:textId="3A0DB2E9" w:rsidR="00E13C27" w:rsidRPr="00CF1AA2" w:rsidRDefault="007860ED" w:rsidP="007860ED">
      <w:pPr>
        <w:pStyle w:val="David"/>
        <w:ind w:left="4320" w:firstLine="720"/>
        <w:rPr>
          <w:b/>
          <w:bCs/>
          <w:sz w:val="16"/>
          <w:szCs w:val="16"/>
          <w:rtl/>
        </w:rPr>
      </w:pPr>
      <w:r>
        <w:rPr>
          <w:rFonts w:hint="cs"/>
          <w:b/>
          <w:bCs/>
          <w:rtl/>
        </w:rPr>
        <w:t xml:space="preserve">שלום דנינו </w:t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 w:rsidR="008F6665">
        <w:tab/>
      </w:r>
      <w:bookmarkStart w:id="4" w:name="LGS_PM_NamesJoin"/>
      <w:bookmarkEnd w:id="3"/>
      <w:r w:rsidR="007D585A">
        <w:rPr>
          <w:rFonts w:hint="cs"/>
          <w:rtl/>
        </w:rPr>
        <w:t xml:space="preserve"> </w:t>
      </w:r>
      <w:bookmarkEnd w:id="4"/>
    </w:p>
    <w:p w14:paraId="34DB4103" w14:textId="77777777" w:rsidR="00904591" w:rsidRPr="00904591" w:rsidRDefault="00266D86" w:rsidP="0036422C">
      <w:pPr>
        <w:pStyle w:val="David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</w:p>
    <w:p w14:paraId="7F6961AB" w14:textId="6A0096F0" w:rsidR="00E13C27" w:rsidRPr="00E06736" w:rsidRDefault="00904591" w:rsidP="007860ED">
      <w:pPr>
        <w:pStyle w:val="David"/>
        <w:spacing w:line="240" w:lineRule="auto"/>
        <w:ind w:left="4320" w:firstLine="720"/>
        <w:rPr>
          <w:rtl/>
        </w:rPr>
      </w:pPr>
      <w:bookmarkStart w:id="5" w:name="Private_Number"/>
      <w:r>
        <w:rPr>
          <w:rFonts w:hint="cs"/>
          <w:rtl/>
        </w:rPr>
        <w:t>פ/2314/25</w:t>
      </w:r>
      <w:bookmarkEnd w:id="5"/>
    </w:p>
    <w:p w14:paraId="7F6961AD" w14:textId="465E832B" w:rsidR="00E13C27" w:rsidRPr="00F67051" w:rsidRDefault="00A443CF" w:rsidP="00510F68">
      <w:pPr>
        <w:pStyle w:val="HeadHatzaotHok"/>
        <w:rPr>
          <w:rtl/>
        </w:rPr>
      </w:pPr>
      <w:bookmarkStart w:id="6" w:name="LGS_Subject"/>
      <w:r>
        <w:rPr>
          <w:rFonts w:hint="cs"/>
          <w:rtl/>
        </w:rPr>
        <w:t xml:space="preserve">הצעת חוק-יסוד: הממשלה (תיקון – ביקורת שיפוטית לעניין כשירות במינוי) </w:t>
      </w:r>
      <w:bookmarkEnd w:id="6"/>
    </w:p>
    <w:tbl>
      <w:tblPr>
        <w:bidiVisual/>
        <w:tblW w:w="9638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1872"/>
        <w:gridCol w:w="624"/>
        <w:gridCol w:w="4647"/>
      </w:tblGrid>
      <w:tr w:rsidR="007633ED" w:rsidRPr="00A81BC2" w14:paraId="69C7355A" w14:textId="77777777" w:rsidTr="008B063F">
        <w:trPr>
          <w:cantSplit/>
        </w:trPr>
        <w:tc>
          <w:tcPr>
            <w:tcW w:w="1871" w:type="dxa"/>
          </w:tcPr>
          <w:p w14:paraId="331C70BF" w14:textId="77777777" w:rsidR="007633ED" w:rsidRPr="009E26C8" w:rsidRDefault="007633ED" w:rsidP="00EA4BF2">
            <w:pPr>
              <w:pStyle w:val="TableSideHeading"/>
              <w:keepLines w:val="0"/>
              <w:rPr>
                <w:sz w:val="26"/>
              </w:rPr>
            </w:pPr>
            <w:r w:rsidRPr="009E26C8">
              <w:rPr>
                <w:rFonts w:hint="cs"/>
                <w:sz w:val="26"/>
                <w:rtl/>
              </w:rPr>
              <w:t>הוספת סעיף 22א</w:t>
            </w:r>
          </w:p>
        </w:tc>
        <w:tc>
          <w:tcPr>
            <w:tcW w:w="624" w:type="dxa"/>
          </w:tcPr>
          <w:p w14:paraId="651E0F39" w14:textId="10CD4C6B" w:rsidR="007633ED" w:rsidRPr="009E26C8" w:rsidRDefault="008B063F" w:rsidP="008B063F">
            <w:pPr>
              <w:pStyle w:val="TableText"/>
              <w:keepLines w:val="0"/>
              <w:tabs>
                <w:tab w:val="clear" w:pos="624"/>
              </w:tabs>
              <w:rPr>
                <w:sz w:val="26"/>
              </w:rPr>
            </w:pPr>
            <w:r>
              <w:rPr>
                <w:rFonts w:hint="cs"/>
                <w:sz w:val="26"/>
                <w:rtl/>
              </w:rPr>
              <w:t>1.</w:t>
            </w:r>
          </w:p>
        </w:tc>
        <w:tc>
          <w:tcPr>
            <w:tcW w:w="7143" w:type="dxa"/>
            <w:gridSpan w:val="3"/>
          </w:tcPr>
          <w:p w14:paraId="4D3AF49E" w14:textId="61BA42AF" w:rsidR="007633ED" w:rsidRPr="009E26C8" w:rsidRDefault="007633ED" w:rsidP="008B063F">
            <w:pPr>
              <w:pStyle w:val="TableBlock"/>
              <w:rPr>
                <w:sz w:val="26"/>
              </w:rPr>
            </w:pPr>
            <w:r w:rsidRPr="009E26C8">
              <w:rPr>
                <w:rFonts w:hint="cs"/>
                <w:sz w:val="26"/>
                <w:rtl/>
              </w:rPr>
              <w:t>בחוק-יסוד: הממשלה</w:t>
            </w:r>
            <w:r w:rsidR="008B063F">
              <w:rPr>
                <w:rStyle w:val="a5"/>
                <w:sz w:val="26"/>
                <w:rtl/>
              </w:rPr>
              <w:footnoteReference w:id="2"/>
            </w:r>
            <w:r w:rsidRPr="009E26C8">
              <w:rPr>
                <w:rFonts w:hint="cs"/>
                <w:sz w:val="26"/>
                <w:rtl/>
              </w:rPr>
              <w:t>, אחרי סעיף 22 יבוא:</w:t>
            </w:r>
          </w:p>
        </w:tc>
      </w:tr>
      <w:tr w:rsidR="007633ED" w:rsidRPr="00A81BC2" w14:paraId="4E0A260E" w14:textId="77777777" w:rsidTr="008B063F">
        <w:trPr>
          <w:cantSplit/>
        </w:trPr>
        <w:tc>
          <w:tcPr>
            <w:tcW w:w="1871" w:type="dxa"/>
          </w:tcPr>
          <w:p w14:paraId="1A56A360" w14:textId="77777777" w:rsidR="007633ED" w:rsidRPr="009E26C8" w:rsidRDefault="007633ED" w:rsidP="00EA4BF2">
            <w:pPr>
              <w:pStyle w:val="TableSideHeading"/>
              <w:keepLines w:val="0"/>
              <w:rPr>
                <w:sz w:val="26"/>
              </w:rPr>
            </w:pPr>
          </w:p>
        </w:tc>
        <w:tc>
          <w:tcPr>
            <w:tcW w:w="624" w:type="dxa"/>
          </w:tcPr>
          <w:p w14:paraId="08C66003" w14:textId="77777777" w:rsidR="007633ED" w:rsidRPr="009E26C8" w:rsidRDefault="007633ED" w:rsidP="00EA4BF2">
            <w:pPr>
              <w:pStyle w:val="TableText"/>
              <w:keepLines w:val="0"/>
              <w:rPr>
                <w:sz w:val="26"/>
              </w:rPr>
            </w:pPr>
          </w:p>
        </w:tc>
        <w:tc>
          <w:tcPr>
            <w:tcW w:w="1872" w:type="dxa"/>
          </w:tcPr>
          <w:p w14:paraId="3D5E072A" w14:textId="64A48CDC" w:rsidR="007633ED" w:rsidRPr="009E26C8" w:rsidRDefault="008B063F" w:rsidP="00EA4BF2">
            <w:pPr>
              <w:pStyle w:val="TableInnerSideHeading"/>
              <w:rPr>
                <w:sz w:val="26"/>
              </w:rPr>
            </w:pPr>
            <w:r>
              <w:rPr>
                <w:rFonts w:hint="cs"/>
                <w:sz w:val="26"/>
                <w:rtl/>
              </w:rPr>
              <w:t>"</w:t>
            </w:r>
            <w:r w:rsidR="007633ED" w:rsidRPr="009E26C8">
              <w:rPr>
                <w:rFonts w:hint="cs"/>
                <w:sz w:val="26"/>
                <w:rtl/>
              </w:rPr>
              <w:t>ביקורת שיפוטית</w:t>
            </w:r>
          </w:p>
        </w:tc>
        <w:tc>
          <w:tcPr>
            <w:tcW w:w="624" w:type="dxa"/>
          </w:tcPr>
          <w:p w14:paraId="5B45B950" w14:textId="77777777" w:rsidR="007633ED" w:rsidRPr="009E26C8" w:rsidRDefault="007633ED" w:rsidP="00EA4BF2">
            <w:pPr>
              <w:pStyle w:val="TableText"/>
              <w:rPr>
                <w:sz w:val="26"/>
              </w:rPr>
            </w:pPr>
            <w:r w:rsidRPr="009E26C8">
              <w:rPr>
                <w:rFonts w:hint="cs"/>
                <w:sz w:val="26"/>
                <w:rtl/>
              </w:rPr>
              <w:t>22א.</w:t>
            </w:r>
          </w:p>
        </w:tc>
        <w:tc>
          <w:tcPr>
            <w:tcW w:w="4647" w:type="dxa"/>
          </w:tcPr>
          <w:p w14:paraId="1CE310D9" w14:textId="28542E8D" w:rsidR="007633ED" w:rsidRPr="009E26C8" w:rsidRDefault="007633ED" w:rsidP="008B063F">
            <w:pPr>
              <w:pStyle w:val="TableBlock"/>
              <w:rPr>
                <w:sz w:val="26"/>
              </w:rPr>
            </w:pPr>
            <w:r w:rsidRPr="009E26C8">
              <w:rPr>
                <w:rFonts w:hint="cs"/>
                <w:sz w:val="26"/>
                <w:rtl/>
              </w:rPr>
              <w:t>לא תה</w:t>
            </w:r>
            <w:r w:rsidR="008B063F">
              <w:rPr>
                <w:rFonts w:hint="cs"/>
                <w:sz w:val="26"/>
                <w:rtl/>
              </w:rPr>
              <w:t>יה</w:t>
            </w:r>
            <w:r w:rsidRPr="009E26C8">
              <w:rPr>
                <w:rFonts w:hint="cs"/>
                <w:sz w:val="26"/>
                <w:rtl/>
              </w:rPr>
              <w:t xml:space="preserve"> ביקורת שיפוטית מטעם כל ערכאה שיפוטית לגבי כל ענ</w:t>
            </w:r>
            <w:r w:rsidR="008B063F">
              <w:rPr>
                <w:rFonts w:hint="cs"/>
                <w:sz w:val="26"/>
                <w:rtl/>
              </w:rPr>
              <w:t>י</w:t>
            </w:r>
            <w:r w:rsidRPr="009E26C8">
              <w:rPr>
                <w:rFonts w:hint="cs"/>
                <w:sz w:val="26"/>
                <w:rtl/>
              </w:rPr>
              <w:t xml:space="preserve">ין הקשור או </w:t>
            </w:r>
            <w:r w:rsidR="008B063F">
              <w:rPr>
                <w:rFonts w:hint="cs"/>
                <w:sz w:val="26"/>
                <w:rtl/>
              </w:rPr>
              <w:t>ה</w:t>
            </w:r>
            <w:r w:rsidRPr="009E26C8">
              <w:rPr>
                <w:rFonts w:hint="cs"/>
                <w:sz w:val="26"/>
                <w:rtl/>
              </w:rPr>
              <w:t>נובע ממינוי של שר והעברתו מכהונה, למעט עמידת המינוי בתנאי הכשירות הקבועים בסעיף 6.</w:t>
            </w:r>
            <w:r w:rsidR="008B063F">
              <w:rPr>
                <w:rFonts w:hint="cs"/>
                <w:sz w:val="26"/>
                <w:rtl/>
              </w:rPr>
              <w:t>"</w:t>
            </w:r>
          </w:p>
        </w:tc>
      </w:tr>
    </w:tbl>
    <w:p w14:paraId="5468639B" w14:textId="77777777" w:rsidR="008B063F" w:rsidRDefault="008B063F" w:rsidP="009E26C8">
      <w:pPr>
        <w:pStyle w:val="HeadDivreiHesber"/>
        <w:rPr>
          <w:sz w:val="18"/>
          <w:szCs w:val="24"/>
          <w:rtl/>
        </w:rPr>
      </w:pPr>
      <w:r>
        <w:rPr>
          <w:sz w:val="18"/>
          <w:szCs w:val="24"/>
          <w:rtl/>
        </w:rPr>
        <w:br w:type="page"/>
      </w:r>
    </w:p>
    <w:p w14:paraId="1C5FA5B0" w14:textId="2364283D" w:rsidR="007633ED" w:rsidRPr="00A81BC2" w:rsidRDefault="007633ED" w:rsidP="009E26C8">
      <w:pPr>
        <w:pStyle w:val="HeadDivreiHesber"/>
        <w:rPr>
          <w:sz w:val="18"/>
          <w:szCs w:val="24"/>
          <w:rtl/>
        </w:rPr>
      </w:pPr>
      <w:r w:rsidRPr="00A81BC2">
        <w:rPr>
          <w:rFonts w:hint="cs"/>
          <w:sz w:val="18"/>
          <w:szCs w:val="24"/>
          <w:rtl/>
        </w:rPr>
        <w:lastRenderedPageBreak/>
        <w:t>דברי הסבר</w:t>
      </w:r>
    </w:p>
    <w:p w14:paraId="1C641619" w14:textId="77777777" w:rsidR="007633ED" w:rsidRPr="009E26C8" w:rsidRDefault="007633ED" w:rsidP="009E26C8">
      <w:pPr>
        <w:pStyle w:val="Hesber"/>
        <w:rPr>
          <w:rtl/>
        </w:rPr>
      </w:pPr>
      <w:r w:rsidRPr="009E26C8">
        <w:rPr>
          <w:rFonts w:hint="cs"/>
          <w:rtl/>
        </w:rPr>
        <w:t>מינוי שרים על ידי ראש הממשלה ובאישורה של הכנסת, כמו גם ההחלטה על העברתם מכהונה, הן פעולות והכרעות המצויות ב"ליבת הפעילות הדמוקרטית".</w:t>
      </w:r>
    </w:p>
    <w:p w14:paraId="46B089A9" w14:textId="43C21B08" w:rsidR="007633ED" w:rsidRPr="009E26C8" w:rsidRDefault="007633ED" w:rsidP="00307484">
      <w:pPr>
        <w:pStyle w:val="Hesber"/>
        <w:rPr>
          <w:rtl/>
        </w:rPr>
      </w:pPr>
      <w:r w:rsidRPr="009E26C8">
        <w:rPr>
          <w:rFonts w:hint="cs"/>
          <w:rtl/>
        </w:rPr>
        <w:t>ב</w:t>
      </w:r>
      <w:r w:rsidR="00307484">
        <w:rPr>
          <w:rFonts w:hint="cs"/>
          <w:rtl/>
        </w:rPr>
        <w:t>התאם ל</w:t>
      </w:r>
      <w:r w:rsidRPr="009E26C8">
        <w:rPr>
          <w:rFonts w:hint="cs"/>
          <w:rtl/>
        </w:rPr>
        <w:t xml:space="preserve">סמכותו, קבע </w:t>
      </w:r>
      <w:r w:rsidR="00307484">
        <w:rPr>
          <w:rFonts w:hint="cs"/>
          <w:rtl/>
        </w:rPr>
        <w:t>הרשות המכוננת</w:t>
      </w:r>
      <w:r w:rsidRPr="009E26C8">
        <w:rPr>
          <w:rFonts w:hint="cs"/>
          <w:rtl/>
        </w:rPr>
        <w:t xml:space="preserve"> בסעיפים 6(א)-(ג) לחוק-יסוד: הממשלה</w:t>
      </w:r>
      <w:r w:rsidR="008B063F">
        <w:rPr>
          <w:rFonts w:hint="cs"/>
          <w:rtl/>
        </w:rPr>
        <w:t>,</w:t>
      </w:r>
      <w:r w:rsidRPr="009E26C8">
        <w:rPr>
          <w:rFonts w:hint="cs"/>
          <w:rtl/>
        </w:rPr>
        <w:t xml:space="preserve"> הסדר שלילי, ובו רשימה סגורה של תנאים לכשירותם של שרים לכהן כחברים במ</w:t>
      </w:r>
      <w:r w:rsidR="00307484">
        <w:rPr>
          <w:rFonts w:hint="cs"/>
          <w:rtl/>
        </w:rPr>
        <w:t>משלה. סוגית כהונת שרים בממשלה נ</w:t>
      </w:r>
      <w:r w:rsidRPr="009E26C8">
        <w:rPr>
          <w:rFonts w:hint="cs"/>
          <w:rtl/>
        </w:rPr>
        <w:t xml:space="preserve">דונה בפסיקה לאורך השנים, שהוסיפה תנאים נוספים על אלו שקבע </w:t>
      </w:r>
      <w:r w:rsidR="00307484">
        <w:rPr>
          <w:rFonts w:hint="cs"/>
          <w:rtl/>
        </w:rPr>
        <w:t>הרשות המכוננת</w:t>
      </w:r>
      <w:r w:rsidRPr="009E26C8">
        <w:rPr>
          <w:rFonts w:hint="cs"/>
          <w:rtl/>
        </w:rPr>
        <w:t xml:space="preserve">. </w:t>
      </w:r>
      <w:r w:rsidR="00307484">
        <w:rPr>
          <w:rFonts w:hint="cs"/>
          <w:rtl/>
        </w:rPr>
        <w:t>וזאת במסגרת</w:t>
      </w:r>
      <w:r w:rsidRPr="009E26C8">
        <w:rPr>
          <w:rFonts w:hint="cs"/>
          <w:rtl/>
        </w:rPr>
        <w:t xml:space="preserve"> "הלכת דרעי-פנחסי"</w:t>
      </w:r>
      <w:r w:rsidR="00307484">
        <w:rPr>
          <w:rFonts w:hint="cs"/>
          <w:rtl/>
        </w:rPr>
        <w:t xml:space="preserve"> אשר</w:t>
      </w:r>
      <w:r w:rsidRPr="009E26C8">
        <w:rPr>
          <w:rFonts w:hint="cs"/>
          <w:rtl/>
        </w:rPr>
        <w:t xml:space="preserve"> גרמה לחוסר ודאות במילוי רצון הבוחר ולעתים אף להכפפת רצון הבוחר לשיקול דעתו של בית המשפט.</w:t>
      </w:r>
    </w:p>
    <w:p w14:paraId="7D9DE44B" w14:textId="2D140C88" w:rsidR="007633ED" w:rsidRPr="009E26C8" w:rsidRDefault="007633ED" w:rsidP="00307484">
      <w:pPr>
        <w:pStyle w:val="Hesber"/>
        <w:rPr>
          <w:rtl/>
        </w:rPr>
      </w:pPr>
      <w:r w:rsidRPr="009E26C8">
        <w:rPr>
          <w:rFonts w:hint="cs"/>
          <w:rtl/>
        </w:rPr>
        <w:t>ניסיונו</w:t>
      </w:r>
      <w:r w:rsidRPr="009E26C8">
        <w:rPr>
          <w:rFonts w:hint="eastAsia"/>
          <w:rtl/>
        </w:rPr>
        <w:t>ת</w:t>
      </w:r>
      <w:r w:rsidRPr="009E26C8">
        <w:rPr>
          <w:rFonts w:hint="cs"/>
          <w:rtl/>
        </w:rPr>
        <w:t xml:space="preserve"> אחרים לתיקון הלכה זו בדרכים אחרות (לרבות התייחסות </w:t>
      </w:r>
      <w:r w:rsidR="00307484">
        <w:rPr>
          <w:rFonts w:hint="cs"/>
          <w:rtl/>
        </w:rPr>
        <w:t>הרשות המכוננת</w:t>
      </w:r>
      <w:r w:rsidRPr="009E26C8">
        <w:rPr>
          <w:rFonts w:hint="cs"/>
          <w:rtl/>
        </w:rPr>
        <w:t xml:space="preserve"> להפסקת כהונת שר מחמת עבירה) לא צלחו. על כן נדרש</w:t>
      </w:r>
      <w:r w:rsidR="00307484">
        <w:rPr>
          <w:rFonts w:hint="cs"/>
          <w:rtl/>
        </w:rPr>
        <w:t>ה</w:t>
      </w:r>
      <w:r w:rsidRPr="009E26C8">
        <w:rPr>
          <w:rFonts w:hint="cs"/>
          <w:rtl/>
        </w:rPr>
        <w:t xml:space="preserve"> </w:t>
      </w:r>
      <w:r w:rsidR="00307484">
        <w:rPr>
          <w:rFonts w:hint="cs"/>
          <w:rtl/>
        </w:rPr>
        <w:t>הרשות המכוננת</w:t>
      </w:r>
      <w:r w:rsidRPr="009E26C8">
        <w:rPr>
          <w:rFonts w:hint="cs"/>
          <w:rtl/>
        </w:rPr>
        <w:t xml:space="preserve"> להבהיר כי בענ</w:t>
      </w:r>
      <w:r w:rsidR="008B063F">
        <w:rPr>
          <w:rFonts w:hint="cs"/>
          <w:rtl/>
        </w:rPr>
        <w:t>י</w:t>
      </w:r>
      <w:bookmarkStart w:id="7" w:name="_GoBack"/>
      <w:bookmarkEnd w:id="7"/>
      <w:r w:rsidRPr="009E26C8">
        <w:rPr>
          <w:rFonts w:hint="cs"/>
          <w:rtl/>
        </w:rPr>
        <w:t>ין זהות שרים, מינויים והעברתם מכהונה, בי</w:t>
      </w:r>
      <w:r w:rsidR="00307484">
        <w:rPr>
          <w:rFonts w:hint="cs"/>
          <w:rtl/>
        </w:rPr>
        <w:t>ת המשפט לא י</w:t>
      </w:r>
      <w:r w:rsidRPr="009E26C8">
        <w:rPr>
          <w:rFonts w:hint="cs"/>
          <w:rtl/>
        </w:rPr>
        <w:t xml:space="preserve">בחן את אופן הפעלת שיקול הדעת של הגורם הממנה, הממונה או המאשר </w:t>
      </w:r>
      <w:r w:rsidRPr="009E26C8">
        <w:rPr>
          <w:rtl/>
        </w:rPr>
        <w:t>–</w:t>
      </w:r>
      <w:r w:rsidRPr="009E26C8">
        <w:rPr>
          <w:rFonts w:hint="cs"/>
          <w:rtl/>
        </w:rPr>
        <w:t xml:space="preserve"> במעשה או במחדל.</w:t>
      </w:r>
    </w:p>
    <w:p w14:paraId="2D4C1186" w14:textId="0893E710" w:rsidR="007633ED" w:rsidRPr="009E26C8" w:rsidRDefault="007633ED" w:rsidP="009E26C8">
      <w:pPr>
        <w:pStyle w:val="Hesber"/>
        <w:rPr>
          <w:rtl/>
        </w:rPr>
      </w:pPr>
      <w:r w:rsidRPr="009E26C8">
        <w:rPr>
          <w:rFonts w:hint="cs"/>
          <w:rtl/>
        </w:rPr>
        <w:t>מוצע לתקן את חוק-יסוד</w:t>
      </w:r>
      <w:r w:rsidR="0095056A">
        <w:rPr>
          <w:rFonts w:hint="cs"/>
          <w:rtl/>
        </w:rPr>
        <w:t>:</w:t>
      </w:r>
      <w:r w:rsidRPr="009E26C8">
        <w:rPr>
          <w:rFonts w:hint="cs"/>
          <w:rtl/>
        </w:rPr>
        <w:t xml:space="preserve"> הממשלה</w:t>
      </w:r>
      <w:r w:rsidR="008B063F">
        <w:rPr>
          <w:rFonts w:hint="cs"/>
          <w:rtl/>
        </w:rPr>
        <w:t>,</w:t>
      </w:r>
      <w:r w:rsidRPr="009E26C8">
        <w:rPr>
          <w:rFonts w:hint="cs"/>
          <w:rtl/>
        </w:rPr>
        <w:t xml:space="preserve"> כך שיובהר כי בית המשפט, לרבות בית המשפט העליון בשבתו כבית משפט גבוה לצדק, לא מוסמך לקיים ביקורת שיפוטית על מינויים של שרים וזהותם, מכל עילה שהיא, למעט לענ</w:t>
      </w:r>
      <w:r w:rsidR="00307484">
        <w:rPr>
          <w:rFonts w:hint="cs"/>
          <w:rtl/>
        </w:rPr>
        <w:t>י</w:t>
      </w:r>
      <w:r w:rsidRPr="009E26C8">
        <w:rPr>
          <w:rFonts w:hint="cs"/>
          <w:rtl/>
        </w:rPr>
        <w:t>ין תנאי הכשירות שקבע המכונן.</w:t>
      </w:r>
    </w:p>
    <w:p w14:paraId="7F6961CB" w14:textId="77777777" w:rsidR="00E13C27" w:rsidRDefault="00E13C27" w:rsidP="00E13C27">
      <w:pPr>
        <w:pStyle w:val="Hesber"/>
        <w:rPr>
          <w:rtl/>
        </w:rPr>
      </w:pPr>
    </w:p>
    <w:p w14:paraId="5E84F8F5" w14:textId="77777777" w:rsidR="007900B6" w:rsidRDefault="009B537D">
      <w:pPr>
        <w:jc w:val="left"/>
      </w:pPr>
      <w:bookmarkStart w:id="8" w:name="selectedDocDateB"/>
      <w:bookmarkEnd w:id="8"/>
      <w:r>
        <w:rPr>
          <w:rFonts w:eastAsia="David" w:hint="cs"/>
          <w:sz w:val="26"/>
          <w:szCs w:val="26"/>
          <w:rtl/>
        </w:rPr>
        <w:t>--------------------------------</w:t>
      </w:r>
    </w:p>
    <w:p w14:paraId="2E4FAFE3" w14:textId="77777777" w:rsidR="007900B6" w:rsidRDefault="009B537D">
      <w:pPr>
        <w:jc w:val="left"/>
      </w:pPr>
      <w:r>
        <w:rPr>
          <w:rFonts w:eastAsia="David" w:hint="cs"/>
          <w:sz w:val="26"/>
          <w:szCs w:val="26"/>
          <w:rtl/>
        </w:rPr>
        <w:t>הוגשה ליו"ר הכנסת והסגנים</w:t>
      </w:r>
    </w:p>
    <w:p w14:paraId="421B6BFC" w14:textId="77777777" w:rsidR="007900B6" w:rsidRDefault="009B537D">
      <w:pPr>
        <w:jc w:val="left"/>
      </w:pPr>
      <w:r>
        <w:rPr>
          <w:rFonts w:eastAsia="David" w:hint="cs"/>
          <w:sz w:val="26"/>
          <w:szCs w:val="26"/>
          <w:rtl/>
        </w:rPr>
        <w:t>והונחה על שולחן הכנסת ביום</w:t>
      </w:r>
    </w:p>
    <w:p w14:paraId="310A7831" w14:textId="77777777" w:rsidR="007900B6" w:rsidRDefault="009B537D">
      <w:pPr>
        <w:jc w:val="left"/>
      </w:pPr>
      <w:r>
        <w:rPr>
          <w:rFonts w:eastAsia="David" w:hint="cs"/>
          <w:sz w:val="26"/>
          <w:szCs w:val="26"/>
          <w:rtl/>
        </w:rPr>
        <w:t xml:space="preserve">ט"ו בשבט התשפ"ג (06.02.2023) </w:t>
      </w:r>
    </w:p>
    <w:p w14:paraId="700DDA84" w14:textId="77777777" w:rsidR="007900B6" w:rsidRDefault="007900B6">
      <w:pPr>
        <w:spacing w:line="276" w:lineRule="auto"/>
        <w:jc w:val="left"/>
      </w:pPr>
    </w:p>
    <w:sectPr w:rsidR="007900B6" w:rsidSect="008B063F">
      <w:footerReference w:type="even" r:id="rId11"/>
      <w:footerReference w:type="default" r:id="rId12"/>
      <w:pgSz w:w="11907" w:h="16840" w:code="9"/>
      <w:pgMar w:top="1701" w:right="1134" w:bottom="1417" w:left="1134" w:header="680" w:footer="680" w:gutter="0"/>
      <w:cols w:space="720"/>
      <w:noEndnote/>
      <w:titlePg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6B4C1" w14:textId="77777777" w:rsidR="00D142D3" w:rsidRDefault="00D142D3">
      <w:r>
        <w:separator/>
      </w:r>
    </w:p>
  </w:endnote>
  <w:endnote w:type="continuationSeparator" w:id="0">
    <w:p w14:paraId="0E546755" w14:textId="77777777" w:rsidR="00D142D3" w:rsidRDefault="00D142D3">
      <w:r>
        <w:continuationSeparator/>
      </w:r>
    </w:p>
  </w:endnote>
  <w:endnote w:type="continuationNotice" w:id="1">
    <w:p w14:paraId="24369900" w14:textId="77777777" w:rsidR="00D142D3" w:rsidRDefault="00D142D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14:paraId="7F6961D6" w14:textId="77777777" w:rsidR="002C3041" w:rsidRDefault="002C30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8B063F">
      <w:rPr>
        <w:rStyle w:val="aa"/>
        <w:noProof/>
        <w:rtl/>
      </w:rPr>
      <w:t>2</w:t>
    </w:r>
    <w:r>
      <w:rPr>
        <w:rStyle w:val="aa"/>
        <w:rtl/>
      </w:rPr>
      <w:fldChar w:fldCharType="end"/>
    </w:r>
  </w:p>
  <w:p w14:paraId="7F6961D8" w14:textId="77777777" w:rsidR="002C3041" w:rsidRDefault="002C30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674C0" w14:textId="77777777" w:rsidR="00D142D3" w:rsidRDefault="00D142D3">
      <w:r>
        <w:separator/>
      </w:r>
    </w:p>
  </w:footnote>
  <w:footnote w:type="continuationSeparator" w:id="0">
    <w:p w14:paraId="401CF485" w14:textId="77777777" w:rsidR="00D142D3" w:rsidRDefault="00D142D3">
      <w:r>
        <w:continuationSeparator/>
      </w:r>
    </w:p>
  </w:footnote>
  <w:footnote w:type="continuationNotice" w:id="1">
    <w:p w14:paraId="173A6451" w14:textId="77777777" w:rsidR="00D142D3" w:rsidRDefault="00D142D3"/>
  </w:footnote>
  <w:footnote w:id="2">
    <w:p w14:paraId="419D2910" w14:textId="52E2DF7C" w:rsidR="008B063F" w:rsidRDefault="008B063F">
      <w:pPr>
        <w:pStyle w:val="a4"/>
        <w:rPr>
          <w:rFonts w:hint="cs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התשס"א, עמ' 158.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4943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A2EB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E00D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D24B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1685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CA2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EA33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8CFF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38A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B85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972A86"/>
    <w:multiLevelType w:val="hybridMultilevel"/>
    <w:tmpl w:val="0D5028AE"/>
    <w:lvl w:ilvl="0" w:tplc="FB92B18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A2B35"/>
    <w:multiLevelType w:val="hybridMultilevel"/>
    <w:tmpl w:val="F61ADD04"/>
    <w:lvl w:ilvl="0" w:tplc="EFC26F30">
      <w:start w:val="1"/>
      <w:numFmt w:val="hebrew1"/>
      <w:pStyle w:val="4"/>
      <w:suff w:val="space"/>
      <w:lvlText w:val="%1."/>
      <w:lvlJc w:val="left"/>
      <w:pPr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3B28B0"/>
    <w:multiLevelType w:val="hybridMultilevel"/>
    <w:tmpl w:val="41ACEA96"/>
    <w:lvl w:ilvl="0" w:tplc="06A8C010">
      <w:start w:val="1"/>
      <w:numFmt w:val="decimal"/>
      <w:pStyle w:val="TOC3"/>
      <w:lvlText w:val="%1."/>
      <w:lvlJc w:val="left"/>
      <w:pPr>
        <w:ind w:left="1287" w:hanging="360"/>
      </w:pPr>
      <w:rPr>
        <w:rFonts w:cs="David" w:hint="default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53C544D"/>
    <w:multiLevelType w:val="hybridMultilevel"/>
    <w:tmpl w:val="C7443990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11"/>
  </w:num>
  <w:num w:numId="14">
    <w:abstractNumId w:val="16"/>
  </w:num>
  <w:num w:numId="15">
    <w:abstractNumId w:val="13"/>
  </w:num>
  <w:num w:numId="16">
    <w:abstractNumId w:val="13"/>
    <w:lvlOverride w:ilvl="0">
      <w:startOverride w:val="1"/>
    </w:lvlOverride>
  </w:num>
  <w:num w:numId="17">
    <w:abstractNumId w:val="1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56A40"/>
    <w:rsid w:val="00063A3E"/>
    <w:rsid w:val="00072CAC"/>
    <w:rsid w:val="0007681A"/>
    <w:rsid w:val="000A542E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A0623"/>
    <w:rsid w:val="001C23B0"/>
    <w:rsid w:val="001D7AAF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92712"/>
    <w:rsid w:val="002A487D"/>
    <w:rsid w:val="002C2E29"/>
    <w:rsid w:val="002C3041"/>
    <w:rsid w:val="002D1EE3"/>
    <w:rsid w:val="002F1D80"/>
    <w:rsid w:val="00307484"/>
    <w:rsid w:val="003232A2"/>
    <w:rsid w:val="00325C14"/>
    <w:rsid w:val="0036422C"/>
    <w:rsid w:val="003710F6"/>
    <w:rsid w:val="00386E88"/>
    <w:rsid w:val="00396585"/>
    <w:rsid w:val="003D6E38"/>
    <w:rsid w:val="003D74A0"/>
    <w:rsid w:val="004033D8"/>
    <w:rsid w:val="004073F0"/>
    <w:rsid w:val="00412A7D"/>
    <w:rsid w:val="00416B4D"/>
    <w:rsid w:val="00417CFC"/>
    <w:rsid w:val="004A06DC"/>
    <w:rsid w:val="004B24ED"/>
    <w:rsid w:val="004B6625"/>
    <w:rsid w:val="004D2D82"/>
    <w:rsid w:val="004D3876"/>
    <w:rsid w:val="004E4552"/>
    <w:rsid w:val="004E6CDF"/>
    <w:rsid w:val="00510F68"/>
    <w:rsid w:val="00553C9D"/>
    <w:rsid w:val="00562A66"/>
    <w:rsid w:val="0056317E"/>
    <w:rsid w:val="005B064E"/>
    <w:rsid w:val="005D51AE"/>
    <w:rsid w:val="0062674B"/>
    <w:rsid w:val="006363B2"/>
    <w:rsid w:val="00644940"/>
    <w:rsid w:val="006818A9"/>
    <w:rsid w:val="006A2D81"/>
    <w:rsid w:val="006C1D0D"/>
    <w:rsid w:val="0070601E"/>
    <w:rsid w:val="00712C72"/>
    <w:rsid w:val="00735FE9"/>
    <w:rsid w:val="007633ED"/>
    <w:rsid w:val="00763CAA"/>
    <w:rsid w:val="00765F66"/>
    <w:rsid w:val="007860ED"/>
    <w:rsid w:val="0078664F"/>
    <w:rsid w:val="007900B6"/>
    <w:rsid w:val="007A27CE"/>
    <w:rsid w:val="007C3FA6"/>
    <w:rsid w:val="007D585A"/>
    <w:rsid w:val="007D5A12"/>
    <w:rsid w:val="007E59F9"/>
    <w:rsid w:val="00810BCD"/>
    <w:rsid w:val="00812C98"/>
    <w:rsid w:val="00814D92"/>
    <w:rsid w:val="0083181D"/>
    <w:rsid w:val="00843EB2"/>
    <w:rsid w:val="00865572"/>
    <w:rsid w:val="00874BBC"/>
    <w:rsid w:val="00892135"/>
    <w:rsid w:val="00895449"/>
    <w:rsid w:val="00897879"/>
    <w:rsid w:val="008A6870"/>
    <w:rsid w:val="008B063F"/>
    <w:rsid w:val="008C2DDC"/>
    <w:rsid w:val="008C7516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43386"/>
    <w:rsid w:val="009456B6"/>
    <w:rsid w:val="0095056A"/>
    <w:rsid w:val="00957589"/>
    <w:rsid w:val="00966D06"/>
    <w:rsid w:val="00982412"/>
    <w:rsid w:val="00983A8D"/>
    <w:rsid w:val="009A0DB8"/>
    <w:rsid w:val="009A7257"/>
    <w:rsid w:val="009B537D"/>
    <w:rsid w:val="009D6E0A"/>
    <w:rsid w:val="009E1E33"/>
    <w:rsid w:val="009E26C8"/>
    <w:rsid w:val="00A14672"/>
    <w:rsid w:val="00A26BD6"/>
    <w:rsid w:val="00A443CF"/>
    <w:rsid w:val="00A6611D"/>
    <w:rsid w:val="00A82CB7"/>
    <w:rsid w:val="00A942C1"/>
    <w:rsid w:val="00AA2F03"/>
    <w:rsid w:val="00AC36F7"/>
    <w:rsid w:val="00AC63A4"/>
    <w:rsid w:val="00AD239E"/>
    <w:rsid w:val="00B035CC"/>
    <w:rsid w:val="00B10265"/>
    <w:rsid w:val="00B16A99"/>
    <w:rsid w:val="00B21211"/>
    <w:rsid w:val="00B35784"/>
    <w:rsid w:val="00B733A7"/>
    <w:rsid w:val="00B75C91"/>
    <w:rsid w:val="00B975AD"/>
    <w:rsid w:val="00BC45FB"/>
    <w:rsid w:val="00BF148D"/>
    <w:rsid w:val="00C23B1A"/>
    <w:rsid w:val="00C310EB"/>
    <w:rsid w:val="00C9176A"/>
    <w:rsid w:val="00CF1AA2"/>
    <w:rsid w:val="00D142D3"/>
    <w:rsid w:val="00D17774"/>
    <w:rsid w:val="00D63620"/>
    <w:rsid w:val="00D8410D"/>
    <w:rsid w:val="00D867D7"/>
    <w:rsid w:val="00DB7060"/>
    <w:rsid w:val="00DE3153"/>
    <w:rsid w:val="00E06736"/>
    <w:rsid w:val="00E13C27"/>
    <w:rsid w:val="00E33BBD"/>
    <w:rsid w:val="00E374F2"/>
    <w:rsid w:val="00E45103"/>
    <w:rsid w:val="00E55A60"/>
    <w:rsid w:val="00E62778"/>
    <w:rsid w:val="00E635A2"/>
    <w:rsid w:val="00E63D38"/>
    <w:rsid w:val="00E665B9"/>
    <w:rsid w:val="00EA01E6"/>
    <w:rsid w:val="00EA3DE8"/>
    <w:rsid w:val="00EA758F"/>
    <w:rsid w:val="00ED4A6F"/>
    <w:rsid w:val="00EF3A3A"/>
    <w:rsid w:val="00F628D6"/>
    <w:rsid w:val="00F67051"/>
    <w:rsid w:val="00F86A1E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490EB67A-EBC7-402D-9B6D-7F051169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63F"/>
    <w:pPr>
      <w:widowControl w:val="0"/>
      <w:bidi/>
      <w:spacing w:line="360" w:lineRule="auto"/>
      <w:ind w:left="340"/>
      <w:contextualSpacing/>
      <w:jc w:val="both"/>
    </w:pPr>
    <w:rPr>
      <w:rFonts w:ascii="David" w:eastAsiaTheme="minorHAnsi" w:hAnsi="David" w:cs="David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063F"/>
    <w:pPr>
      <w:keepNext/>
      <w:keepLines/>
      <w:spacing w:before="240"/>
      <w:jc w:val="center"/>
      <w:outlineLvl w:val="0"/>
    </w:pPr>
    <w:rPr>
      <w:rFonts w:asciiTheme="majorHAnsi" w:eastAsiaTheme="majorEastAsia" w:hAnsiTheme="majorHAnsi"/>
      <w:bCs/>
      <w:sz w:val="32"/>
      <w:szCs w:val="36"/>
    </w:rPr>
  </w:style>
  <w:style w:type="paragraph" w:styleId="2">
    <w:name w:val="heading 2"/>
    <w:basedOn w:val="a"/>
    <w:next w:val="a"/>
    <w:link w:val="20"/>
    <w:unhideWhenUsed/>
    <w:qFormat/>
    <w:rsid w:val="008B063F"/>
    <w:pPr>
      <w:ind w:left="0"/>
      <w:jc w:val="left"/>
      <w:outlineLvl w:val="1"/>
    </w:pPr>
    <w:rPr>
      <w:rFonts w:asciiTheme="majorHAnsi" w:eastAsiaTheme="majorEastAsia" w:hAnsiTheme="majorHAnsi"/>
      <w:bCs/>
      <w:sz w:val="26"/>
      <w:szCs w:val="36"/>
      <w:u w:val="single"/>
    </w:rPr>
  </w:style>
  <w:style w:type="paragraph" w:styleId="3">
    <w:name w:val="heading 3"/>
    <w:basedOn w:val="a"/>
    <w:next w:val="a"/>
    <w:link w:val="30"/>
    <w:unhideWhenUsed/>
    <w:qFormat/>
    <w:rsid w:val="008B063F"/>
    <w:pPr>
      <w:spacing w:before="40"/>
      <w:ind w:left="0"/>
      <w:jc w:val="left"/>
      <w:outlineLvl w:val="2"/>
    </w:pPr>
    <w:rPr>
      <w:rFonts w:asciiTheme="majorHAnsi" w:eastAsiaTheme="majorEastAsia" w:hAnsiTheme="majorHAnsi"/>
      <w:szCs w:val="28"/>
      <w:u w:val="double"/>
    </w:rPr>
  </w:style>
  <w:style w:type="paragraph" w:styleId="4">
    <w:name w:val="heading 4"/>
    <w:basedOn w:val="a"/>
    <w:next w:val="a"/>
    <w:link w:val="40"/>
    <w:uiPriority w:val="9"/>
    <w:unhideWhenUsed/>
    <w:qFormat/>
    <w:rsid w:val="008B063F"/>
    <w:pPr>
      <w:numPr>
        <w:numId w:val="18"/>
      </w:numPr>
      <w:spacing w:before="40" w:after="120"/>
      <w:outlineLvl w:val="3"/>
    </w:pPr>
    <w:rPr>
      <w:b/>
      <w:bCs/>
      <w:color w:val="000000" w:themeColor="text1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B063F"/>
    <w:pPr>
      <w:spacing w:line="259" w:lineRule="auto"/>
      <w:outlineLvl w:val="4"/>
    </w:pPr>
    <w:rPr>
      <w:color w:val="000000" w:themeColor="text1"/>
    </w:rPr>
  </w:style>
  <w:style w:type="character" w:default="1" w:styleId="a0">
    <w:name w:val="Default Paragraph Font"/>
    <w:uiPriority w:val="1"/>
    <w:semiHidden/>
    <w:unhideWhenUsed/>
    <w:rsid w:val="008B063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B063F"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8B063F"/>
    <w:pPr>
      <w:tabs>
        <w:tab w:val="left" w:pos="1191"/>
        <w:tab w:val="left" w:pos="1587"/>
      </w:tabs>
      <w:snapToGrid w:val="0"/>
      <w:spacing w:before="240" w:after="240" w:line="480" w:lineRule="auto"/>
      <w:jc w:val="center"/>
    </w:pPr>
    <w:rPr>
      <w:rFonts w:ascii="Arial" w:eastAsia="Arial Unicode MS" w:hAnsi="Arial"/>
      <w:snapToGrid w:val="0"/>
      <w:sz w:val="20"/>
      <w:szCs w:val="26"/>
    </w:rPr>
  </w:style>
  <w:style w:type="paragraph" w:customStyle="1" w:styleId="Cover2-HatzaotHok">
    <w:name w:val="Cover 2-HatzaotHok"/>
    <w:basedOn w:val="Cover1-Reshumot"/>
    <w:rsid w:val="008B063F"/>
    <w:rPr>
      <w:sz w:val="36"/>
      <w:szCs w:val="52"/>
    </w:rPr>
  </w:style>
  <w:style w:type="paragraph" w:customStyle="1" w:styleId="Cover3-Haknesset">
    <w:name w:val="Cover 3-Haknesset"/>
    <w:basedOn w:val="Cover1-Reshumot"/>
    <w:rsid w:val="008B063F"/>
    <w:rPr>
      <w:b/>
      <w:bCs/>
      <w:spacing w:val="60"/>
    </w:rPr>
  </w:style>
  <w:style w:type="paragraph" w:customStyle="1" w:styleId="Cover4-Date">
    <w:name w:val="Cover 4-Date"/>
    <w:basedOn w:val="a"/>
    <w:rsid w:val="008B063F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/>
      <w:jc w:val="left"/>
    </w:pPr>
    <w:rPr>
      <w:rFonts w:ascii="Arial" w:eastAsia="Arial Unicode MS" w:hAnsi="Arial"/>
      <w:snapToGrid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8B063F"/>
    <w:pPr>
      <w:keepNext/>
      <w:keepLines/>
      <w:pageBreakBefore/>
      <w:snapToGrid w:val="0"/>
      <w:spacing w:before="480"/>
    </w:pPr>
    <w:rPr>
      <w:rFonts w:ascii="Arial" w:eastAsia="Arial Unicode MS" w:hAnsi="Arial"/>
      <w:b/>
      <w:bCs/>
      <w:snapToGrid w:val="0"/>
      <w:sz w:val="20"/>
      <w:szCs w:val="26"/>
    </w:rPr>
  </w:style>
  <w:style w:type="paragraph" w:customStyle="1" w:styleId="HeadHatzaotHok">
    <w:name w:val="Head HatzaotHok"/>
    <w:basedOn w:val="a"/>
    <w:rsid w:val="008B063F"/>
    <w:pPr>
      <w:keepNext/>
      <w:keepLines/>
      <w:snapToGrid w:val="0"/>
      <w:spacing w:before="240"/>
      <w:jc w:val="center"/>
      <w:outlineLvl w:val="0"/>
    </w:pPr>
    <w:rPr>
      <w:rFonts w:ascii="Arial" w:eastAsia="Arial Unicode MS" w:hAnsi="Arial"/>
      <w:b/>
      <w:bCs/>
      <w:snapToGrid w:val="0"/>
      <w:sz w:val="20"/>
      <w:szCs w:val="26"/>
    </w:rPr>
  </w:style>
  <w:style w:type="paragraph" w:customStyle="1" w:styleId="HeadHatzaotHok4Futer">
    <w:name w:val="Head HatzaotHok4Futer"/>
    <w:basedOn w:val="HeadHatzaotHok"/>
    <w:rsid w:val="008B063F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8B063F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8B063F"/>
    <w:pPr>
      <w:keepLines/>
      <w:tabs>
        <w:tab w:val="left" w:pos="624"/>
        <w:tab w:val="left" w:pos="1247"/>
      </w:tabs>
      <w:snapToGrid w:val="0"/>
      <w:ind w:left="0"/>
      <w:jc w:val="left"/>
    </w:pPr>
    <w:rPr>
      <w:rFonts w:ascii="Arial" w:eastAsia="Arial Unicode MS" w:hAnsi="Arial"/>
      <w:snapToGrid w:val="0"/>
      <w:sz w:val="20"/>
      <w:szCs w:val="26"/>
    </w:rPr>
  </w:style>
  <w:style w:type="paragraph" w:customStyle="1" w:styleId="TableSideHeading">
    <w:name w:val="Table SideHeading"/>
    <w:basedOn w:val="TableText"/>
    <w:rsid w:val="008B063F"/>
    <w:pPr>
      <w:outlineLvl w:val="2"/>
    </w:pPr>
  </w:style>
  <w:style w:type="paragraph" w:customStyle="1" w:styleId="TableBlock">
    <w:name w:val="Table Block"/>
    <w:basedOn w:val="TableText"/>
    <w:rsid w:val="008B063F"/>
    <w:pPr>
      <w:jc w:val="both"/>
    </w:pPr>
  </w:style>
  <w:style w:type="paragraph" w:customStyle="1" w:styleId="TableHead">
    <w:name w:val="Table Head"/>
    <w:basedOn w:val="TableText"/>
    <w:rsid w:val="008B063F"/>
    <w:pPr>
      <w:jc w:val="center"/>
      <w:outlineLvl w:val="1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8B063F"/>
    <w:pPr>
      <w:outlineLvl w:val="9"/>
    </w:pPr>
  </w:style>
  <w:style w:type="paragraph" w:customStyle="1" w:styleId="Hesber">
    <w:name w:val="Hesber"/>
    <w:basedOn w:val="a"/>
    <w:rsid w:val="008B063F"/>
    <w:pPr>
      <w:snapToGrid w:val="0"/>
      <w:ind w:left="0" w:firstLine="340"/>
    </w:pPr>
    <w:rPr>
      <w:rFonts w:ascii="Arial" w:eastAsia="Arial Unicode MS" w:hAnsi="Arial"/>
      <w:snapToGrid w:val="0"/>
      <w:sz w:val="20"/>
      <w:szCs w:val="26"/>
    </w:rPr>
  </w:style>
  <w:style w:type="paragraph" w:styleId="a4">
    <w:name w:val="footnote text"/>
    <w:basedOn w:val="a"/>
    <w:autoRedefine/>
    <w:semiHidden/>
    <w:rsid w:val="008B063F"/>
    <w:pPr>
      <w:snapToGrid w:val="0"/>
      <w:spacing w:line="240" w:lineRule="auto"/>
      <w:ind w:left="0"/>
      <w:jc w:val="left"/>
    </w:pPr>
    <w:rPr>
      <w:rFonts w:ascii="Arial" w:eastAsia="Arial Unicode MS" w:hAnsi="Arial"/>
      <w:snapToGrid w:val="0"/>
      <w:sz w:val="14"/>
      <w:szCs w:val="20"/>
    </w:rPr>
  </w:style>
  <w:style w:type="character" w:styleId="a5">
    <w:name w:val="footnote reference"/>
    <w:aliases w:val="Footnote Reference"/>
    <w:basedOn w:val="a0"/>
    <w:semiHidden/>
    <w:rsid w:val="008B063F"/>
    <w:rPr>
      <w:vertAlign w:val="superscript"/>
    </w:rPr>
  </w:style>
  <w:style w:type="paragraph" w:customStyle="1" w:styleId="HesberHeading">
    <w:name w:val="Hesber Heading"/>
    <w:basedOn w:val="Hesber"/>
    <w:rsid w:val="008B063F"/>
    <w:pPr>
      <w:tabs>
        <w:tab w:val="left" w:pos="624"/>
        <w:tab w:val="left" w:pos="1247"/>
      </w:tabs>
    </w:pPr>
    <w:rPr>
      <w:b/>
      <w:bCs/>
    </w:rPr>
  </w:style>
  <w:style w:type="paragraph" w:customStyle="1" w:styleId="HesberWriters">
    <w:name w:val="Hesber Writers"/>
    <w:basedOn w:val="Hesber"/>
    <w:rsid w:val="008B063F"/>
    <w:pPr>
      <w:spacing w:before="120" w:after="120"/>
      <w:ind w:left="1418"/>
      <w:jc w:val="right"/>
    </w:pPr>
    <w:rPr>
      <w:b/>
      <w:bCs/>
    </w:rPr>
  </w:style>
  <w:style w:type="paragraph" w:customStyle="1" w:styleId="Hesber1st">
    <w:name w:val="Hesber 1st"/>
    <w:basedOn w:val="Hesber"/>
    <w:rsid w:val="008B063F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8B063F"/>
    <w:rPr>
      <w:vertAlign w:val="superscript"/>
    </w:rPr>
  </w:style>
  <w:style w:type="paragraph" w:customStyle="1" w:styleId="TableBlockOutdent">
    <w:name w:val="Table BlockOutdent"/>
    <w:basedOn w:val="TableBlock"/>
    <w:rsid w:val="008B063F"/>
    <w:pPr>
      <w:ind w:left="624" w:hanging="624"/>
    </w:pPr>
  </w:style>
  <w:style w:type="paragraph" w:styleId="a7">
    <w:name w:val="header"/>
    <w:basedOn w:val="a"/>
    <w:rsid w:val="008B063F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8B063F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8B063F"/>
    <w:pPr>
      <w:snapToGrid w:val="0"/>
      <w:spacing w:before="360" w:after="120"/>
      <w:jc w:val="center"/>
      <w:outlineLvl w:val="1"/>
    </w:pPr>
    <w:rPr>
      <w:rFonts w:ascii="Arial" w:eastAsia="Arial Unicode MS" w:hAnsi="Arial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8B063F"/>
    <w:pPr>
      <w:snapToGrid w:val="0"/>
      <w:jc w:val="left"/>
    </w:pPr>
    <w:rPr>
      <w:rFonts w:ascii="Arial" w:eastAsia="Arial Unicode MS" w:hAnsi="Arial"/>
      <w:snapToGrid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b/>
      <w:bCs/>
      <w:sz w:val="28"/>
      <w:szCs w:val="28"/>
      <w:u w:val="single"/>
    </w:rPr>
  </w:style>
  <w:style w:type="character" w:styleId="aa">
    <w:name w:val="page number"/>
    <w:basedOn w:val="a0"/>
    <w:rsid w:val="008B063F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jc w:val="left"/>
    </w:pPr>
    <w:rPr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customStyle="1" w:styleId="10">
    <w:name w:val="כותרת 1 תו"/>
    <w:basedOn w:val="a0"/>
    <w:link w:val="1"/>
    <w:uiPriority w:val="9"/>
    <w:rsid w:val="008B063F"/>
    <w:rPr>
      <w:rFonts w:asciiTheme="majorHAnsi" w:eastAsiaTheme="majorEastAsia" w:hAnsiTheme="majorHAnsi" w:cs="David"/>
      <w:bCs/>
      <w:sz w:val="32"/>
      <w:szCs w:val="36"/>
    </w:rPr>
  </w:style>
  <w:style w:type="character" w:customStyle="1" w:styleId="20">
    <w:name w:val="כותרת 2 תו"/>
    <w:basedOn w:val="a0"/>
    <w:link w:val="2"/>
    <w:rsid w:val="008B063F"/>
    <w:rPr>
      <w:rFonts w:asciiTheme="majorHAnsi" w:eastAsiaTheme="majorEastAsia" w:hAnsiTheme="majorHAnsi" w:cs="David"/>
      <w:bCs/>
      <w:sz w:val="26"/>
      <w:szCs w:val="36"/>
      <w:u w:val="single"/>
    </w:rPr>
  </w:style>
  <w:style w:type="character" w:customStyle="1" w:styleId="30">
    <w:name w:val="כותרת 3 תו"/>
    <w:basedOn w:val="a0"/>
    <w:link w:val="3"/>
    <w:rsid w:val="008B063F"/>
    <w:rPr>
      <w:rFonts w:asciiTheme="majorHAnsi" w:eastAsiaTheme="majorEastAsia" w:hAnsiTheme="majorHAnsi" w:cs="David"/>
      <w:sz w:val="24"/>
      <w:szCs w:val="28"/>
      <w:u w:val="double"/>
    </w:rPr>
  </w:style>
  <w:style w:type="character" w:customStyle="1" w:styleId="40">
    <w:name w:val="כותרת 4 תו"/>
    <w:basedOn w:val="a0"/>
    <w:link w:val="4"/>
    <w:uiPriority w:val="9"/>
    <w:rsid w:val="008B063F"/>
    <w:rPr>
      <w:rFonts w:ascii="David" w:eastAsiaTheme="minorHAnsi" w:hAnsi="David" w:cs="David"/>
      <w:b/>
      <w:bCs/>
      <w:color w:val="000000" w:themeColor="text1"/>
      <w:sz w:val="24"/>
      <w:szCs w:val="28"/>
    </w:rPr>
  </w:style>
  <w:style w:type="character" w:customStyle="1" w:styleId="50">
    <w:name w:val="כותרת 5 תו"/>
    <w:basedOn w:val="a0"/>
    <w:link w:val="5"/>
    <w:uiPriority w:val="9"/>
    <w:rsid w:val="008B063F"/>
    <w:rPr>
      <w:rFonts w:ascii="David" w:eastAsiaTheme="minorHAnsi" w:hAnsi="David" w:cs="David"/>
      <w:color w:val="000000" w:themeColor="text1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8B063F"/>
    <w:pPr>
      <w:widowControl/>
      <w:spacing w:before="120" w:after="120"/>
      <w:outlineLvl w:val="9"/>
    </w:pPr>
    <w:rPr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8B063F"/>
    <w:pPr>
      <w:tabs>
        <w:tab w:val="right" w:leader="dot" w:pos="9629"/>
      </w:tabs>
      <w:spacing w:after="100"/>
    </w:pPr>
    <w:rPr>
      <w:bCs/>
      <w:szCs w:val="22"/>
    </w:rPr>
  </w:style>
  <w:style w:type="paragraph" w:styleId="TOC2">
    <w:name w:val="toc 2"/>
    <w:basedOn w:val="a"/>
    <w:next w:val="a"/>
    <w:uiPriority w:val="39"/>
    <w:unhideWhenUsed/>
    <w:rsid w:val="008B063F"/>
    <w:pPr>
      <w:tabs>
        <w:tab w:val="right" w:leader="dot" w:pos="9628"/>
      </w:tabs>
      <w:spacing w:after="100"/>
    </w:pPr>
    <w:rPr>
      <w:szCs w:val="22"/>
    </w:rPr>
  </w:style>
  <w:style w:type="character" w:styleId="Hyperlink">
    <w:name w:val="Hyperlink"/>
    <w:basedOn w:val="a0"/>
    <w:uiPriority w:val="99"/>
    <w:unhideWhenUsed/>
    <w:rsid w:val="008B063F"/>
    <w:rPr>
      <w:color w:val="0000FF" w:themeColor="hyperlink"/>
      <w:u w:val="single"/>
    </w:rPr>
  </w:style>
  <w:style w:type="paragraph" w:styleId="TOC3">
    <w:name w:val="toc 3"/>
    <w:basedOn w:val="a"/>
    <w:next w:val="a"/>
    <w:uiPriority w:val="39"/>
    <w:unhideWhenUsed/>
    <w:rsid w:val="008B063F"/>
    <w:pPr>
      <w:numPr>
        <w:numId w:val="21"/>
      </w:numPr>
      <w:tabs>
        <w:tab w:val="right" w:leader="dot" w:pos="9629"/>
      </w:tabs>
      <w:spacing w:after="100"/>
      <w:ind w:left="811" w:hanging="357"/>
    </w:pPr>
    <w:rPr>
      <w:szCs w:val="22"/>
    </w:rPr>
  </w:style>
  <w:style w:type="paragraph" w:styleId="TOC4">
    <w:name w:val="toc 4"/>
    <w:basedOn w:val="a"/>
    <w:next w:val="a"/>
    <w:autoRedefine/>
    <w:unhideWhenUsed/>
    <w:qFormat/>
    <w:rsid w:val="008B063F"/>
    <w:pPr>
      <w:tabs>
        <w:tab w:val="right" w:leader="dot" w:pos="9628"/>
      </w:tabs>
      <w:spacing w:after="100"/>
      <w:ind w:left="567"/>
    </w:pPr>
    <w:rPr>
      <w:rFonts w:asciiTheme="minorHAnsi" w:eastAsiaTheme="minorEastAsia" w:hAnsiTheme="minorHAnsi"/>
      <w:noProof/>
      <w:sz w:val="22"/>
      <w:szCs w:val="22"/>
    </w:rPr>
  </w:style>
  <w:style w:type="paragraph" w:styleId="TOC5">
    <w:name w:val="toc 5"/>
    <w:basedOn w:val="a"/>
    <w:next w:val="a"/>
    <w:semiHidden/>
    <w:unhideWhenUsed/>
    <w:rsid w:val="008B063F"/>
    <w:pPr>
      <w:tabs>
        <w:tab w:val="right" w:leader="dot" w:pos="9628"/>
      </w:tabs>
      <w:spacing w:after="100"/>
      <w:ind w:left="567"/>
    </w:pPr>
    <w:rPr>
      <w:szCs w:val="22"/>
    </w:rPr>
  </w:style>
  <w:style w:type="paragraph" w:styleId="TOC6">
    <w:name w:val="toc 6"/>
    <w:basedOn w:val="a"/>
    <w:next w:val="a"/>
    <w:autoRedefine/>
    <w:semiHidden/>
    <w:unhideWhenUsed/>
    <w:rsid w:val="008B063F"/>
    <w:pPr>
      <w:spacing w:after="100"/>
      <w:ind w:left="850"/>
    </w:pPr>
  </w:style>
  <w:style w:type="paragraph" w:styleId="TOC7">
    <w:name w:val="toc 7"/>
    <w:basedOn w:val="a"/>
    <w:next w:val="a"/>
    <w:autoRedefine/>
    <w:semiHidden/>
    <w:unhideWhenUsed/>
    <w:rsid w:val="008B063F"/>
    <w:pPr>
      <w:spacing w:after="100"/>
      <w:ind w:left="1020"/>
    </w:pPr>
  </w:style>
  <w:style w:type="paragraph" w:styleId="TOC8">
    <w:name w:val="toc 8"/>
    <w:basedOn w:val="a"/>
    <w:next w:val="a"/>
    <w:autoRedefine/>
    <w:semiHidden/>
    <w:unhideWhenUsed/>
    <w:rsid w:val="008B063F"/>
    <w:pPr>
      <w:spacing w:after="100"/>
      <w:ind w:left="1190"/>
    </w:pPr>
  </w:style>
  <w:style w:type="paragraph" w:styleId="TOC9">
    <w:name w:val="toc 9"/>
    <w:basedOn w:val="a"/>
    <w:next w:val="a"/>
    <w:autoRedefine/>
    <w:semiHidden/>
    <w:unhideWhenUsed/>
    <w:rsid w:val="008B063F"/>
    <w:pPr>
      <w:spacing w:after="100"/>
      <w:ind w:left="1360"/>
    </w:pPr>
  </w:style>
  <w:style w:type="paragraph" w:customStyle="1" w:styleId="TableHead2">
    <w:name w:val="Table Head2"/>
    <w:basedOn w:val="TableHead"/>
    <w:qFormat/>
    <w:rsid w:val="008B063F"/>
    <w:pPr>
      <w:outlineLvl w:val="9"/>
    </w:pPr>
  </w:style>
  <w:style w:type="paragraph" w:customStyle="1" w:styleId="TableSideHeading2">
    <w:name w:val="Table SideHeading2"/>
    <w:basedOn w:val="TableSideHeading"/>
    <w:autoRedefine/>
    <w:qFormat/>
    <w:rsid w:val="008B063F"/>
    <w:pPr>
      <w:keepLines w:val="0"/>
      <w:outlineLvl w:val="9"/>
    </w:pPr>
  </w:style>
  <w:style w:type="paragraph" w:customStyle="1" w:styleId="0">
    <w:name w:val="סגנון שורה ראשונה:  0  ס''מ"/>
    <w:basedOn w:val="2"/>
    <w:rsid w:val="008B063F"/>
    <w:rPr>
      <w:rFonts w:eastAsia="Times New Roman"/>
    </w:rPr>
  </w:style>
  <w:style w:type="paragraph" w:styleId="ae">
    <w:name w:val="List Paragraph"/>
    <w:basedOn w:val="a"/>
    <w:uiPriority w:val="34"/>
    <w:qFormat/>
    <w:rsid w:val="008B063F"/>
    <w:pPr>
      <w:widowControl/>
      <w:spacing w:line="259" w:lineRule="auto"/>
    </w:pPr>
    <w:rPr>
      <w:rFonts w:asciiTheme="minorHAnsi" w:hAnsiTheme="minorHAnsi"/>
      <w:sz w:val="22"/>
    </w:rPr>
  </w:style>
  <w:style w:type="table" w:styleId="af">
    <w:name w:val="Table Grid"/>
    <w:basedOn w:val="a1"/>
    <w:rsid w:val="008B0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Plain Table 1"/>
    <w:basedOn w:val="a1"/>
    <w:uiPriority w:val="41"/>
    <w:rsid w:val="008B063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2">
    <w:name w:val="Grid Table 1 Light"/>
    <w:basedOn w:val="a1"/>
    <w:uiPriority w:val="46"/>
    <w:rsid w:val="008B063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f0">
    <w:name w:val="טבלת חקיקה"/>
    <w:basedOn w:val="a1"/>
    <w:uiPriority w:val="99"/>
    <w:rsid w:val="008B063F"/>
    <w:pPr>
      <w:jc w:val="center"/>
    </w:pPr>
    <w:rPr>
      <w:rFonts w:cstheme="minorBidi"/>
    </w:rPr>
    <w:tblPr/>
    <w:tcPr>
      <w:tcMar>
        <w:left w:w="0" w:type="dxa"/>
        <w:right w:w="0" w:type="dxa"/>
      </w:tcMar>
      <w:vAlign w:val="center"/>
    </w:tcPr>
    <w:tblStylePr w:type="firstRow">
      <w:pPr>
        <w:jc w:val="center"/>
      </w:pPr>
      <w:rPr>
        <w:rFonts w:cs="David"/>
        <w:bCs/>
        <w:szCs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10" w:color="auto" w:fill="auto"/>
      </w:tcPr>
    </w:tblStylePr>
    <w:tblStylePr w:type="firstCol">
      <w:tblPr/>
      <w:tcPr>
        <w:noWrap/>
      </w:tcPr>
    </w:tblStylePr>
    <w:tblStylePr w:type="lastCol">
      <w:pPr>
        <w:jc w:val="center"/>
      </w:pPr>
      <w:tblPr/>
      <w:tcPr>
        <w:noWrap/>
      </w:tcPr>
    </w:tblStylePr>
  </w:style>
  <w:style w:type="table" w:customStyle="1" w:styleId="13">
    <w:name w:val="סגנון1"/>
    <w:basedOn w:val="a1"/>
    <w:uiPriority w:val="99"/>
    <w:rsid w:val="008B063F"/>
    <w:tblPr/>
    <w:tblStylePr w:type="firstCol">
      <w:pPr>
        <w:keepNext w:val="0"/>
        <w:keepLines/>
        <w:pageBreakBefore w:val="0"/>
        <w:widowControl w:val="0"/>
        <w:suppressLineNumbers w:val="0"/>
        <w:suppressAutoHyphens w:val="0"/>
        <w:wordWrap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54E21C28B32ECF49ADBB6A5BBBCCB3CD" ma:contentTypeVersion="" ma:contentTypeDescription="צור מסמך חדש." ma:contentTypeScope="" ma:versionID="f81d89568b860eeaa06327f0f2d2f14b">
  <xsd:schema xmlns:xsd="http://www.w3.org/2001/XMLSchema" xmlns:xs="http://www.w3.org/2001/XMLSchema" xmlns:p="http://schemas.microsoft.com/office/2006/metadata/properties" xmlns:ns2="290d5b49-c690-4c6f-bbb9-1e50dab33eee" targetNamespace="http://schemas.microsoft.com/office/2006/metadata/properties" ma:root="true" ma:fieldsID="a6db6e33f8462d87724f237088727803" ns2:_="">
    <xsd:import namespace="290d5b49-c690-4c6f-bbb9-1e50dab33ee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d5b49-c690-4c6f-bbb9-1e50dab33e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4AFE3-9455-419C-8851-785A55F44517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290d5b49-c690-4c6f-bbb9-1e50dab33eee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9FABCC-C3A6-416A-90E0-2628F51D7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d5b49-c690-4c6f-bbb9-1e50dab33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657C77-55E0-409F-B106-37C07861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טליה ווייס עמר</cp:lastModifiedBy>
  <cp:revision>15</cp:revision>
  <cp:lastPrinted>2023-02-01T08:16:00Z</cp:lastPrinted>
  <dcterms:created xsi:type="dcterms:W3CDTF">2015-04-20T09:58:00Z</dcterms:created>
  <dcterms:modified xsi:type="dcterms:W3CDTF">2023-02-05T10:20:00Z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0x01010054E21C28B32ECF49ADBB6A5BBBCCB3CD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2200701</vt:r8>
  </property>
</Properties>
</file>