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2198723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3B302E16" w:rsidR="00E13C27" w:rsidRPr="00CF1AA2" w:rsidRDefault="008F6665" w:rsidP="003C4B2E">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אימאן ח'טיב יאסין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66CA7F4" w:rsidR="00E13C27" w:rsidRPr="00E06736" w:rsidRDefault="00904591" w:rsidP="003C4B2E">
      <w:pPr>
        <w:pStyle w:val="David"/>
        <w:spacing w:line="240" w:lineRule="auto"/>
        <w:ind w:left="6424" w:firstLine="56"/>
        <w:rPr>
          <w:rtl/>
        </w:rPr>
      </w:pPr>
      <w:bookmarkStart w:id="6" w:name="Private_Number"/>
      <w:r>
        <w:rPr>
          <w:rFonts w:hint="cs"/>
          <w:rtl/>
        </w:rPr>
        <w:t>פ/1786/25</w:t>
      </w:r>
      <w:bookmarkEnd w:id="6"/>
    </w:p>
    <w:p w14:paraId="7F6961AD" w14:textId="77777777" w:rsidR="00E13C27" w:rsidRPr="00F67051" w:rsidRDefault="00A443CF" w:rsidP="0021633A">
      <w:pPr>
        <w:pStyle w:val="HeadHatzaotHok"/>
        <w:rPr>
          <w:rtl/>
        </w:rPr>
      </w:pPr>
      <w:bookmarkStart w:id="7" w:name="LGS_Subject"/>
      <w:r>
        <w:rPr>
          <w:rFonts w:hint="cs"/>
          <w:rtl/>
        </w:rPr>
        <w:t>הצעת חוק ביטוח בריאות ממלכתי (תיקון – החזר דמי נסיעה באמבולנס עבור מטופל בתחום בריאות הנפש), התשפ"ג–2023</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913F3E" w:rsidRPr="003C4B2E" w14:paraId="52014962" w14:textId="77777777" w:rsidTr="003C4B2E">
        <w:trPr>
          <w:cantSplit/>
        </w:trPr>
        <w:tc>
          <w:tcPr>
            <w:tcW w:w="1871" w:type="dxa"/>
          </w:tcPr>
          <w:p w14:paraId="7A96B1CB" w14:textId="77777777" w:rsidR="00913F3E" w:rsidRPr="003C4B2E" w:rsidRDefault="00913F3E" w:rsidP="003C4B2E">
            <w:pPr>
              <w:pStyle w:val="TableSideHeading"/>
              <w:outlineLvl w:val="9"/>
              <w:rPr>
                <w:sz w:val="26"/>
                <w:rtl/>
              </w:rPr>
            </w:pPr>
            <w:r w:rsidRPr="003C4B2E">
              <w:rPr>
                <w:rFonts w:hint="cs"/>
                <w:sz w:val="26"/>
                <w:rtl/>
              </w:rPr>
              <w:t>תיקון התוספת השנייה</w:t>
            </w:r>
          </w:p>
        </w:tc>
        <w:tc>
          <w:tcPr>
            <w:tcW w:w="624" w:type="dxa"/>
          </w:tcPr>
          <w:p w14:paraId="022FB701" w14:textId="77777777" w:rsidR="00913F3E" w:rsidRPr="003C4B2E" w:rsidRDefault="00913F3E" w:rsidP="00913F3E">
            <w:pPr>
              <w:pStyle w:val="TableText"/>
              <w:keepLines w:val="0"/>
              <w:jc w:val="both"/>
              <w:rPr>
                <w:sz w:val="26"/>
                <w:rtl/>
              </w:rPr>
            </w:pPr>
            <w:r w:rsidRPr="003C4B2E">
              <w:rPr>
                <w:sz w:val="26"/>
                <w:rtl/>
              </w:rPr>
              <w:t>1.</w:t>
            </w:r>
            <w:r w:rsidRPr="003C4B2E">
              <w:rPr>
                <w:sz w:val="26"/>
              </w:rPr>
              <w:t xml:space="preserve">  </w:t>
            </w:r>
            <w:r w:rsidRPr="003C4B2E">
              <w:rPr>
                <w:sz w:val="26"/>
                <w:rtl/>
              </w:rPr>
              <w:t xml:space="preserve"> </w:t>
            </w:r>
          </w:p>
        </w:tc>
        <w:tc>
          <w:tcPr>
            <w:tcW w:w="7143" w:type="dxa"/>
            <w:gridSpan w:val="2"/>
          </w:tcPr>
          <w:p w14:paraId="7B8C5762" w14:textId="77777777" w:rsidR="00913F3E" w:rsidRPr="003C4B2E" w:rsidRDefault="00913F3E" w:rsidP="003C4B2E">
            <w:pPr>
              <w:pStyle w:val="TableBlock"/>
              <w:rPr>
                <w:sz w:val="26"/>
                <w:rtl/>
              </w:rPr>
            </w:pPr>
            <w:r w:rsidRPr="003C4B2E">
              <w:rPr>
                <w:rFonts w:hint="cs"/>
                <w:sz w:val="26"/>
                <w:rtl/>
              </w:rPr>
              <w:t>בחוק ביטוח בריאות ממלכתי, התשנ"ד–1994</w:t>
            </w:r>
            <w:bookmarkStart w:id="8" w:name="_GoBack"/>
            <w:r w:rsidRPr="00962CEC">
              <w:rPr>
                <w:sz w:val="26"/>
                <w:vertAlign w:val="superscript"/>
                <w:rtl/>
              </w:rPr>
              <w:footnoteReference w:id="2"/>
            </w:r>
            <w:bookmarkEnd w:id="8"/>
            <w:r w:rsidRPr="003C4B2E">
              <w:rPr>
                <w:rFonts w:hint="cs"/>
                <w:sz w:val="26"/>
                <w:rtl/>
              </w:rPr>
              <w:t xml:space="preserve">, בתוספת השנייה – </w:t>
            </w:r>
          </w:p>
        </w:tc>
      </w:tr>
      <w:tr w:rsidR="00913F3E" w:rsidRPr="003C4B2E" w14:paraId="231BC552" w14:textId="77777777" w:rsidTr="003C4B2E">
        <w:trPr>
          <w:cantSplit/>
        </w:trPr>
        <w:tc>
          <w:tcPr>
            <w:tcW w:w="1871" w:type="dxa"/>
          </w:tcPr>
          <w:p w14:paraId="16690C0C" w14:textId="77777777" w:rsidR="00913F3E" w:rsidRPr="003C4B2E" w:rsidRDefault="00913F3E" w:rsidP="00913F3E">
            <w:pPr>
              <w:pStyle w:val="TableSideHeading"/>
              <w:keepLines w:val="0"/>
              <w:jc w:val="both"/>
              <w:rPr>
                <w:sz w:val="26"/>
                <w:rtl/>
              </w:rPr>
            </w:pPr>
          </w:p>
        </w:tc>
        <w:tc>
          <w:tcPr>
            <w:tcW w:w="624" w:type="dxa"/>
          </w:tcPr>
          <w:p w14:paraId="56FFDADC" w14:textId="77777777" w:rsidR="00913F3E" w:rsidRPr="003C4B2E" w:rsidRDefault="00913F3E" w:rsidP="00913F3E">
            <w:pPr>
              <w:pStyle w:val="TableText"/>
              <w:keepLines w:val="0"/>
              <w:jc w:val="both"/>
              <w:rPr>
                <w:sz w:val="26"/>
                <w:rtl/>
              </w:rPr>
            </w:pPr>
          </w:p>
        </w:tc>
        <w:tc>
          <w:tcPr>
            <w:tcW w:w="7143" w:type="dxa"/>
            <w:gridSpan w:val="2"/>
          </w:tcPr>
          <w:p w14:paraId="307C1419" w14:textId="77777777" w:rsidR="00913F3E" w:rsidRPr="003C4B2E" w:rsidRDefault="00913F3E" w:rsidP="003C4B2E">
            <w:pPr>
              <w:pStyle w:val="TableBlock"/>
              <w:rPr>
                <w:sz w:val="26"/>
                <w:rtl/>
              </w:rPr>
            </w:pPr>
            <w:r w:rsidRPr="003C4B2E">
              <w:rPr>
                <w:rFonts w:hint="cs"/>
                <w:sz w:val="26"/>
                <w:rtl/>
              </w:rPr>
              <w:t>(1)</w:t>
            </w:r>
            <w:r w:rsidRPr="003C4B2E">
              <w:rPr>
                <w:sz w:val="26"/>
                <w:rtl/>
              </w:rPr>
              <w:tab/>
            </w:r>
            <w:r w:rsidRPr="003C4B2E">
              <w:rPr>
                <w:rFonts w:hint="cs"/>
                <w:sz w:val="26"/>
                <w:rtl/>
              </w:rPr>
              <w:t>בפרט 28, אחרי פסקה (3) יבוא:</w:t>
            </w:r>
          </w:p>
        </w:tc>
      </w:tr>
      <w:tr w:rsidR="00913F3E" w:rsidRPr="003C4B2E" w14:paraId="2F854BBE" w14:textId="77777777" w:rsidTr="003C4B2E">
        <w:trPr>
          <w:cantSplit/>
        </w:trPr>
        <w:tc>
          <w:tcPr>
            <w:tcW w:w="1871" w:type="dxa"/>
          </w:tcPr>
          <w:p w14:paraId="7B6DA424" w14:textId="77777777" w:rsidR="00913F3E" w:rsidRPr="003C4B2E" w:rsidRDefault="00913F3E" w:rsidP="00913F3E">
            <w:pPr>
              <w:pStyle w:val="TableSideHeading"/>
              <w:jc w:val="both"/>
              <w:rPr>
                <w:sz w:val="26"/>
              </w:rPr>
            </w:pPr>
          </w:p>
        </w:tc>
        <w:tc>
          <w:tcPr>
            <w:tcW w:w="624" w:type="dxa"/>
          </w:tcPr>
          <w:p w14:paraId="383EF29D" w14:textId="77777777" w:rsidR="00913F3E" w:rsidRPr="003C4B2E" w:rsidRDefault="00913F3E" w:rsidP="00913F3E">
            <w:pPr>
              <w:pStyle w:val="TableText"/>
              <w:jc w:val="both"/>
              <w:rPr>
                <w:sz w:val="26"/>
              </w:rPr>
            </w:pPr>
          </w:p>
        </w:tc>
        <w:tc>
          <w:tcPr>
            <w:tcW w:w="624" w:type="dxa"/>
          </w:tcPr>
          <w:p w14:paraId="61EE3C7C" w14:textId="77777777" w:rsidR="00913F3E" w:rsidRPr="003C4B2E" w:rsidRDefault="00913F3E" w:rsidP="00913F3E">
            <w:pPr>
              <w:pStyle w:val="TableText"/>
              <w:jc w:val="both"/>
              <w:rPr>
                <w:sz w:val="26"/>
              </w:rPr>
            </w:pPr>
          </w:p>
        </w:tc>
        <w:tc>
          <w:tcPr>
            <w:tcW w:w="6519" w:type="dxa"/>
          </w:tcPr>
          <w:p w14:paraId="0B935DE2" w14:textId="77777777" w:rsidR="00913F3E" w:rsidRPr="003C4B2E" w:rsidRDefault="00913F3E" w:rsidP="003C4B2E">
            <w:pPr>
              <w:pStyle w:val="TableBlock"/>
              <w:rPr>
                <w:rFonts w:ascii="FrankRuehl" w:hAnsi="FrankRuehl"/>
                <w:sz w:val="26"/>
              </w:rPr>
            </w:pPr>
            <w:r w:rsidRPr="003C4B2E">
              <w:rPr>
                <w:rFonts w:hint="cs"/>
                <w:sz w:val="26"/>
                <w:rtl/>
              </w:rPr>
              <w:t>"(4)</w:t>
            </w:r>
            <w:r w:rsidRPr="003C4B2E">
              <w:rPr>
                <w:sz w:val="26"/>
                <w:rtl/>
              </w:rPr>
              <w:tab/>
              <w:t xml:space="preserve">מטופל </w:t>
            </w:r>
            <w:r w:rsidRPr="003C4B2E">
              <w:rPr>
                <w:rFonts w:ascii="FrankRuehl" w:hAnsi="FrankRuehl"/>
                <w:sz w:val="26"/>
                <w:rtl/>
              </w:rPr>
              <w:t xml:space="preserve">המוסע לבית חולים בניידת טיפול נמרץ </w:t>
            </w:r>
            <w:r w:rsidRPr="003C4B2E">
              <w:rPr>
                <w:rFonts w:ascii="FrankRuehl" w:hAnsi="FrankRuehl" w:hint="cs"/>
                <w:sz w:val="26"/>
                <w:rtl/>
              </w:rPr>
              <w:t xml:space="preserve">או באמבולנס של מד"א </w:t>
            </w:r>
            <w:r w:rsidRPr="003C4B2E">
              <w:rPr>
                <w:rFonts w:ascii="FrankRuehl" w:hAnsi="FrankRuehl"/>
                <w:sz w:val="26"/>
                <w:rtl/>
              </w:rPr>
              <w:t>יקבל החזר מלא של ההוצאה</w:t>
            </w:r>
            <w:r w:rsidRPr="003C4B2E">
              <w:rPr>
                <w:rFonts w:ascii="FrankRuehl" w:hAnsi="FrankRuehl" w:hint="cs"/>
                <w:sz w:val="26"/>
                <w:rtl/>
              </w:rPr>
              <w:t xml:space="preserve"> תמורת קבלה, אף אם לא אושפז; לעניין פרט זה, "</w:t>
            </w:r>
            <w:r w:rsidRPr="003C4B2E">
              <w:rPr>
                <w:sz w:val="26"/>
                <w:rtl/>
              </w:rPr>
              <w:t>מטופל</w:t>
            </w:r>
            <w:r w:rsidRPr="003C4B2E">
              <w:rPr>
                <w:rFonts w:ascii="FrankRuehl" w:hAnsi="FrankRuehl" w:hint="cs"/>
                <w:sz w:val="26"/>
                <w:rtl/>
              </w:rPr>
              <w:t>"</w:t>
            </w:r>
            <w:r w:rsidRPr="003C4B2E">
              <w:rPr>
                <w:rFonts w:ascii="FrankRuehl" w:hAnsi="FrankRuehl"/>
                <w:sz w:val="26"/>
                <w:rtl/>
              </w:rPr>
              <w:t xml:space="preserve"> </w:t>
            </w:r>
            <w:r w:rsidRPr="003C4B2E">
              <w:rPr>
                <w:rFonts w:ascii="FrankRuehl" w:hAnsi="FrankRuehl" w:hint="cs"/>
                <w:sz w:val="26"/>
                <w:rtl/>
              </w:rPr>
              <w:t>– מבוטח שהוא חולה כהגדרתו בחוק טיפול</w:t>
            </w:r>
            <w:r w:rsidRPr="003C4B2E">
              <w:rPr>
                <w:rFonts w:eastAsia="Arial" w:hint="cs"/>
                <w:sz w:val="26"/>
                <w:rtl/>
              </w:rPr>
              <w:t xml:space="preserve"> בחולי נפש, התשנ"א</w:t>
            </w:r>
            <w:r w:rsidRPr="003C4B2E">
              <w:rPr>
                <w:rFonts w:eastAsia="Arial"/>
                <w:sz w:val="26"/>
                <w:rtl/>
              </w:rPr>
              <w:t>–</w:t>
            </w:r>
            <w:r w:rsidRPr="003C4B2E">
              <w:rPr>
                <w:rFonts w:eastAsia="Arial" w:hint="cs"/>
                <w:sz w:val="26"/>
                <w:rtl/>
              </w:rPr>
              <w:t>1991</w:t>
            </w:r>
            <w:r w:rsidRPr="003C4B2E">
              <w:rPr>
                <w:rStyle w:val="a6"/>
                <w:rFonts w:ascii="David" w:eastAsia="Arial" w:hAnsi="David"/>
                <w:sz w:val="26"/>
                <w:rtl/>
              </w:rPr>
              <w:footnoteReference w:id="3"/>
            </w:r>
            <w:r w:rsidRPr="003C4B2E">
              <w:rPr>
                <w:rFonts w:ascii="FrankRuehl" w:hAnsi="FrankRuehl" w:hint="cs"/>
                <w:sz w:val="26"/>
                <w:rtl/>
              </w:rPr>
              <w:t xml:space="preserve"> או שהוא </w:t>
            </w:r>
            <w:r w:rsidRPr="003C4B2E">
              <w:rPr>
                <w:rFonts w:hint="cs"/>
                <w:sz w:val="26"/>
                <w:rtl/>
              </w:rPr>
              <w:t>נכה נפש כהגדרתו בחוק שיקום נכי נפש בקהילה, התש"ס–2000</w:t>
            </w:r>
            <w:r w:rsidRPr="003C4B2E">
              <w:rPr>
                <w:rStyle w:val="a6"/>
                <w:rFonts w:ascii="David" w:hAnsi="David"/>
                <w:sz w:val="26"/>
                <w:rtl/>
              </w:rPr>
              <w:footnoteReference w:id="4"/>
            </w:r>
            <w:r w:rsidRPr="003C4B2E">
              <w:rPr>
                <w:rFonts w:hint="cs"/>
                <w:sz w:val="26"/>
                <w:rtl/>
              </w:rPr>
              <w:t>.</w:t>
            </w:r>
            <w:r w:rsidRPr="003C4B2E">
              <w:rPr>
                <w:rFonts w:ascii="FrankRuehl" w:hAnsi="FrankRuehl" w:hint="cs"/>
                <w:sz w:val="26"/>
                <w:rtl/>
              </w:rPr>
              <w:t>"</w:t>
            </w:r>
            <w:r w:rsidRPr="003C4B2E">
              <w:rPr>
                <w:rFonts w:ascii="FrankRuehl" w:hAnsi="FrankRuehl"/>
                <w:sz w:val="26"/>
                <w:rtl/>
              </w:rPr>
              <w:t xml:space="preserve"> </w:t>
            </w:r>
          </w:p>
        </w:tc>
      </w:tr>
      <w:tr w:rsidR="00913F3E" w:rsidRPr="003C4B2E" w14:paraId="6FBE3A76" w14:textId="77777777" w:rsidTr="003C4B2E">
        <w:trPr>
          <w:cantSplit/>
        </w:trPr>
        <w:tc>
          <w:tcPr>
            <w:tcW w:w="1871" w:type="dxa"/>
          </w:tcPr>
          <w:p w14:paraId="27B78B0C" w14:textId="77777777" w:rsidR="00913F3E" w:rsidRPr="003C4B2E" w:rsidRDefault="00913F3E" w:rsidP="00913F3E">
            <w:pPr>
              <w:pStyle w:val="TableSideHeading"/>
              <w:keepLines w:val="0"/>
              <w:jc w:val="both"/>
              <w:rPr>
                <w:sz w:val="26"/>
                <w:rtl/>
              </w:rPr>
            </w:pPr>
          </w:p>
        </w:tc>
        <w:tc>
          <w:tcPr>
            <w:tcW w:w="624" w:type="dxa"/>
          </w:tcPr>
          <w:p w14:paraId="475E08BA" w14:textId="77777777" w:rsidR="00913F3E" w:rsidRPr="003C4B2E" w:rsidRDefault="00913F3E" w:rsidP="00913F3E">
            <w:pPr>
              <w:pStyle w:val="TableText"/>
              <w:jc w:val="both"/>
              <w:rPr>
                <w:sz w:val="26"/>
                <w:rtl/>
              </w:rPr>
            </w:pPr>
          </w:p>
        </w:tc>
        <w:tc>
          <w:tcPr>
            <w:tcW w:w="7143" w:type="dxa"/>
            <w:gridSpan w:val="2"/>
          </w:tcPr>
          <w:p w14:paraId="7D819857" w14:textId="77777777" w:rsidR="00913F3E" w:rsidRPr="003C4B2E" w:rsidRDefault="00913F3E" w:rsidP="003C4B2E">
            <w:pPr>
              <w:pStyle w:val="TableBlock"/>
              <w:rPr>
                <w:sz w:val="26"/>
                <w:rtl/>
              </w:rPr>
            </w:pPr>
            <w:r w:rsidRPr="003C4B2E">
              <w:rPr>
                <w:rFonts w:hint="cs"/>
                <w:sz w:val="26"/>
                <w:rtl/>
              </w:rPr>
              <w:t>(2)</w:t>
            </w:r>
            <w:r w:rsidRPr="003C4B2E">
              <w:rPr>
                <w:sz w:val="26"/>
                <w:rtl/>
              </w:rPr>
              <w:tab/>
            </w:r>
            <w:r w:rsidRPr="003C4B2E">
              <w:rPr>
                <w:rFonts w:hint="cs"/>
                <w:sz w:val="26"/>
                <w:rtl/>
              </w:rPr>
              <w:t xml:space="preserve">בחלק שכותרתו "שירותים בהשתתפות כספית עצמית של המבוטח", בפרט 3, בסופו יבוא: </w:t>
            </w:r>
          </w:p>
        </w:tc>
      </w:tr>
      <w:tr w:rsidR="00913F3E" w:rsidRPr="003C4B2E" w14:paraId="1395BA25" w14:textId="77777777" w:rsidTr="003C4B2E">
        <w:trPr>
          <w:cantSplit/>
        </w:trPr>
        <w:tc>
          <w:tcPr>
            <w:tcW w:w="1871" w:type="dxa"/>
          </w:tcPr>
          <w:p w14:paraId="6FD5C09E" w14:textId="77777777" w:rsidR="00913F3E" w:rsidRPr="003C4B2E" w:rsidRDefault="00913F3E" w:rsidP="00913F3E">
            <w:pPr>
              <w:pStyle w:val="TableSideHeading"/>
              <w:jc w:val="both"/>
              <w:rPr>
                <w:sz w:val="26"/>
              </w:rPr>
            </w:pPr>
          </w:p>
        </w:tc>
        <w:tc>
          <w:tcPr>
            <w:tcW w:w="624" w:type="dxa"/>
          </w:tcPr>
          <w:p w14:paraId="764B620F" w14:textId="77777777" w:rsidR="00913F3E" w:rsidRPr="003C4B2E" w:rsidRDefault="00913F3E" w:rsidP="00913F3E">
            <w:pPr>
              <w:pStyle w:val="TableText"/>
              <w:jc w:val="both"/>
              <w:rPr>
                <w:sz w:val="26"/>
              </w:rPr>
            </w:pPr>
          </w:p>
        </w:tc>
        <w:tc>
          <w:tcPr>
            <w:tcW w:w="624" w:type="dxa"/>
          </w:tcPr>
          <w:p w14:paraId="44FDD29C" w14:textId="77777777" w:rsidR="00913F3E" w:rsidRPr="003C4B2E" w:rsidRDefault="00913F3E" w:rsidP="00913F3E">
            <w:pPr>
              <w:pStyle w:val="TableText"/>
              <w:jc w:val="both"/>
              <w:rPr>
                <w:sz w:val="26"/>
              </w:rPr>
            </w:pPr>
          </w:p>
        </w:tc>
        <w:tc>
          <w:tcPr>
            <w:tcW w:w="6519" w:type="dxa"/>
          </w:tcPr>
          <w:p w14:paraId="58857992" w14:textId="77777777" w:rsidR="00913F3E" w:rsidRPr="003C4B2E" w:rsidRDefault="00913F3E" w:rsidP="003C4B2E">
            <w:pPr>
              <w:pStyle w:val="TableBlock"/>
              <w:rPr>
                <w:sz w:val="26"/>
              </w:rPr>
            </w:pPr>
            <w:r w:rsidRPr="003C4B2E">
              <w:rPr>
                <w:rFonts w:hint="cs"/>
                <w:sz w:val="26"/>
                <w:rtl/>
              </w:rPr>
              <w:t>"(ד)</w:t>
            </w:r>
            <w:r w:rsidRPr="003C4B2E">
              <w:rPr>
                <w:sz w:val="26"/>
                <w:rtl/>
              </w:rPr>
              <w:tab/>
              <w:t xml:space="preserve">מטופל המוסע לבית חולים בניידת טיפול נמרץ </w:t>
            </w:r>
            <w:r w:rsidRPr="003C4B2E">
              <w:rPr>
                <w:rFonts w:hint="cs"/>
                <w:sz w:val="26"/>
                <w:rtl/>
              </w:rPr>
              <w:t xml:space="preserve">או באמבולנס של מד"א </w:t>
            </w:r>
            <w:r w:rsidRPr="003C4B2E">
              <w:rPr>
                <w:sz w:val="26"/>
                <w:rtl/>
              </w:rPr>
              <w:t>יקבל החזר מלא של ההוצאה</w:t>
            </w:r>
            <w:r w:rsidRPr="003C4B2E">
              <w:rPr>
                <w:rFonts w:hint="cs"/>
                <w:sz w:val="26"/>
                <w:rtl/>
              </w:rPr>
              <w:t xml:space="preserve"> תמורת קבלה, אף אם לא אושפז; לעניין פרט זה, "</w:t>
            </w:r>
            <w:r w:rsidRPr="003C4B2E">
              <w:rPr>
                <w:sz w:val="26"/>
                <w:rtl/>
              </w:rPr>
              <w:t>מטופל</w:t>
            </w:r>
            <w:r w:rsidRPr="003C4B2E">
              <w:rPr>
                <w:rFonts w:hint="cs"/>
                <w:sz w:val="26"/>
                <w:rtl/>
              </w:rPr>
              <w:t>"</w:t>
            </w:r>
            <w:r w:rsidRPr="003C4B2E">
              <w:rPr>
                <w:sz w:val="26"/>
                <w:rtl/>
              </w:rPr>
              <w:t xml:space="preserve"> </w:t>
            </w:r>
            <w:r w:rsidRPr="003C4B2E">
              <w:rPr>
                <w:rFonts w:hint="eastAsia"/>
                <w:sz w:val="26"/>
                <w:rtl/>
              </w:rPr>
              <w:t>–</w:t>
            </w:r>
            <w:r w:rsidRPr="003C4B2E">
              <w:rPr>
                <w:rFonts w:hint="cs"/>
                <w:sz w:val="26"/>
                <w:rtl/>
              </w:rPr>
              <w:t xml:space="preserve"> מבוטח שהוא חולה כהגדרתו בחוק טיפול בחולי נפש, התשנ"א</w:t>
            </w:r>
            <w:r w:rsidRPr="003C4B2E">
              <w:rPr>
                <w:sz w:val="26"/>
                <w:rtl/>
              </w:rPr>
              <w:t>–</w:t>
            </w:r>
            <w:r w:rsidRPr="003C4B2E">
              <w:rPr>
                <w:rFonts w:hint="cs"/>
                <w:sz w:val="26"/>
                <w:rtl/>
              </w:rPr>
              <w:t>1991</w:t>
            </w:r>
            <w:r w:rsidRPr="003C4B2E">
              <w:rPr>
                <w:rFonts w:ascii="David" w:hAnsi="David"/>
                <w:sz w:val="26"/>
                <w:vertAlign w:val="superscript"/>
                <w:rtl/>
              </w:rPr>
              <w:footnoteReference w:id="5"/>
            </w:r>
            <w:r w:rsidRPr="003C4B2E">
              <w:rPr>
                <w:rFonts w:hint="cs"/>
                <w:sz w:val="26"/>
                <w:rtl/>
              </w:rPr>
              <w:t xml:space="preserve"> או שהוא נכה נפש כהגדרתו בחוק שיקום נכי נפש בקהילה, התש"ס–2000</w:t>
            </w:r>
            <w:r w:rsidRPr="003C4B2E">
              <w:rPr>
                <w:rFonts w:ascii="David" w:hAnsi="David"/>
                <w:sz w:val="26"/>
                <w:vertAlign w:val="superscript"/>
                <w:rtl/>
              </w:rPr>
              <w:footnoteReference w:id="6"/>
            </w:r>
            <w:r w:rsidRPr="003C4B2E">
              <w:rPr>
                <w:rFonts w:hint="cs"/>
                <w:sz w:val="26"/>
                <w:rtl/>
              </w:rPr>
              <w:t>."</w:t>
            </w:r>
          </w:p>
        </w:tc>
      </w:tr>
    </w:tbl>
    <w:p w14:paraId="7F6961CA" w14:textId="77777777" w:rsidR="002D1EE3" w:rsidRDefault="002D1EE3" w:rsidP="002D1EE3">
      <w:pPr>
        <w:pStyle w:val="HeadDivreiHesber"/>
        <w:rPr>
          <w:rtl/>
        </w:rPr>
      </w:pPr>
      <w:r w:rsidRPr="0027450A">
        <w:rPr>
          <w:rFonts w:hint="cs"/>
          <w:rtl/>
        </w:rPr>
        <w:t>דברי הסבר</w:t>
      </w:r>
    </w:p>
    <w:p w14:paraId="33B5E0DE" w14:textId="77777777" w:rsidR="00913F3E" w:rsidRPr="00935C1C" w:rsidRDefault="00913F3E" w:rsidP="00913F3E">
      <w:pPr>
        <w:pStyle w:val="Hesber"/>
        <w:rPr>
          <w:rtl/>
        </w:rPr>
      </w:pPr>
      <w:r w:rsidRPr="00935C1C">
        <w:rPr>
          <w:rFonts w:hint="cs"/>
          <w:rtl/>
        </w:rPr>
        <w:t>בחוק ביטוח בריאות ממלכתי, התשנ"ד</w:t>
      </w:r>
      <w:r w:rsidRPr="00935C1C">
        <w:rPr>
          <w:rFonts w:hint="eastAsia"/>
          <w:rtl/>
        </w:rPr>
        <w:t>–</w:t>
      </w:r>
      <w:r w:rsidRPr="00935C1C">
        <w:rPr>
          <w:rFonts w:hint="cs"/>
          <w:rtl/>
        </w:rPr>
        <w:t xml:space="preserve">1994, </w:t>
      </w:r>
      <w:r w:rsidRPr="00935C1C">
        <w:rPr>
          <w:rtl/>
        </w:rPr>
        <w:t>ב</w:t>
      </w:r>
      <w:r w:rsidRPr="00935C1C">
        <w:rPr>
          <w:rFonts w:hint="eastAsia"/>
          <w:rtl/>
        </w:rPr>
        <w:t>פרט</w:t>
      </w:r>
      <w:r w:rsidRPr="00935C1C">
        <w:rPr>
          <w:rtl/>
        </w:rPr>
        <w:t xml:space="preserve"> 28 </w:t>
      </w:r>
      <w:r w:rsidRPr="00935C1C">
        <w:rPr>
          <w:rFonts w:hint="eastAsia"/>
          <w:rtl/>
        </w:rPr>
        <w:t>שב</w:t>
      </w:r>
      <w:r w:rsidRPr="00935C1C">
        <w:rPr>
          <w:rtl/>
        </w:rPr>
        <w:t xml:space="preserve">תוספת השנייה לחוק, מפורטים החזרי ההוצאות שיקבלו מבוטחי קופות החולים בגין נסיעות והסעות לבתי חולים. בין השאר </w:t>
      </w:r>
      <w:r w:rsidRPr="00935C1C">
        <w:rPr>
          <w:rFonts w:hint="eastAsia"/>
          <w:rtl/>
        </w:rPr>
        <w:t>נקבע</w:t>
      </w:r>
      <w:r w:rsidRPr="00935C1C">
        <w:rPr>
          <w:rtl/>
        </w:rPr>
        <w:t xml:space="preserve"> כי מבוטח המוסע לבית חולים בניידת טיפול נמרץ יקבל החזר מלא של ההוצאה אם אושפז, </w:t>
      </w:r>
      <w:r w:rsidRPr="00935C1C">
        <w:rPr>
          <w:rFonts w:hint="eastAsia"/>
          <w:rtl/>
        </w:rPr>
        <w:t>ו</w:t>
      </w:r>
      <w:r w:rsidRPr="00935C1C">
        <w:rPr>
          <w:rtl/>
        </w:rPr>
        <w:t xml:space="preserve">אם לא אושפז יקבל </w:t>
      </w:r>
      <w:r w:rsidRPr="00935C1C">
        <w:rPr>
          <w:rtl/>
        </w:rPr>
        <w:lastRenderedPageBreak/>
        <w:t xml:space="preserve">50 </w:t>
      </w:r>
      <w:r w:rsidRPr="00935C1C">
        <w:rPr>
          <w:rFonts w:hint="eastAsia"/>
          <w:rtl/>
        </w:rPr>
        <w:t>אחוז</w:t>
      </w:r>
      <w:r w:rsidRPr="00935C1C">
        <w:rPr>
          <w:rtl/>
        </w:rPr>
        <w:t xml:space="preserve"> מן ההוצאה, וכי מבוטח המוסע לבית חולים באמבולנס של מד"א יקבל החזר מלא של ההוצאה אם אושפז. באופן דומה, מטופל </w:t>
      </w:r>
      <w:r w:rsidRPr="00935C1C">
        <w:rPr>
          <w:rFonts w:hint="eastAsia"/>
          <w:rtl/>
        </w:rPr>
        <w:t>בתחום</w:t>
      </w:r>
      <w:r w:rsidRPr="00935C1C">
        <w:rPr>
          <w:rtl/>
        </w:rPr>
        <w:t xml:space="preserve"> </w:t>
      </w:r>
      <w:r w:rsidRPr="00935C1C">
        <w:rPr>
          <w:rFonts w:hint="eastAsia"/>
          <w:rtl/>
        </w:rPr>
        <w:t>בריאות</w:t>
      </w:r>
      <w:r w:rsidRPr="00935C1C">
        <w:rPr>
          <w:rtl/>
        </w:rPr>
        <w:t xml:space="preserve"> </w:t>
      </w:r>
      <w:r w:rsidRPr="00935C1C">
        <w:rPr>
          <w:rFonts w:hint="eastAsia"/>
          <w:rtl/>
        </w:rPr>
        <w:t>הנפש</w:t>
      </w:r>
      <w:r w:rsidRPr="00935C1C">
        <w:rPr>
          <w:rtl/>
        </w:rPr>
        <w:t xml:space="preserve"> </w:t>
      </w:r>
      <w:r w:rsidRPr="00935C1C">
        <w:rPr>
          <w:rFonts w:hint="eastAsia"/>
          <w:rtl/>
        </w:rPr>
        <w:t>המוסע</w:t>
      </w:r>
      <w:r w:rsidRPr="00935C1C">
        <w:rPr>
          <w:rtl/>
        </w:rPr>
        <w:t xml:space="preserve"> מביתו למיון בבית חולים, ומשם </w:t>
      </w:r>
      <w:r w:rsidRPr="00935C1C">
        <w:rPr>
          <w:rFonts w:hint="eastAsia"/>
          <w:rtl/>
        </w:rPr>
        <w:t>מועבר</w:t>
      </w:r>
      <w:r w:rsidRPr="00935C1C">
        <w:rPr>
          <w:rtl/>
        </w:rPr>
        <w:t xml:space="preserve"> למחלקה פסיכיאטרית בבית חולים פסיכיאטרי, ואושפז במחלקה, </w:t>
      </w:r>
      <w:r w:rsidRPr="00935C1C">
        <w:rPr>
          <w:rFonts w:hint="eastAsia"/>
          <w:rtl/>
        </w:rPr>
        <w:t>זכאי</w:t>
      </w:r>
      <w:r w:rsidRPr="00935C1C">
        <w:rPr>
          <w:rtl/>
        </w:rPr>
        <w:t xml:space="preserve"> להחזר של 100% על התשלום; </w:t>
      </w:r>
      <w:r w:rsidRPr="00935C1C">
        <w:rPr>
          <w:rFonts w:hint="eastAsia"/>
          <w:rtl/>
        </w:rPr>
        <w:t>אם</w:t>
      </w:r>
      <w:r w:rsidRPr="00935C1C">
        <w:rPr>
          <w:rtl/>
        </w:rPr>
        <w:t xml:space="preserve"> </w:t>
      </w:r>
      <w:r w:rsidRPr="00935C1C">
        <w:rPr>
          <w:rFonts w:hint="eastAsia"/>
          <w:rtl/>
        </w:rPr>
        <w:t>לא</w:t>
      </w:r>
      <w:r w:rsidRPr="00935C1C">
        <w:rPr>
          <w:rtl/>
        </w:rPr>
        <w:t xml:space="preserve"> </w:t>
      </w:r>
      <w:r w:rsidRPr="00935C1C">
        <w:rPr>
          <w:rFonts w:hint="eastAsia"/>
          <w:rtl/>
        </w:rPr>
        <w:t>אושפז</w:t>
      </w:r>
      <w:r>
        <w:rPr>
          <w:rFonts w:hint="cs"/>
          <w:rtl/>
        </w:rPr>
        <w:t>,</w:t>
      </w:r>
      <w:r w:rsidRPr="00935C1C">
        <w:rPr>
          <w:rtl/>
        </w:rPr>
        <w:t xml:space="preserve"> </w:t>
      </w:r>
      <w:r w:rsidRPr="00935C1C">
        <w:rPr>
          <w:rFonts w:hint="eastAsia"/>
          <w:rtl/>
        </w:rPr>
        <w:t>יחויב</w:t>
      </w:r>
      <w:r w:rsidRPr="00935C1C">
        <w:rPr>
          <w:rtl/>
        </w:rPr>
        <w:t xml:space="preserve"> </w:t>
      </w:r>
      <w:r w:rsidRPr="00935C1C">
        <w:rPr>
          <w:rFonts w:hint="eastAsia"/>
          <w:rtl/>
        </w:rPr>
        <w:t>בתשלום</w:t>
      </w:r>
      <w:r w:rsidRPr="00935C1C">
        <w:rPr>
          <w:rtl/>
        </w:rPr>
        <w:t xml:space="preserve"> </w:t>
      </w:r>
      <w:r w:rsidRPr="00935C1C">
        <w:rPr>
          <w:rFonts w:hint="eastAsia"/>
          <w:rtl/>
        </w:rPr>
        <w:t>אגרת</w:t>
      </w:r>
      <w:r w:rsidRPr="00935C1C">
        <w:rPr>
          <w:rtl/>
        </w:rPr>
        <w:t xml:space="preserve"> </w:t>
      </w:r>
      <w:r w:rsidRPr="00935C1C">
        <w:rPr>
          <w:rFonts w:hint="eastAsia"/>
          <w:rtl/>
        </w:rPr>
        <w:t>הנסיעה</w:t>
      </w:r>
      <w:r w:rsidRPr="00935C1C">
        <w:rPr>
          <w:rtl/>
        </w:rPr>
        <w:t xml:space="preserve"> </w:t>
      </w:r>
      <w:r w:rsidRPr="00935C1C">
        <w:rPr>
          <w:rFonts w:hint="eastAsia"/>
          <w:rtl/>
        </w:rPr>
        <w:t>באמבולנס</w:t>
      </w:r>
      <w:r w:rsidRPr="00935C1C">
        <w:rPr>
          <w:rtl/>
        </w:rPr>
        <w:t>.</w:t>
      </w:r>
    </w:p>
    <w:p w14:paraId="63808082" w14:textId="77777777" w:rsidR="00913F3E" w:rsidRPr="00935C1C" w:rsidRDefault="00913F3E" w:rsidP="00913F3E">
      <w:pPr>
        <w:pStyle w:val="Hesber"/>
        <w:rPr>
          <w:rtl/>
        </w:rPr>
      </w:pPr>
      <w:r w:rsidRPr="00935C1C">
        <w:rPr>
          <w:rFonts w:hint="eastAsia"/>
          <w:rtl/>
        </w:rPr>
        <w:t>מתמודדים</w:t>
      </w:r>
      <w:r w:rsidRPr="00935C1C">
        <w:rPr>
          <w:rtl/>
        </w:rPr>
        <w:t xml:space="preserve"> עם מחלה נפשית עשויים, כחלק מתסמיני המחלה לחוש מצוקה וכאב עז, אשר לעיתים מתפרש ככאב פיזי מוחשי, גם אם יתכן שהתחושה קיימת רק בחוויה האישית שלהם, ואיננה מעידה על מצוקה רפואית ממשית. במצב זה הם פונים לעזרה לכוחות ההצלה, באופן עצמאי או על ידי אדם בסביבתם</w:t>
      </w:r>
      <w:r>
        <w:rPr>
          <w:rFonts w:hint="cs"/>
          <w:rtl/>
        </w:rPr>
        <w:t>,</w:t>
      </w:r>
      <w:r w:rsidRPr="00935C1C">
        <w:rPr>
          <w:rtl/>
        </w:rPr>
        <w:t xml:space="preserve"> וכוחות ההצלה מפנים אותם לבית חולים. בבית החולים נערכת בדיקה גופנית, ומשנמצא שהמדדים תקינים, משחררים אותם ללא אשפוז ואז מוטל עליהם לשאת בהוצאות הפינוי באמבולנס. </w:t>
      </w:r>
    </w:p>
    <w:p w14:paraId="53CEEF97" w14:textId="77777777" w:rsidR="00913F3E" w:rsidRPr="00BB10E8" w:rsidRDefault="00913F3E" w:rsidP="00913F3E">
      <w:pPr>
        <w:pStyle w:val="Hesber"/>
        <w:rPr>
          <w:rtl/>
        </w:rPr>
      </w:pPr>
      <w:r w:rsidRPr="00935C1C">
        <w:rPr>
          <w:rFonts w:hint="eastAsia"/>
          <w:rtl/>
        </w:rPr>
        <w:t>נוסח</w:t>
      </w:r>
      <w:r w:rsidRPr="00935C1C">
        <w:rPr>
          <w:rtl/>
        </w:rPr>
        <w:t xml:space="preserve"> החוק כיום מטיל הוצאה כלכלית כבדה על בני משפחותיהם של המטופלים בתחום בריאות הנפש, אשר נאלצים לשלם את האגרות בגין פינוי תדיר לבית החולים. לפיכך מוצע כי אם המטופל חולה במחלה פסיכיאטרית והפינוי היה בגין מחלה זו, בין אם הוא הזמין את האמבולנס לבדו ובין אם הזמינו </w:t>
      </w:r>
      <w:r w:rsidRPr="00BB10E8">
        <w:rPr>
          <w:rtl/>
        </w:rPr>
        <w:t xml:space="preserve">את האמבולנס עבורו, מביתו או מכל מקום שבו הוא שהה בעת הפינוי, והוא משתחרר ללא אשפוז, הוא יהיה פטור מהוצאות הנסיעה ויינתן לו החזר מלא בגין התשלום עבורה. </w:t>
      </w:r>
    </w:p>
    <w:p w14:paraId="7F6961CB" w14:textId="16BB7E38" w:rsidR="00E13C27" w:rsidRDefault="00913F3E" w:rsidP="003C4B2E">
      <w:pPr>
        <w:pStyle w:val="Hesber"/>
        <w:rPr>
          <w:rtl/>
        </w:rPr>
      </w:pPr>
      <w:r w:rsidRPr="00BB10E8">
        <w:rPr>
          <w:rtl/>
        </w:rPr>
        <w:t>הצע</w:t>
      </w:r>
      <w:r w:rsidR="0095451D">
        <w:rPr>
          <w:rFonts w:hint="cs"/>
          <w:rtl/>
        </w:rPr>
        <w:t>ו</w:t>
      </w:r>
      <w:r w:rsidRPr="00BB10E8">
        <w:rPr>
          <w:rtl/>
        </w:rPr>
        <w:t>ת חוק זה</w:t>
      </w:r>
      <w:r w:rsidR="0095451D">
        <w:rPr>
          <w:rFonts w:hint="cs"/>
          <w:rtl/>
        </w:rPr>
        <w:t>ות</w:t>
      </w:r>
      <w:r w:rsidRPr="00BB10E8">
        <w:rPr>
          <w:rtl/>
        </w:rPr>
        <w:t xml:space="preserve"> הונח</w:t>
      </w:r>
      <w:r w:rsidR="0095451D">
        <w:rPr>
          <w:rFonts w:hint="cs"/>
          <w:rtl/>
        </w:rPr>
        <w:t>ו</w:t>
      </w:r>
      <w:r w:rsidRPr="00BB10E8">
        <w:rPr>
          <w:rtl/>
        </w:rPr>
        <w:t xml:space="preserve"> על שולחן הכנסת העשרים וארבע על ידי חברת הכנסת מיכל וולדיגר וקבוצת חברי </w:t>
      </w:r>
      <w:r>
        <w:rPr>
          <w:rFonts w:hint="cs"/>
          <w:rtl/>
        </w:rPr>
        <w:t>ה</w:t>
      </w:r>
      <w:r w:rsidRPr="00BB10E8">
        <w:rPr>
          <w:rtl/>
        </w:rPr>
        <w:t>כנסת (פ/1683/24)</w:t>
      </w:r>
      <w:r w:rsidR="0095451D">
        <w:rPr>
          <w:rFonts w:hint="cs"/>
          <w:rtl/>
        </w:rPr>
        <w:t xml:space="preserve"> ועל שולחן הכנסת העשרים וחמש על ידי חברת הכנסת מיכל מרים וולדיגר (פ/41/25)</w:t>
      </w:r>
      <w:r w:rsidR="00764213">
        <w:rPr>
          <w:rFonts w:hint="cs"/>
          <w:rtl/>
        </w:rPr>
        <w:t>.</w:t>
      </w:r>
    </w:p>
    <w:p w14:paraId="5421EA08" w14:textId="366844CA" w:rsidR="0095451D" w:rsidRDefault="0095451D" w:rsidP="001A33DC">
      <w:pPr>
        <w:pStyle w:val="Hesber"/>
        <w:rPr>
          <w:rtl/>
        </w:rPr>
      </w:pPr>
      <w:r>
        <w:rPr>
          <w:rFonts w:hint="cs"/>
          <w:rtl/>
        </w:rPr>
        <w:t>הצעת החוק זהה לפ/1683/24 ולפיכך לא נבדקה מחדש על ידי הלשכה המשפטית של הכנסת.</w:t>
      </w:r>
    </w:p>
    <w:p w14:paraId="31E5E2C4" w14:textId="77777777" w:rsidR="003C4B2E" w:rsidRDefault="003C4B2E">
      <w:pPr>
        <w:jc w:val="left"/>
        <w:rPr>
          <w:rFonts w:eastAsia="David"/>
          <w:sz w:val="26"/>
          <w:szCs w:val="26"/>
          <w:rtl/>
        </w:rPr>
      </w:pPr>
      <w:bookmarkStart w:id="9" w:name="selectedDocDateB"/>
      <w:bookmarkEnd w:id="9"/>
    </w:p>
    <w:p w14:paraId="0186D5D5" w14:textId="77777777" w:rsidR="00DF75CC" w:rsidRDefault="003C4B2E">
      <w:pPr>
        <w:jc w:val="left"/>
      </w:pPr>
      <w:r>
        <w:rPr>
          <w:rFonts w:eastAsia="David" w:hint="cs"/>
          <w:sz w:val="26"/>
          <w:szCs w:val="26"/>
          <w:rtl/>
        </w:rPr>
        <w:t>--------------------------------</w:t>
      </w:r>
    </w:p>
    <w:p w14:paraId="2CC603FA" w14:textId="77777777" w:rsidR="00DF75CC" w:rsidRDefault="003C4B2E">
      <w:pPr>
        <w:jc w:val="left"/>
      </w:pPr>
      <w:r>
        <w:rPr>
          <w:rFonts w:eastAsia="David" w:hint="cs"/>
          <w:sz w:val="26"/>
          <w:szCs w:val="26"/>
          <w:rtl/>
        </w:rPr>
        <w:t>הוגשה ליו"ר הכנסת והסגנים</w:t>
      </w:r>
    </w:p>
    <w:p w14:paraId="43935F1E" w14:textId="77777777" w:rsidR="00DF75CC" w:rsidRDefault="003C4B2E">
      <w:pPr>
        <w:jc w:val="left"/>
      </w:pPr>
      <w:r>
        <w:rPr>
          <w:rFonts w:eastAsia="David" w:hint="cs"/>
          <w:sz w:val="26"/>
          <w:szCs w:val="26"/>
          <w:rtl/>
        </w:rPr>
        <w:t>והונחה על שולחן הכנסת ביום</w:t>
      </w:r>
    </w:p>
    <w:p w14:paraId="07B4EA51" w14:textId="77777777" w:rsidR="00DF75CC" w:rsidRDefault="003C4B2E">
      <w:pPr>
        <w:jc w:val="left"/>
      </w:pPr>
      <w:r>
        <w:rPr>
          <w:rFonts w:eastAsia="David" w:hint="cs"/>
          <w:sz w:val="26"/>
          <w:szCs w:val="26"/>
          <w:rtl/>
        </w:rPr>
        <w:t xml:space="preserve">א' בשבט התשפ"ג (23.01.2023) </w:t>
      </w:r>
    </w:p>
    <w:p w14:paraId="6882EB39" w14:textId="77777777" w:rsidR="00DF75CC" w:rsidRDefault="00DF75CC">
      <w:pPr>
        <w:spacing w:line="276" w:lineRule="auto"/>
        <w:jc w:val="left"/>
      </w:pPr>
    </w:p>
    <w:sectPr w:rsidR="00DF75CC" w:rsidSect="003C4B2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62CE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3C4B2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212EAB1" w14:textId="77777777" w:rsidR="00913F3E" w:rsidRDefault="00913F3E" w:rsidP="00913F3E">
      <w:pPr>
        <w:pStyle w:val="a4"/>
        <w:rPr>
          <w:rtl/>
        </w:rPr>
      </w:pPr>
      <w:r>
        <w:rPr>
          <w:rStyle w:val="a6"/>
        </w:rPr>
        <w:footnoteRef/>
      </w:r>
      <w:r>
        <w:rPr>
          <w:rtl/>
        </w:rPr>
        <w:t xml:space="preserve"> </w:t>
      </w:r>
      <w:r>
        <w:rPr>
          <w:rFonts w:hint="cs"/>
          <w:rtl/>
        </w:rPr>
        <w:t>ס"ח התשנ"ד, עמ' 156.</w:t>
      </w:r>
    </w:p>
  </w:footnote>
  <w:footnote w:id="3">
    <w:p w14:paraId="5AC26C8E" w14:textId="77777777" w:rsidR="00913F3E" w:rsidRDefault="00913F3E" w:rsidP="00913F3E">
      <w:pPr>
        <w:pStyle w:val="a4"/>
      </w:pPr>
      <w:r>
        <w:rPr>
          <w:rStyle w:val="a6"/>
        </w:rPr>
        <w:footnoteRef/>
      </w:r>
      <w:r>
        <w:rPr>
          <w:rtl/>
        </w:rPr>
        <w:t xml:space="preserve"> </w:t>
      </w:r>
      <w:r>
        <w:rPr>
          <w:rFonts w:hint="cs"/>
          <w:rtl/>
        </w:rPr>
        <w:t>ס"ח התשנ"א, עמ' 58.</w:t>
      </w:r>
    </w:p>
  </w:footnote>
  <w:footnote w:id="4">
    <w:p w14:paraId="6FCB5EEC" w14:textId="77777777" w:rsidR="00913F3E" w:rsidRDefault="00913F3E" w:rsidP="00913F3E">
      <w:pPr>
        <w:pStyle w:val="a4"/>
        <w:rPr>
          <w:rtl/>
        </w:rPr>
      </w:pPr>
      <w:r>
        <w:rPr>
          <w:rStyle w:val="a6"/>
        </w:rPr>
        <w:footnoteRef/>
      </w:r>
      <w:r>
        <w:rPr>
          <w:rtl/>
        </w:rPr>
        <w:t xml:space="preserve"> </w:t>
      </w:r>
      <w:r>
        <w:rPr>
          <w:rFonts w:hint="cs"/>
          <w:rtl/>
        </w:rPr>
        <w:t>ס"ח התש"ס, עמ' 231.</w:t>
      </w:r>
    </w:p>
  </w:footnote>
  <w:footnote w:id="5">
    <w:p w14:paraId="68056DAE" w14:textId="77777777" w:rsidR="00913F3E" w:rsidRDefault="00913F3E" w:rsidP="00913F3E">
      <w:pPr>
        <w:pStyle w:val="a4"/>
      </w:pPr>
      <w:r>
        <w:rPr>
          <w:rStyle w:val="a6"/>
        </w:rPr>
        <w:footnoteRef/>
      </w:r>
      <w:r>
        <w:rPr>
          <w:rtl/>
        </w:rPr>
        <w:t xml:space="preserve"> </w:t>
      </w:r>
      <w:r>
        <w:rPr>
          <w:rFonts w:hint="cs"/>
          <w:rtl/>
        </w:rPr>
        <w:t>ס"ח התשנ"א, עמ' 58.</w:t>
      </w:r>
    </w:p>
  </w:footnote>
  <w:footnote w:id="6">
    <w:p w14:paraId="334DA66C" w14:textId="77777777" w:rsidR="00913F3E" w:rsidRDefault="00913F3E" w:rsidP="00913F3E">
      <w:pPr>
        <w:pStyle w:val="a4"/>
        <w:rPr>
          <w:rtl/>
        </w:rPr>
      </w:pPr>
      <w:r>
        <w:rPr>
          <w:rStyle w:val="a6"/>
        </w:rPr>
        <w:footnoteRef/>
      </w:r>
      <w:r>
        <w:rPr>
          <w:rtl/>
        </w:rPr>
        <w:t xml:space="preserve"> </w:t>
      </w:r>
      <w:r>
        <w:rPr>
          <w:rFonts w:hint="cs"/>
          <w:rtl/>
        </w:rPr>
        <w:t>ס"ח התש"ס, עמ' 231.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A33DC"/>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C4B2E"/>
    <w:rsid w:val="003D6E38"/>
    <w:rsid w:val="003D74A0"/>
    <w:rsid w:val="004033D8"/>
    <w:rsid w:val="004073F0"/>
    <w:rsid w:val="00412A7D"/>
    <w:rsid w:val="00416B4D"/>
    <w:rsid w:val="00417CFC"/>
    <w:rsid w:val="00490183"/>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4213"/>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B7D2B"/>
    <w:rsid w:val="008C2DDC"/>
    <w:rsid w:val="008C7516"/>
    <w:rsid w:val="008E6EC7"/>
    <w:rsid w:val="008F0D63"/>
    <w:rsid w:val="008F1308"/>
    <w:rsid w:val="008F2C35"/>
    <w:rsid w:val="008F6665"/>
    <w:rsid w:val="00904591"/>
    <w:rsid w:val="00905E5F"/>
    <w:rsid w:val="0091204F"/>
    <w:rsid w:val="00913F3E"/>
    <w:rsid w:val="009203DB"/>
    <w:rsid w:val="00923CD4"/>
    <w:rsid w:val="00930EFE"/>
    <w:rsid w:val="00943386"/>
    <w:rsid w:val="009456B6"/>
    <w:rsid w:val="0095451D"/>
    <w:rsid w:val="00957589"/>
    <w:rsid w:val="00962CEC"/>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DF75CC"/>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2D49F29-EBE8-4BB5-AF89-86C5F12D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B2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C4B2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C4B2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C4B2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C4B2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C4B2E"/>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C4B2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C4B2E"/>
    <w:rPr>
      <w:sz w:val="36"/>
      <w:szCs w:val="52"/>
    </w:rPr>
  </w:style>
  <w:style w:type="paragraph" w:customStyle="1" w:styleId="Cover3-Haknesset">
    <w:name w:val="Cover 3-Haknesset"/>
    <w:basedOn w:val="Cover1-Reshumot"/>
    <w:rsid w:val="003C4B2E"/>
    <w:rPr>
      <w:b/>
      <w:bCs/>
      <w:spacing w:val="60"/>
    </w:rPr>
  </w:style>
  <w:style w:type="paragraph" w:customStyle="1" w:styleId="Cover4-Date">
    <w:name w:val="Cover 4-Date"/>
    <w:basedOn w:val="a"/>
    <w:rsid w:val="003C4B2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C4B2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C4B2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C4B2E"/>
    <w:pPr>
      <w:spacing w:before="120" w:after="120"/>
    </w:pPr>
    <w:rPr>
      <w:color w:val="FF0000"/>
      <w:w w:val="80"/>
    </w:rPr>
  </w:style>
  <w:style w:type="paragraph" w:styleId="a3">
    <w:name w:val="endnote text"/>
    <w:basedOn w:val="a"/>
    <w:semiHidden/>
    <w:rsid w:val="003C4B2E"/>
    <w:pPr>
      <w:ind w:left="227" w:hanging="227"/>
    </w:pPr>
    <w:rPr>
      <w:sz w:val="14"/>
      <w:szCs w:val="22"/>
    </w:rPr>
  </w:style>
  <w:style w:type="paragraph" w:customStyle="1" w:styleId="TableText">
    <w:name w:val="Table Text"/>
    <w:basedOn w:val="a"/>
    <w:rsid w:val="003C4B2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C4B2E"/>
    <w:pPr>
      <w:outlineLvl w:val="2"/>
    </w:pPr>
  </w:style>
  <w:style w:type="paragraph" w:customStyle="1" w:styleId="TableBlock">
    <w:name w:val="Table Block"/>
    <w:basedOn w:val="TableText"/>
    <w:rsid w:val="003C4B2E"/>
    <w:pPr>
      <w:jc w:val="both"/>
    </w:pPr>
  </w:style>
  <w:style w:type="paragraph" w:customStyle="1" w:styleId="TableHead">
    <w:name w:val="Table Head"/>
    <w:basedOn w:val="TableText"/>
    <w:rsid w:val="003C4B2E"/>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C4B2E"/>
    <w:pPr>
      <w:outlineLvl w:val="9"/>
    </w:pPr>
  </w:style>
  <w:style w:type="paragraph" w:customStyle="1" w:styleId="Hesber">
    <w:name w:val="Hesber"/>
    <w:basedOn w:val="a"/>
    <w:rsid w:val="003C4B2E"/>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3C4B2E"/>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3C4B2E"/>
    <w:rPr>
      <w:vertAlign w:val="superscript"/>
    </w:rPr>
  </w:style>
  <w:style w:type="paragraph" w:customStyle="1" w:styleId="HesberHeading">
    <w:name w:val="Hesber Heading"/>
    <w:basedOn w:val="Hesber"/>
    <w:rsid w:val="003C4B2E"/>
    <w:pPr>
      <w:tabs>
        <w:tab w:val="left" w:pos="624"/>
        <w:tab w:val="left" w:pos="1247"/>
      </w:tabs>
    </w:pPr>
    <w:rPr>
      <w:b/>
      <w:bCs/>
    </w:rPr>
  </w:style>
  <w:style w:type="paragraph" w:customStyle="1" w:styleId="HesberWriters">
    <w:name w:val="Hesber Writers"/>
    <w:basedOn w:val="Hesber"/>
    <w:rsid w:val="003C4B2E"/>
    <w:pPr>
      <w:spacing w:before="120" w:after="120"/>
      <w:ind w:left="1418"/>
      <w:jc w:val="right"/>
    </w:pPr>
    <w:rPr>
      <w:b/>
      <w:bCs/>
    </w:rPr>
  </w:style>
  <w:style w:type="paragraph" w:customStyle="1" w:styleId="Hesber1st">
    <w:name w:val="Hesber 1st"/>
    <w:basedOn w:val="Hesber"/>
    <w:rsid w:val="003C4B2E"/>
    <w:pPr>
      <w:tabs>
        <w:tab w:val="left" w:pos="680"/>
        <w:tab w:val="left" w:pos="1020"/>
      </w:tabs>
      <w:ind w:firstLine="0"/>
    </w:pPr>
  </w:style>
  <w:style w:type="character" w:styleId="a7">
    <w:name w:val="endnote reference"/>
    <w:basedOn w:val="a0"/>
    <w:semiHidden/>
    <w:rsid w:val="003C4B2E"/>
    <w:rPr>
      <w:vertAlign w:val="superscript"/>
    </w:rPr>
  </w:style>
  <w:style w:type="paragraph" w:customStyle="1" w:styleId="TableBlockOutdent">
    <w:name w:val="Table BlockOutdent"/>
    <w:basedOn w:val="TableBlock"/>
    <w:rsid w:val="003C4B2E"/>
    <w:pPr>
      <w:ind w:left="624" w:hanging="624"/>
    </w:pPr>
  </w:style>
  <w:style w:type="paragraph" w:styleId="a8">
    <w:name w:val="header"/>
    <w:basedOn w:val="a"/>
    <w:rsid w:val="003C4B2E"/>
    <w:pPr>
      <w:tabs>
        <w:tab w:val="center" w:pos="4153"/>
        <w:tab w:val="right" w:pos="8306"/>
      </w:tabs>
    </w:pPr>
  </w:style>
  <w:style w:type="paragraph" w:styleId="a9">
    <w:name w:val="footer"/>
    <w:basedOn w:val="a"/>
    <w:rsid w:val="003C4B2E"/>
    <w:pPr>
      <w:tabs>
        <w:tab w:val="center" w:pos="4153"/>
        <w:tab w:val="right" w:pos="8306"/>
      </w:tabs>
    </w:pPr>
  </w:style>
  <w:style w:type="paragraph" w:customStyle="1" w:styleId="HeadDivreiHesber">
    <w:name w:val="Head DivreiHesber"/>
    <w:basedOn w:val="a"/>
    <w:rsid w:val="003C4B2E"/>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C4B2E"/>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3C4B2E"/>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13F3E"/>
    <w:rPr>
      <w:rFonts w:ascii="Arial" w:eastAsia="Arial Unicode MS" w:hAnsi="Arial" w:cs="David"/>
      <w:snapToGrid w:val="0"/>
      <w:sz w:val="14"/>
    </w:rPr>
  </w:style>
  <w:style w:type="character" w:customStyle="1" w:styleId="10">
    <w:name w:val="כותרת 1 תו"/>
    <w:basedOn w:val="a0"/>
    <w:link w:val="1"/>
    <w:uiPriority w:val="9"/>
    <w:rsid w:val="003C4B2E"/>
    <w:rPr>
      <w:rFonts w:asciiTheme="majorHAnsi" w:eastAsiaTheme="majorEastAsia" w:hAnsiTheme="majorHAnsi" w:cs="David"/>
      <w:bCs/>
      <w:sz w:val="32"/>
      <w:szCs w:val="36"/>
    </w:rPr>
  </w:style>
  <w:style w:type="character" w:customStyle="1" w:styleId="20">
    <w:name w:val="כותרת 2 תו"/>
    <w:basedOn w:val="a0"/>
    <w:link w:val="2"/>
    <w:rsid w:val="003C4B2E"/>
    <w:rPr>
      <w:rFonts w:asciiTheme="majorHAnsi" w:eastAsiaTheme="majorEastAsia" w:hAnsiTheme="majorHAnsi" w:cs="David"/>
      <w:bCs/>
      <w:sz w:val="26"/>
      <w:szCs w:val="36"/>
      <w:u w:val="single"/>
    </w:rPr>
  </w:style>
  <w:style w:type="character" w:customStyle="1" w:styleId="30">
    <w:name w:val="כותרת 3 תו"/>
    <w:basedOn w:val="a0"/>
    <w:link w:val="3"/>
    <w:rsid w:val="003C4B2E"/>
    <w:rPr>
      <w:rFonts w:asciiTheme="majorHAnsi" w:eastAsiaTheme="majorEastAsia" w:hAnsiTheme="majorHAnsi" w:cs="David"/>
      <w:sz w:val="24"/>
      <w:szCs w:val="28"/>
      <w:u w:val="double"/>
    </w:rPr>
  </w:style>
  <w:style w:type="character" w:customStyle="1" w:styleId="40">
    <w:name w:val="כותרת 4 תו"/>
    <w:basedOn w:val="a0"/>
    <w:link w:val="4"/>
    <w:uiPriority w:val="9"/>
    <w:rsid w:val="003C4B2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C4B2E"/>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3C4B2E"/>
    <w:pPr>
      <w:widowControl/>
      <w:spacing w:before="120" w:after="120"/>
      <w:outlineLvl w:val="9"/>
    </w:pPr>
    <w:rPr>
      <w:rtl/>
      <w:cs/>
    </w:rPr>
  </w:style>
  <w:style w:type="paragraph" w:styleId="TOC1">
    <w:name w:val="toc 1"/>
    <w:basedOn w:val="a"/>
    <w:next w:val="a"/>
    <w:autoRedefine/>
    <w:uiPriority w:val="39"/>
    <w:unhideWhenUsed/>
    <w:rsid w:val="003C4B2E"/>
    <w:pPr>
      <w:tabs>
        <w:tab w:val="right" w:leader="dot" w:pos="9629"/>
      </w:tabs>
      <w:spacing w:after="100"/>
    </w:pPr>
    <w:rPr>
      <w:bCs/>
      <w:szCs w:val="22"/>
    </w:rPr>
  </w:style>
  <w:style w:type="paragraph" w:styleId="TOC2">
    <w:name w:val="toc 2"/>
    <w:basedOn w:val="a"/>
    <w:next w:val="a"/>
    <w:uiPriority w:val="39"/>
    <w:unhideWhenUsed/>
    <w:rsid w:val="003C4B2E"/>
    <w:pPr>
      <w:tabs>
        <w:tab w:val="right" w:leader="dot" w:pos="9628"/>
      </w:tabs>
      <w:spacing w:after="100"/>
    </w:pPr>
    <w:rPr>
      <w:szCs w:val="22"/>
    </w:rPr>
  </w:style>
  <w:style w:type="character" w:styleId="Hyperlink">
    <w:name w:val="Hyperlink"/>
    <w:basedOn w:val="a0"/>
    <w:uiPriority w:val="99"/>
    <w:unhideWhenUsed/>
    <w:rsid w:val="003C4B2E"/>
    <w:rPr>
      <w:color w:val="0000FF" w:themeColor="hyperlink"/>
      <w:u w:val="single"/>
    </w:rPr>
  </w:style>
  <w:style w:type="paragraph" w:styleId="TOC3">
    <w:name w:val="toc 3"/>
    <w:basedOn w:val="a"/>
    <w:next w:val="a"/>
    <w:uiPriority w:val="39"/>
    <w:unhideWhenUsed/>
    <w:rsid w:val="003C4B2E"/>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C4B2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C4B2E"/>
    <w:pPr>
      <w:tabs>
        <w:tab w:val="right" w:leader="dot" w:pos="9628"/>
      </w:tabs>
      <w:spacing w:after="100"/>
      <w:ind w:left="567"/>
    </w:pPr>
    <w:rPr>
      <w:szCs w:val="22"/>
    </w:rPr>
  </w:style>
  <w:style w:type="paragraph" w:styleId="TOC6">
    <w:name w:val="toc 6"/>
    <w:basedOn w:val="a"/>
    <w:next w:val="a"/>
    <w:autoRedefine/>
    <w:semiHidden/>
    <w:unhideWhenUsed/>
    <w:rsid w:val="003C4B2E"/>
    <w:pPr>
      <w:spacing w:after="100"/>
      <w:ind w:left="850"/>
    </w:pPr>
  </w:style>
  <w:style w:type="paragraph" w:styleId="TOC7">
    <w:name w:val="toc 7"/>
    <w:basedOn w:val="a"/>
    <w:next w:val="a"/>
    <w:autoRedefine/>
    <w:semiHidden/>
    <w:unhideWhenUsed/>
    <w:rsid w:val="003C4B2E"/>
    <w:pPr>
      <w:spacing w:after="100"/>
      <w:ind w:left="1020"/>
    </w:pPr>
  </w:style>
  <w:style w:type="paragraph" w:styleId="TOC8">
    <w:name w:val="toc 8"/>
    <w:basedOn w:val="a"/>
    <w:next w:val="a"/>
    <w:autoRedefine/>
    <w:semiHidden/>
    <w:unhideWhenUsed/>
    <w:rsid w:val="003C4B2E"/>
    <w:pPr>
      <w:spacing w:after="100"/>
      <w:ind w:left="1190"/>
    </w:pPr>
  </w:style>
  <w:style w:type="paragraph" w:styleId="TOC9">
    <w:name w:val="toc 9"/>
    <w:basedOn w:val="a"/>
    <w:next w:val="a"/>
    <w:autoRedefine/>
    <w:semiHidden/>
    <w:unhideWhenUsed/>
    <w:rsid w:val="003C4B2E"/>
    <w:pPr>
      <w:spacing w:after="100"/>
      <w:ind w:left="1360"/>
    </w:pPr>
  </w:style>
  <w:style w:type="paragraph" w:customStyle="1" w:styleId="TableHead2">
    <w:name w:val="Table Head2"/>
    <w:basedOn w:val="TableHead"/>
    <w:qFormat/>
    <w:rsid w:val="003C4B2E"/>
    <w:pPr>
      <w:outlineLvl w:val="9"/>
    </w:pPr>
  </w:style>
  <w:style w:type="paragraph" w:customStyle="1" w:styleId="TableSideHeading2">
    <w:name w:val="Table SideHeading2"/>
    <w:basedOn w:val="TableSideHeading"/>
    <w:autoRedefine/>
    <w:qFormat/>
    <w:rsid w:val="003C4B2E"/>
    <w:pPr>
      <w:keepLines w:val="0"/>
      <w:outlineLvl w:val="9"/>
    </w:pPr>
  </w:style>
  <w:style w:type="paragraph" w:customStyle="1" w:styleId="0">
    <w:name w:val="סגנון שורה ראשונה:  0  ס''מ"/>
    <w:basedOn w:val="2"/>
    <w:rsid w:val="003C4B2E"/>
    <w:rPr>
      <w:rFonts w:eastAsia="Times New Roman"/>
    </w:rPr>
  </w:style>
  <w:style w:type="paragraph" w:styleId="af">
    <w:name w:val="List Paragraph"/>
    <w:basedOn w:val="a"/>
    <w:uiPriority w:val="34"/>
    <w:qFormat/>
    <w:rsid w:val="003C4B2E"/>
    <w:pPr>
      <w:widowControl/>
      <w:spacing w:line="259" w:lineRule="auto"/>
    </w:pPr>
    <w:rPr>
      <w:rFonts w:asciiTheme="minorHAnsi" w:hAnsiTheme="minorHAnsi"/>
      <w:sz w:val="22"/>
    </w:rPr>
  </w:style>
  <w:style w:type="table" w:styleId="af0">
    <w:name w:val="Table Grid"/>
    <w:basedOn w:val="a1"/>
    <w:rsid w:val="003C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C4B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C4B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3C4B2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C4B2E"/>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www.w3.org/XML/1998/namespace"/>
    <ds:schemaRef ds:uri="http://schemas.microsoft.com/office/infopath/2007/PartnerControls"/>
    <ds:schemaRef ds:uri="290d5b49-c690-4c6f-bbb9-1e50dab33ee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44F6016-A9F1-451E-975A-276BDA3E2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9DB56-4EC8-41D8-B0A9-40EA6E5B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417</Words>
  <Characters>2379</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11</cp:revision>
  <cp:lastPrinted>2013-07-04T08:25:00Z</cp:lastPrinted>
  <dcterms:created xsi:type="dcterms:W3CDTF">2015-04-20T09:58:00Z</dcterms:created>
  <dcterms:modified xsi:type="dcterms:W3CDTF">2023-01-18T09:26:00Z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2198723</vt:r8>
  </property>
</Properties>
</file>