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2198970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6854772" w:rsidR="00E13C27" w:rsidRPr="00CF1AA2" w:rsidRDefault="008F6665" w:rsidP="00182292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אביגדור ליברמן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שרון ניר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חמד עמאר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פ/1700/25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גירוש משפחות מחבלים, התשפ"ג–2023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B67A64" w14:paraId="23987658" w14:textId="77777777" w:rsidTr="00625C7D">
        <w:trPr>
          <w:cantSplit/>
        </w:trPr>
        <w:tc>
          <w:tcPr>
            <w:tcW w:w="1871" w:type="dxa"/>
          </w:tcPr>
          <w:p w14:paraId="0A3F86BC" w14:textId="77777777" w:rsidR="00B67A64" w:rsidRDefault="00B67A64" w:rsidP="00625C7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14:paraId="42209C29" w14:textId="77777777" w:rsidR="00B67A64" w:rsidRDefault="00B67A64" w:rsidP="00625C7D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78139DC5" w14:textId="77777777" w:rsidR="00B67A64" w:rsidRPr="008706DF" w:rsidRDefault="00B67A64" w:rsidP="00625C7D">
            <w:pPr>
              <w:pStyle w:val="TableBlockOutdent"/>
              <w:rPr>
                <w:rFonts w:ascii="FrankRuehl" w:hAnsi="FrankRuehl"/>
                <w:sz w:val="26"/>
              </w:rPr>
            </w:pPr>
            <w:r w:rsidRPr="00174860">
              <w:rPr>
                <w:rtl/>
              </w:rPr>
              <w:t>בחוק זה –</w:t>
            </w:r>
          </w:p>
        </w:tc>
      </w:tr>
      <w:tr w:rsidR="00B67A64" w14:paraId="56EC2E70" w14:textId="77777777" w:rsidTr="00625C7D">
        <w:trPr>
          <w:cantSplit/>
        </w:trPr>
        <w:tc>
          <w:tcPr>
            <w:tcW w:w="1871" w:type="dxa"/>
          </w:tcPr>
          <w:p w14:paraId="2B00D77A" w14:textId="77777777" w:rsidR="00B67A64" w:rsidRDefault="00B67A64" w:rsidP="00625C7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A571E10" w14:textId="77777777" w:rsidR="00B67A64" w:rsidRDefault="00B67A64" w:rsidP="00625C7D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</w:tcPr>
          <w:p w14:paraId="5B29353C" w14:textId="77777777" w:rsidR="00B67A64" w:rsidRPr="00174860" w:rsidRDefault="00B67A64" w:rsidP="00625C7D">
            <w:pPr>
              <w:pStyle w:val="TableBlockOutdent"/>
              <w:rPr>
                <w:rtl/>
              </w:rPr>
            </w:pPr>
            <w:r w:rsidRPr="00185509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בן </w:t>
            </w:r>
            <w:r w:rsidRPr="00185509">
              <w:rPr>
                <w:rFonts w:hint="cs"/>
                <w:rtl/>
              </w:rPr>
              <w:t xml:space="preserve">משפחה" </w:t>
            </w:r>
            <w:r w:rsidRPr="0018550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אב, אם, אח, אחות, בן, בת;</w:t>
            </w:r>
          </w:p>
        </w:tc>
      </w:tr>
      <w:tr w:rsidR="00B67A64" w14:paraId="4BB2D126" w14:textId="77777777" w:rsidTr="00625C7D">
        <w:trPr>
          <w:cantSplit/>
        </w:trPr>
        <w:tc>
          <w:tcPr>
            <w:tcW w:w="1871" w:type="dxa"/>
          </w:tcPr>
          <w:p w14:paraId="3DBE7141" w14:textId="77777777" w:rsidR="00B67A64" w:rsidRDefault="00B67A64" w:rsidP="00625C7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E0B9A09" w14:textId="77777777" w:rsidR="00B67A64" w:rsidRDefault="00B67A64" w:rsidP="00625C7D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</w:tcPr>
          <w:p w14:paraId="2E2139CA" w14:textId="77777777" w:rsidR="00B67A64" w:rsidRPr="00174860" w:rsidRDefault="00B67A64" w:rsidP="00625C7D">
            <w:pPr>
              <w:pStyle w:val="TableBlockOutdent"/>
              <w:rPr>
                <w:rtl/>
              </w:rPr>
            </w:pPr>
            <w:r w:rsidRPr="00174860">
              <w:rPr>
                <w:rtl/>
              </w:rPr>
              <w:t>"</w:t>
            </w:r>
            <w:r>
              <w:rPr>
                <w:rFonts w:hint="cs"/>
                <w:rtl/>
              </w:rPr>
              <w:t>מחבל</w:t>
            </w:r>
            <w:r w:rsidRPr="000633A6">
              <w:rPr>
                <w:rFonts w:hint="cs"/>
                <w:rtl/>
              </w:rPr>
              <w:t xml:space="preserve">" </w:t>
            </w:r>
            <w:r w:rsidRPr="000633A6">
              <w:rPr>
                <w:rtl/>
              </w:rPr>
              <w:t>–</w:t>
            </w:r>
            <w:r w:rsidRPr="000633A6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אדם שהוא פעיל טרור </w:t>
            </w:r>
            <w:r w:rsidRPr="000633A6">
              <w:rPr>
                <w:rFonts w:hint="cs"/>
                <w:rtl/>
              </w:rPr>
              <w:t xml:space="preserve">כהגדרתו </w:t>
            </w:r>
            <w:r>
              <w:rPr>
                <w:rFonts w:hint="cs"/>
                <w:rtl/>
              </w:rPr>
              <w:t>ב</w:t>
            </w:r>
            <w:r w:rsidRPr="000633A6">
              <w:rPr>
                <w:rFonts w:hint="cs"/>
                <w:rtl/>
              </w:rPr>
              <w:t xml:space="preserve">חוק להקפאת כספים ששילמה הרשות הפלסטינית בזיקה לטרור מהכספים המועברים אליה </w:t>
            </w:r>
            <w:r>
              <w:rPr>
                <w:rFonts w:hint="cs"/>
                <w:rtl/>
              </w:rPr>
              <w:t>מ</w:t>
            </w:r>
            <w:r w:rsidRPr="000633A6">
              <w:rPr>
                <w:rFonts w:hint="cs"/>
                <w:rtl/>
              </w:rPr>
              <w:t>ממשלת ישראל</w:t>
            </w:r>
            <w:r>
              <w:rPr>
                <w:rFonts w:hint="cs"/>
                <w:rtl/>
              </w:rPr>
              <w:t>,</w:t>
            </w:r>
            <w:r w:rsidRPr="000633A6">
              <w:rPr>
                <w:rFonts w:hint="cs"/>
                <w:rtl/>
              </w:rPr>
              <w:t xml:space="preserve"> התשע"ח</w:t>
            </w:r>
            <w:r>
              <w:rPr>
                <w:rFonts w:hint="eastAsia"/>
                <w:rtl/>
              </w:rPr>
              <w:t>–</w:t>
            </w:r>
            <w:r w:rsidRPr="000633A6">
              <w:rPr>
                <w:rFonts w:hint="cs"/>
                <w:rtl/>
              </w:rPr>
              <w:t>2018</w:t>
            </w:r>
            <w:r w:rsidRPr="00C767BA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0633A6">
              <w:rPr>
                <w:rFonts w:hint="cs"/>
                <w:rtl/>
              </w:rPr>
              <w:t>;</w:t>
            </w:r>
          </w:p>
        </w:tc>
      </w:tr>
      <w:tr w:rsidR="00B67A64" w14:paraId="4C94021B" w14:textId="77777777" w:rsidTr="00625C7D">
        <w:trPr>
          <w:cantSplit/>
        </w:trPr>
        <w:tc>
          <w:tcPr>
            <w:tcW w:w="1871" w:type="dxa"/>
          </w:tcPr>
          <w:p w14:paraId="260E85AF" w14:textId="77777777" w:rsidR="00B67A64" w:rsidRPr="0065180A" w:rsidRDefault="00B67A64" w:rsidP="00625C7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162B4D1D" w14:textId="77777777" w:rsidR="00B67A64" w:rsidRDefault="00B67A64" w:rsidP="00625C7D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</w:tcPr>
          <w:p w14:paraId="163A1067" w14:textId="77777777" w:rsidR="00B67A64" w:rsidRPr="00174860" w:rsidRDefault="00B67A64" w:rsidP="00625C7D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"מעשה טרור" 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– כהגדרתו ב</w:t>
            </w:r>
            <w:r w:rsidRPr="00B418D4">
              <w:rPr>
                <w:rtl/>
              </w:rPr>
              <w:t xml:space="preserve">חוק המאבק בטרור, </w:t>
            </w:r>
            <w:r>
              <w:rPr>
                <w:rFonts w:hint="cs"/>
                <w:rtl/>
              </w:rPr>
              <w:t>ה</w:t>
            </w:r>
            <w:r w:rsidRPr="00B418D4">
              <w:rPr>
                <w:rtl/>
              </w:rPr>
              <w:t>תשע"ו</w:t>
            </w:r>
            <w:r>
              <w:rPr>
                <w:rFonts w:hint="cs"/>
                <w:rtl/>
              </w:rPr>
              <w:t>–2016</w:t>
            </w:r>
            <w:r w:rsidRPr="00C767BA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rtl/>
              </w:rPr>
              <w:t>;</w:t>
            </w:r>
          </w:p>
        </w:tc>
      </w:tr>
      <w:tr w:rsidR="00B67A64" w14:paraId="34828690" w14:textId="77777777" w:rsidTr="00625C7D">
        <w:trPr>
          <w:cantSplit/>
        </w:trPr>
        <w:tc>
          <w:tcPr>
            <w:tcW w:w="1871" w:type="dxa"/>
          </w:tcPr>
          <w:p w14:paraId="6521929C" w14:textId="77777777" w:rsidR="00B67A64" w:rsidRDefault="00B67A64" w:rsidP="00625C7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4024B7A" w14:textId="77777777" w:rsidR="00B67A64" w:rsidRDefault="00B67A64" w:rsidP="00625C7D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3" w:type="dxa"/>
          </w:tcPr>
          <w:p w14:paraId="77167B3B" w14:textId="77777777" w:rsidR="00B67A64" w:rsidRPr="00174860" w:rsidRDefault="00B67A64" w:rsidP="00625C7D">
            <w:pPr>
              <w:pStyle w:val="TableBlockOutdent"/>
              <w:rPr>
                <w:rtl/>
              </w:rPr>
            </w:pPr>
            <w:r w:rsidRPr="00380B95">
              <w:rPr>
                <w:rtl/>
              </w:rPr>
              <w:t xml:space="preserve">"השר" </w:t>
            </w:r>
            <w:r w:rsidRPr="00380B95">
              <w:rPr>
                <w:rFonts w:hint="eastAsia"/>
                <w:rtl/>
              </w:rPr>
              <w:t>–</w:t>
            </w:r>
            <w:r w:rsidRPr="00380B95">
              <w:rPr>
                <w:rtl/>
              </w:rPr>
              <w:t xml:space="preserve"> </w:t>
            </w:r>
            <w:r w:rsidRPr="00380B95">
              <w:rPr>
                <w:rFonts w:hint="eastAsia"/>
                <w:rtl/>
              </w:rPr>
              <w:t>שר</w:t>
            </w:r>
            <w:r w:rsidRPr="00380B95">
              <w:rPr>
                <w:rtl/>
              </w:rPr>
              <w:t xml:space="preserve"> </w:t>
            </w:r>
            <w:r w:rsidRPr="00380B95">
              <w:rPr>
                <w:rFonts w:hint="eastAsia"/>
                <w:rtl/>
              </w:rPr>
              <w:t>הפנים</w:t>
            </w:r>
            <w:r w:rsidRPr="00380B95">
              <w:rPr>
                <w:rtl/>
              </w:rPr>
              <w:t>.</w:t>
            </w:r>
          </w:p>
        </w:tc>
      </w:tr>
      <w:tr w:rsidR="00B67A64" w14:paraId="70E797CE" w14:textId="77777777" w:rsidTr="00625C7D">
        <w:trPr>
          <w:cantSplit/>
        </w:trPr>
        <w:tc>
          <w:tcPr>
            <w:tcW w:w="1871" w:type="dxa"/>
          </w:tcPr>
          <w:p w14:paraId="0E710D2B" w14:textId="77777777" w:rsidR="00B67A64" w:rsidRDefault="00B67A64" w:rsidP="00625C7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גירוש בן משפחה </w:t>
            </w:r>
          </w:p>
        </w:tc>
        <w:tc>
          <w:tcPr>
            <w:tcW w:w="624" w:type="dxa"/>
          </w:tcPr>
          <w:p w14:paraId="2212EFB5" w14:textId="77777777" w:rsidR="00B67A64" w:rsidRDefault="00B67A64" w:rsidP="00625C7D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4B82B85D" w14:textId="77777777" w:rsidR="00B67A64" w:rsidRPr="00C767BA" w:rsidRDefault="00B67A64" w:rsidP="00625C7D">
            <w:pPr>
              <w:pStyle w:val="TableBlock"/>
            </w:pPr>
            <w:r w:rsidRPr="00C767BA">
              <w:rPr>
                <w:rFonts w:hint="cs"/>
                <w:rtl/>
              </w:rPr>
              <w:t xml:space="preserve">נוכח השר כי בן משפחה של מחבל ידע מראש על תוכניתו לבצע מעשה טרור, הביע תמיכה או הזדהות עם מעשה הטרור או </w:t>
            </w:r>
            <w:r w:rsidRPr="00C767BA">
              <w:rPr>
                <w:rtl/>
              </w:rPr>
              <w:t xml:space="preserve">פרסם דברי שבח, אהדה או עידוד למעשה </w:t>
            </w:r>
            <w:r w:rsidRPr="00C767BA">
              <w:rPr>
                <w:rFonts w:hint="cs"/>
                <w:rtl/>
              </w:rPr>
              <w:t>ה</w:t>
            </w:r>
            <w:r w:rsidRPr="00C767BA">
              <w:rPr>
                <w:rtl/>
              </w:rPr>
              <w:t>טרור</w:t>
            </w:r>
            <w:r w:rsidRPr="00C767BA">
              <w:rPr>
                <w:rFonts w:hint="cs"/>
                <w:rtl/>
              </w:rPr>
              <w:t xml:space="preserve">, רשאי הוא להורות על גירוש אותו בן משפחה מחוץ למדינת ישראל או לשטחים בשליטתה. </w:t>
            </w:r>
          </w:p>
        </w:tc>
      </w:tr>
      <w:tr w:rsidR="00B67A64" w14:paraId="0D71B6C0" w14:textId="77777777" w:rsidTr="00625C7D">
        <w:trPr>
          <w:cantSplit/>
        </w:trPr>
        <w:tc>
          <w:tcPr>
            <w:tcW w:w="1871" w:type="dxa"/>
          </w:tcPr>
          <w:p w14:paraId="7FB7B9BC" w14:textId="77777777" w:rsidR="00B67A64" w:rsidRDefault="00B67A64" w:rsidP="00625C7D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חובת שימוע</w:t>
            </w:r>
          </w:p>
        </w:tc>
        <w:tc>
          <w:tcPr>
            <w:tcW w:w="624" w:type="dxa"/>
          </w:tcPr>
          <w:p w14:paraId="465D63E6" w14:textId="77777777" w:rsidR="00B67A64" w:rsidRDefault="00B67A64" w:rsidP="00625C7D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14:paraId="07CE391D" w14:textId="77777777" w:rsidR="00B67A64" w:rsidRDefault="00B67A64" w:rsidP="00625C7D">
            <w:pPr>
              <w:pStyle w:val="TableBlock"/>
              <w:rPr>
                <w:rFonts w:ascii="FrankRuehl" w:hAnsi="FrankRuehl"/>
                <w:sz w:val="26"/>
                <w:rtl/>
              </w:rPr>
            </w:pPr>
            <w:r>
              <w:rPr>
                <w:rFonts w:ascii="FrankRuehl" w:hAnsi="FrankRuehl" w:hint="cs"/>
                <w:sz w:val="26"/>
                <w:rtl/>
              </w:rPr>
              <w:t>החלטת השר לפי סעיף 2 תינתן לאחר שימוע.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B2E7375" w14:textId="77777777" w:rsidR="00B67A64" w:rsidRPr="00363243" w:rsidRDefault="00B67A64" w:rsidP="00175852">
      <w:pPr>
        <w:pStyle w:val="Hesber1st"/>
        <w:tabs>
          <w:tab w:val="clear" w:pos="680"/>
        </w:tabs>
        <w:rPr>
          <w:rtl/>
        </w:rPr>
      </w:pPr>
      <w:r w:rsidRPr="00175852">
        <w:rPr>
          <w:rtl/>
        </w:rPr>
        <w:t>הטרור אינו מכיר כל גבולות</w:t>
      </w:r>
      <w:r w:rsidRPr="00175852">
        <w:rPr>
          <w:rFonts w:hint="cs"/>
          <w:rtl/>
        </w:rPr>
        <w:t>,</w:t>
      </w:r>
      <w:r w:rsidRPr="00175852">
        <w:rPr>
          <w:rtl/>
        </w:rPr>
        <w:t xml:space="preserve"> חוקים או קווים אדומים</w:t>
      </w:r>
      <w:r w:rsidRPr="00175852">
        <w:rPr>
          <w:rFonts w:hint="cs"/>
          <w:rtl/>
        </w:rPr>
        <w:t>,</w:t>
      </w:r>
      <w:r w:rsidRPr="00175852">
        <w:rPr>
          <w:rtl/>
        </w:rPr>
        <w:t xml:space="preserve"> </w:t>
      </w:r>
      <w:r w:rsidRPr="00175852">
        <w:rPr>
          <w:rFonts w:hint="cs"/>
          <w:rtl/>
        </w:rPr>
        <w:t>ועל כן</w:t>
      </w:r>
      <w:r w:rsidRPr="00175852">
        <w:rPr>
          <w:rtl/>
        </w:rPr>
        <w:t xml:space="preserve"> עלינו למצוא כלים חדשים וקיצוניים להילחם בו. ממחקרים שונים שנעשו הן על ידי</w:t>
      </w:r>
      <w:r w:rsidRPr="00175852">
        <w:rPr>
          <w:rFonts w:hint="cs"/>
          <w:rtl/>
        </w:rPr>
        <w:t xml:space="preserve"> המטה לביטחון לאומי</w:t>
      </w:r>
      <w:r w:rsidRPr="00175852">
        <w:rPr>
          <w:rtl/>
        </w:rPr>
        <w:t xml:space="preserve"> והן על ידי צה"ל לאורך השנים</w:t>
      </w:r>
      <w:r w:rsidRPr="00175852">
        <w:rPr>
          <w:rFonts w:hint="cs"/>
          <w:rtl/>
        </w:rPr>
        <w:t xml:space="preserve"> בעניינם של</w:t>
      </w:r>
      <w:r w:rsidRPr="00175852">
        <w:rPr>
          <w:rtl/>
        </w:rPr>
        <w:t xml:space="preserve"> עשרות מחבלים מתאבדים, עלה </w:t>
      </w:r>
      <w:r w:rsidRPr="00175852">
        <w:rPr>
          <w:rFonts w:hint="eastAsia"/>
          <w:rtl/>
        </w:rPr>
        <w:t>כי</w:t>
      </w:r>
      <w:r w:rsidRPr="00175852">
        <w:rPr>
          <w:rtl/>
        </w:rPr>
        <w:t xml:space="preserve"> החשש היחיד של המחבלים המתאבדים יהיה מה יהא על בני משפחותיהם לאחר הפיגוע. </w:t>
      </w:r>
      <w:r w:rsidRPr="00175852">
        <w:rPr>
          <w:rFonts w:hint="eastAsia"/>
          <w:rtl/>
        </w:rPr>
        <w:t>אין</w:t>
      </w:r>
      <w:r w:rsidRPr="00175852">
        <w:rPr>
          <w:rtl/>
        </w:rPr>
        <w:t xml:space="preserve"> כל ספק שמחבלים רבים ימנעו מביצוע פיגוע ככל שידעו</w:t>
      </w:r>
      <w:r w:rsidRPr="00175852">
        <w:rPr>
          <w:rFonts w:hint="cs"/>
          <w:rtl/>
        </w:rPr>
        <w:t xml:space="preserve"> </w:t>
      </w:r>
      <w:r w:rsidRPr="00175852">
        <w:rPr>
          <w:rtl/>
        </w:rPr>
        <w:t xml:space="preserve">שבני </w:t>
      </w:r>
      <w:r w:rsidRPr="00175852">
        <w:rPr>
          <w:rtl/>
        </w:rPr>
        <w:lastRenderedPageBreak/>
        <w:t xml:space="preserve">משפחותיהם ייענשו על כך. תקנה 119 לתקנות ההגנה </w:t>
      </w:r>
      <w:r w:rsidRPr="00175852">
        <w:rPr>
          <w:rFonts w:hint="cs"/>
          <w:rtl/>
        </w:rPr>
        <w:t xml:space="preserve">(שעת חירום), 1945, </w:t>
      </w:r>
      <w:r w:rsidRPr="00175852">
        <w:rPr>
          <w:rtl/>
        </w:rPr>
        <w:t>וכן מערכת המשפט</w:t>
      </w:r>
      <w:r w:rsidRPr="00175852">
        <w:rPr>
          <w:rFonts w:hint="cs"/>
          <w:rtl/>
        </w:rPr>
        <w:t>,</w:t>
      </w:r>
      <w:r w:rsidRPr="00175852">
        <w:rPr>
          <w:rtl/>
        </w:rPr>
        <w:t xml:space="preserve"> הכירו בהרס בתי מחבלים בו נפגעים שאר בני המשפחה הגרעינית כאמצעי חוקי לחלוטין. לצער</w:t>
      </w:r>
      <w:r w:rsidRPr="00175852">
        <w:rPr>
          <w:rFonts w:hint="eastAsia"/>
          <w:rtl/>
        </w:rPr>
        <w:t>נ</w:t>
      </w:r>
      <w:r w:rsidRPr="00175852">
        <w:rPr>
          <w:rtl/>
        </w:rPr>
        <w:t>ו</w:t>
      </w:r>
      <w:r w:rsidRPr="00175852">
        <w:rPr>
          <w:rFonts w:hint="cs"/>
          <w:rtl/>
        </w:rPr>
        <w:t>,</w:t>
      </w:r>
      <w:r w:rsidRPr="00175852">
        <w:rPr>
          <w:rtl/>
        </w:rPr>
        <w:t xml:space="preserve"> </w:t>
      </w:r>
      <w:r w:rsidRPr="00175852">
        <w:rPr>
          <w:rFonts w:hint="cs"/>
          <w:rtl/>
        </w:rPr>
        <w:t>אמצעי</w:t>
      </w:r>
      <w:r w:rsidRPr="00175852">
        <w:rPr>
          <w:rtl/>
        </w:rPr>
        <w:t xml:space="preserve"> זה </w:t>
      </w:r>
      <w:r w:rsidRPr="00175852">
        <w:rPr>
          <w:rFonts w:hint="cs"/>
          <w:rtl/>
        </w:rPr>
        <w:t>אינו</w:t>
      </w:r>
      <w:r w:rsidRPr="00175852">
        <w:rPr>
          <w:rtl/>
        </w:rPr>
        <w:t xml:space="preserve"> מספיק ולא מהווה הרתעה מתאימה. </w:t>
      </w:r>
      <w:r w:rsidRPr="00175852">
        <w:rPr>
          <w:rFonts w:hint="eastAsia"/>
          <w:rtl/>
        </w:rPr>
        <w:t>ב</w:t>
      </w:r>
      <w:r w:rsidRPr="00175852">
        <w:rPr>
          <w:rtl/>
        </w:rPr>
        <w:t>גירוש בני המשפחה הגרעינית אין כל ספק ש</w:t>
      </w:r>
      <w:r w:rsidRPr="00175852">
        <w:rPr>
          <w:rFonts w:hint="eastAsia"/>
          <w:rtl/>
        </w:rPr>
        <w:t>תושלם</w:t>
      </w:r>
      <w:r w:rsidRPr="00175852">
        <w:rPr>
          <w:rtl/>
        </w:rPr>
        <w:t xml:space="preserve"> חבילת ההרתעה </w:t>
      </w:r>
      <w:r w:rsidRPr="00175852">
        <w:rPr>
          <w:rFonts w:hint="eastAsia"/>
          <w:rtl/>
        </w:rPr>
        <w:t>שתרתיע</w:t>
      </w:r>
      <w:r w:rsidRPr="00175852">
        <w:rPr>
          <w:rtl/>
        </w:rPr>
        <w:t xml:space="preserve"> מחבלים וכן </w:t>
      </w:r>
      <w:r w:rsidRPr="00175852">
        <w:rPr>
          <w:rFonts w:hint="eastAsia"/>
          <w:rtl/>
        </w:rPr>
        <w:t>ת</w:t>
      </w:r>
      <w:r w:rsidRPr="00175852">
        <w:rPr>
          <w:rtl/>
        </w:rPr>
        <w:t xml:space="preserve">גרום לבני משפחות המחבלים למנוע מילדיהם לבצע פיגוע זה. גירוש </w:t>
      </w:r>
      <w:r w:rsidRPr="00363243">
        <w:rPr>
          <w:rtl/>
        </w:rPr>
        <w:t xml:space="preserve">משפחות המחבלים יציל </w:t>
      </w:r>
      <w:r w:rsidRPr="00363243">
        <w:rPr>
          <w:rFonts w:hint="eastAsia"/>
          <w:rtl/>
        </w:rPr>
        <w:t>במבט</w:t>
      </w:r>
      <w:r w:rsidRPr="00363243">
        <w:rPr>
          <w:rtl/>
        </w:rPr>
        <w:t xml:space="preserve"> צופה פני עתיד את חיי</w:t>
      </w:r>
      <w:r w:rsidRPr="00363243">
        <w:rPr>
          <w:rFonts w:hint="cs"/>
          <w:rtl/>
        </w:rPr>
        <w:t>הם של</w:t>
      </w:r>
      <w:r w:rsidRPr="00363243">
        <w:rPr>
          <w:rtl/>
        </w:rPr>
        <w:t xml:space="preserve"> אזרחי ישראל.</w:t>
      </w:r>
      <w:r w:rsidRPr="00363243">
        <w:rPr>
          <w:rFonts w:hint="cs"/>
          <w:rtl/>
        </w:rPr>
        <w:t xml:space="preserve"> </w:t>
      </w:r>
    </w:p>
    <w:p w14:paraId="49E9650A" w14:textId="6BE1E140" w:rsidR="00CE67BC" w:rsidRDefault="00CE67BC" w:rsidP="00CE67BC">
      <w:pPr>
        <w:pStyle w:val="Hesber"/>
        <w:rPr>
          <w:rtl/>
        </w:rPr>
      </w:pPr>
      <w:r w:rsidRPr="00363243">
        <w:rPr>
          <w:rFonts w:hint="cs"/>
          <w:rtl/>
        </w:rPr>
        <w:t>הצעת חוק דומה בעיקרה הונחה על שולחן הכנסת העשרים וחמש על ידי חבר הכנסת אליהו רביבו (פ/1299/25).</w:t>
      </w:r>
    </w:p>
    <w:p w14:paraId="5093D604" w14:textId="77777777" w:rsidR="00175852" w:rsidRDefault="00175852" w:rsidP="00175852">
      <w:pPr>
        <w:pStyle w:val="Hesber"/>
        <w:rPr>
          <w:rtl/>
        </w:rPr>
      </w:pPr>
      <w:r>
        <w:rPr>
          <w:rFonts w:hint="cs"/>
          <w:rtl/>
        </w:rPr>
        <w:t>הצעות חוק זהות הונחו על שולחן הכנסת העשרים ושלוש על ידי חברת הכנסת אילת שקד וקבוצת חברי הכנסת (</w:t>
      </w:r>
      <w:r w:rsidRPr="00854E84">
        <w:rPr>
          <w:rtl/>
        </w:rPr>
        <w:t>פ/643/23</w:t>
      </w:r>
      <w:r>
        <w:rPr>
          <w:rFonts w:hint="cs"/>
          <w:rtl/>
        </w:rPr>
        <w:t>), על שולחן הכנסת העשרים וארבע על ידי חברת הכנסת אילת שקד וקבוצת חברי כנסת (</w:t>
      </w:r>
      <w:r w:rsidRPr="0022787B">
        <w:rPr>
          <w:rtl/>
        </w:rPr>
        <w:t>פ/235/24</w:t>
      </w:r>
      <w:r>
        <w:rPr>
          <w:rFonts w:hint="cs"/>
          <w:rtl/>
        </w:rPr>
        <w:t xml:space="preserve">), על ידי חבר הכנסת </w:t>
      </w:r>
      <w:r>
        <w:rPr>
          <w:rtl/>
        </w:rPr>
        <w:t>מכלוף מיקי זוהר</w:t>
      </w:r>
      <w:r>
        <w:rPr>
          <w:rFonts w:hint="cs"/>
          <w:rtl/>
        </w:rPr>
        <w:t xml:space="preserve"> (</w:t>
      </w:r>
      <w:r>
        <w:rPr>
          <w:rtl/>
        </w:rPr>
        <w:t>פ/483/24</w:t>
      </w:r>
      <w:r>
        <w:rPr>
          <w:rFonts w:hint="cs"/>
          <w:rtl/>
        </w:rPr>
        <w:t xml:space="preserve">), על ידי חבר הכנסת </w:t>
      </w:r>
      <w:r>
        <w:rPr>
          <w:rtl/>
        </w:rPr>
        <w:t>אופיר כץ</w:t>
      </w:r>
      <w:r>
        <w:rPr>
          <w:rFonts w:hint="cs"/>
          <w:rtl/>
        </w:rPr>
        <w:t xml:space="preserve"> (</w:t>
      </w:r>
      <w:r>
        <w:rPr>
          <w:rtl/>
        </w:rPr>
        <w:t>פ/1834/24</w:t>
      </w:r>
      <w:r>
        <w:rPr>
          <w:rFonts w:hint="cs"/>
          <w:rtl/>
        </w:rPr>
        <w:t xml:space="preserve">), </w:t>
      </w:r>
      <w:r>
        <w:rPr>
          <w:rtl/>
        </w:rPr>
        <w:t>על ידי חבר הכנסת אלי כהן (פ/2019/24)</w:t>
      </w:r>
      <w:r>
        <w:rPr>
          <w:rFonts w:hint="cs"/>
          <w:rtl/>
        </w:rPr>
        <w:t xml:space="preserve"> ועל ידי חברת הכנסת </w:t>
      </w:r>
      <w:r>
        <w:rPr>
          <w:rtl/>
        </w:rPr>
        <w:t>מירי מרים רגב</w:t>
      </w:r>
      <w:r>
        <w:rPr>
          <w:rFonts w:hint="cs"/>
          <w:rtl/>
        </w:rPr>
        <w:t xml:space="preserve"> (</w:t>
      </w:r>
      <w:r>
        <w:rPr>
          <w:rtl/>
        </w:rPr>
        <w:t>פ/2106/24</w:t>
      </w:r>
      <w:r>
        <w:rPr>
          <w:rFonts w:hint="cs"/>
          <w:rtl/>
        </w:rPr>
        <w:t xml:space="preserve">) ועל שולחן הכנסת העשרים וחמש על ידי חבר הכנסת מכלוף מיקי זוהר </w:t>
      </w:r>
      <w:r w:rsidRPr="00406667">
        <w:rPr>
          <w:rFonts w:hint="cs"/>
          <w:rtl/>
        </w:rPr>
        <w:t>(</w:t>
      </w:r>
      <w:r w:rsidRPr="00406667">
        <w:rPr>
          <w:rtl/>
        </w:rPr>
        <w:t>פ/316/25</w:t>
      </w:r>
      <w:r w:rsidRPr="00406667">
        <w:rPr>
          <w:rFonts w:hint="cs"/>
          <w:rtl/>
        </w:rPr>
        <w:t>)</w:t>
      </w:r>
      <w:r>
        <w:rPr>
          <w:rFonts w:hint="cs"/>
          <w:rtl/>
        </w:rPr>
        <w:t xml:space="preserve"> ועל ידי חבר הכנסת חנוך דב מלביצקי (פ/729/25)</w:t>
      </w:r>
      <w:r w:rsidRPr="00406667">
        <w:rPr>
          <w:rFonts w:hint="cs"/>
          <w:rtl/>
        </w:rPr>
        <w:t>.</w:t>
      </w:r>
    </w:p>
    <w:p w14:paraId="7F6961CB" w14:textId="01ACC1FB" w:rsidR="00E13C27" w:rsidRDefault="00175852" w:rsidP="00175852">
      <w:pPr>
        <w:pStyle w:val="Hesber"/>
        <w:rPr>
          <w:rtl/>
        </w:rPr>
      </w:pPr>
      <w:r>
        <w:rPr>
          <w:rFonts w:hint="cs"/>
          <w:rtl/>
        </w:rPr>
        <w:t>הצעת החוק זהה לפ/729/25 ולפיכך לא נבדקה מחדש על ידי הלשכה המשפטית של הכנסת</w:t>
      </w:r>
      <w:r w:rsidR="00182292">
        <w:rPr>
          <w:rFonts w:hint="cs"/>
          <w:rtl/>
        </w:rPr>
        <w:t>.</w:t>
      </w:r>
    </w:p>
    <w:p w14:paraId="5B9A5861" w14:textId="77777777" w:rsidR="00182292" w:rsidRDefault="00182292" w:rsidP="00175852">
      <w:pPr>
        <w:pStyle w:val="Hesber"/>
        <w:rPr>
          <w:rtl/>
        </w:rPr>
      </w:pPr>
      <w:bookmarkStart w:id="8" w:name="_GoBack"/>
      <w:bookmarkEnd w:id="8"/>
    </w:p>
    <w:p w14:paraId="3082D29D" w14:textId="77777777" w:rsidR="00767BBF" w:rsidRDefault="00182292">
      <w:pPr>
        <w:spacing w:before="0" w:line="360" w:lineRule="auto"/>
        <w:jc w:val="left"/>
      </w:pPr>
      <w:bookmarkStart w:id="9" w:name="selectedDocDateB"/>
      <w:bookmarkEnd w:id="9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25D6A1CF" w14:textId="77777777" w:rsidR="00767BBF" w:rsidRDefault="00182292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360A54B2" w14:textId="77777777" w:rsidR="00767BBF" w:rsidRDefault="00182292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456009FB" w14:textId="77777777" w:rsidR="00767BBF" w:rsidRDefault="00182292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כ"ג</w:t>
      </w:r>
      <w:r>
        <w:rPr>
          <w:rFonts w:ascii="David" w:eastAsia="David" w:hAnsi="David" w:cs="David" w:hint="cs"/>
          <w:sz w:val="26"/>
          <w:szCs w:val="26"/>
          <w:rtl/>
        </w:rPr>
        <w:t xml:space="preserve"> בטבת התשפ"ג (16.01.2023) </w:t>
      </w:r>
    </w:p>
    <w:p w14:paraId="13B8B84B" w14:textId="77777777" w:rsidR="00767BBF" w:rsidRDefault="00767BBF">
      <w:pPr>
        <w:spacing w:before="0" w:line="276" w:lineRule="auto"/>
        <w:jc w:val="left"/>
      </w:pPr>
    </w:p>
    <w:sectPr w:rsidR="00767BBF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35C6F865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182292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E7C937A" w14:textId="77777777" w:rsidR="00B67A64" w:rsidRDefault="00B67A64" w:rsidP="00B67A64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BE6D12">
        <w:rPr>
          <w:rtl/>
        </w:rPr>
        <w:t>ס"ח תשע"ח, עמ' 732</w:t>
      </w:r>
      <w:r>
        <w:rPr>
          <w:rFonts w:hint="cs"/>
          <w:rtl/>
        </w:rPr>
        <w:t>.</w:t>
      </w:r>
    </w:p>
  </w:footnote>
  <w:footnote w:id="3">
    <w:p w14:paraId="6C32A435" w14:textId="77777777" w:rsidR="00B67A64" w:rsidRDefault="00B67A64" w:rsidP="00B67A64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B418D4">
        <w:rPr>
          <w:rtl/>
        </w:rPr>
        <w:t xml:space="preserve"> ס"ח תשע"ו, עמ' 898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75852"/>
    <w:rsid w:val="00182292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3243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67BBF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7A64"/>
    <w:rsid w:val="00B733A7"/>
    <w:rsid w:val="00B75C91"/>
    <w:rsid w:val="00B975AD"/>
    <w:rsid w:val="00BC45FB"/>
    <w:rsid w:val="00BF148D"/>
    <w:rsid w:val="00C23B1A"/>
    <w:rsid w:val="00C310EB"/>
    <w:rsid w:val="00C9176A"/>
    <w:rsid w:val="00CE67BC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80F5B33-8B37-43B0-8162-12C1806A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90d5b49-c690-4c6f-bbb9-1e50dab33ee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F162BA-9337-40C0-894D-CF77CCBD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0BEC9-3481-4119-B0ED-2A2EC58C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7</cp:revision>
  <cp:lastPrinted>2013-07-04T08:25:00Z</cp:lastPrinted>
  <dcterms:created xsi:type="dcterms:W3CDTF">2015-04-20T09:58:00Z</dcterms:created>
  <dcterms:modified xsi:type="dcterms:W3CDTF">2023-01-12T08:38:00Z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2198970</vt:r8>
  </property>
</Properties>
</file>