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2196198</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1DDE8209" w:rsidR="00E13C27" w:rsidRPr="00CF1AA2" w:rsidRDefault="008F6665" w:rsidP="00E94CBE">
      <w:pPr>
        <w:pStyle w:val="David"/>
        <w:spacing w:before="102"/>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ישראל אייכלר</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3237F2BF" w:rsidR="00E13C27" w:rsidRPr="00E06736" w:rsidRDefault="00904591" w:rsidP="00E94CBE">
      <w:pPr>
        <w:pStyle w:val="David"/>
        <w:spacing w:line="240" w:lineRule="auto"/>
        <w:ind w:left="6424" w:firstLine="56"/>
        <w:rPr>
          <w:rtl/>
        </w:rPr>
      </w:pPr>
      <w:bookmarkStart w:id="6" w:name="Private_Number"/>
      <w:r>
        <w:rPr>
          <w:rFonts w:hint="cs"/>
          <w:rtl/>
        </w:rPr>
        <w:t>פ/1579/25</w:t>
      </w:r>
      <w:bookmarkEnd w:id="6"/>
    </w:p>
    <w:p w14:paraId="7F6961AD" w14:textId="0E33BB7E" w:rsidR="00E13C27" w:rsidRPr="00F67051" w:rsidRDefault="00A443CF" w:rsidP="00E94CBE">
      <w:pPr>
        <w:pStyle w:val="HeadHatzaotHok"/>
        <w:rPr>
          <w:rtl/>
        </w:rPr>
      </w:pPr>
      <w:bookmarkStart w:id="7" w:name="LGS_Subject"/>
      <w:r>
        <w:rPr>
          <w:rFonts w:hint="cs"/>
          <w:rtl/>
        </w:rPr>
        <w:t>הצעת חוק שיפוט בתי דין דתיים (בוררות), התשפ"ג</w:t>
      </w:r>
      <w:r w:rsidR="00E94CBE">
        <w:rPr>
          <w:rFonts w:hint="eastAsia"/>
          <w:rtl/>
        </w:rPr>
        <w:t>–</w:t>
      </w:r>
      <w:r>
        <w:rPr>
          <w:rFonts w:hint="cs"/>
          <w:rtl/>
        </w:rPr>
        <w:t>2023</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000" w:firstRow="0" w:lastRow="0" w:firstColumn="0" w:lastColumn="0" w:noHBand="0" w:noVBand="0"/>
      </w:tblPr>
      <w:tblGrid>
        <w:gridCol w:w="1871"/>
        <w:gridCol w:w="624"/>
        <w:gridCol w:w="624"/>
        <w:gridCol w:w="6519"/>
      </w:tblGrid>
      <w:tr w:rsidR="009F0212" w14:paraId="19D98CB4" w14:textId="77777777" w:rsidTr="00E94CBE">
        <w:trPr>
          <w:cantSplit/>
        </w:trPr>
        <w:tc>
          <w:tcPr>
            <w:tcW w:w="1871" w:type="dxa"/>
            <w:tcBorders>
              <w:top w:val="nil"/>
              <w:left w:val="nil"/>
              <w:bottom w:val="nil"/>
              <w:right w:val="nil"/>
            </w:tcBorders>
          </w:tcPr>
          <w:p w14:paraId="0DED1F62" w14:textId="77777777" w:rsidR="009F0212" w:rsidRDefault="009F0212" w:rsidP="00381FE2">
            <w:pPr>
              <w:pStyle w:val="TableSideHeading"/>
              <w:keepLines w:val="0"/>
            </w:pPr>
            <w:r>
              <w:rPr>
                <w:sz w:val="26"/>
                <w:rtl/>
              </w:rPr>
              <w:t>הגדרות</w:t>
            </w:r>
          </w:p>
        </w:tc>
        <w:tc>
          <w:tcPr>
            <w:tcW w:w="624" w:type="dxa"/>
            <w:tcBorders>
              <w:top w:val="nil"/>
              <w:left w:val="nil"/>
              <w:bottom w:val="nil"/>
              <w:right w:val="nil"/>
            </w:tcBorders>
          </w:tcPr>
          <w:p w14:paraId="5CD9A1E1" w14:textId="77777777" w:rsidR="009F0212" w:rsidRDefault="009F0212" w:rsidP="00381FE2">
            <w:pPr>
              <w:pStyle w:val="TableText"/>
              <w:keepLines w:val="0"/>
            </w:pPr>
            <w:r>
              <w:rPr>
                <w:sz w:val="26"/>
                <w:rtl/>
              </w:rPr>
              <w:t>1.</w:t>
            </w:r>
          </w:p>
        </w:tc>
        <w:tc>
          <w:tcPr>
            <w:tcW w:w="7143" w:type="dxa"/>
            <w:gridSpan w:val="2"/>
            <w:tcBorders>
              <w:top w:val="nil"/>
              <w:left w:val="nil"/>
              <w:bottom w:val="nil"/>
              <w:right w:val="nil"/>
            </w:tcBorders>
          </w:tcPr>
          <w:p w14:paraId="2424262F" w14:textId="77777777" w:rsidR="009F0212" w:rsidRDefault="009F0212" w:rsidP="00E94CBE">
            <w:pPr>
              <w:pStyle w:val="TableBlock"/>
            </w:pPr>
            <w:r>
              <w:rPr>
                <w:sz w:val="26"/>
                <w:rtl/>
              </w:rPr>
              <w:t xml:space="preserve">בחוק זה </w:t>
            </w:r>
            <w:r>
              <w:rPr>
                <w:rFonts w:hint="cs"/>
                <w:sz w:val="26"/>
                <w:rtl/>
              </w:rPr>
              <w:t>–</w:t>
            </w:r>
          </w:p>
        </w:tc>
      </w:tr>
      <w:tr w:rsidR="009F0212" w14:paraId="5FDE778C" w14:textId="77777777" w:rsidTr="00E94CBE">
        <w:trPr>
          <w:cantSplit/>
        </w:trPr>
        <w:tc>
          <w:tcPr>
            <w:tcW w:w="1871" w:type="dxa"/>
            <w:tcBorders>
              <w:top w:val="nil"/>
              <w:left w:val="nil"/>
              <w:bottom w:val="nil"/>
              <w:right w:val="nil"/>
            </w:tcBorders>
          </w:tcPr>
          <w:p w14:paraId="49F78EA3" w14:textId="77777777" w:rsidR="009F0212" w:rsidRDefault="009F0212" w:rsidP="00381FE2">
            <w:pPr>
              <w:pStyle w:val="TableSideHeading"/>
              <w:keepLines w:val="0"/>
              <w:rPr>
                <w:sz w:val="26"/>
              </w:rPr>
            </w:pPr>
          </w:p>
        </w:tc>
        <w:tc>
          <w:tcPr>
            <w:tcW w:w="624" w:type="dxa"/>
            <w:tcBorders>
              <w:top w:val="nil"/>
              <w:left w:val="nil"/>
              <w:bottom w:val="nil"/>
              <w:right w:val="nil"/>
            </w:tcBorders>
          </w:tcPr>
          <w:p w14:paraId="3927D45D" w14:textId="77777777" w:rsidR="009F0212" w:rsidRDefault="009F0212" w:rsidP="00381FE2">
            <w:pPr>
              <w:pStyle w:val="TableText"/>
            </w:pPr>
          </w:p>
        </w:tc>
        <w:tc>
          <w:tcPr>
            <w:tcW w:w="7143" w:type="dxa"/>
            <w:gridSpan w:val="2"/>
            <w:tcBorders>
              <w:top w:val="nil"/>
              <w:left w:val="nil"/>
              <w:bottom w:val="nil"/>
              <w:right w:val="nil"/>
            </w:tcBorders>
          </w:tcPr>
          <w:p w14:paraId="480AC2C2" w14:textId="5F886ADF" w:rsidR="009F0212" w:rsidRDefault="00E94CBE" w:rsidP="00E94CBE">
            <w:pPr>
              <w:pStyle w:val="TableBlockOutdent"/>
              <w:rPr>
                <w:sz w:val="26"/>
              </w:rPr>
            </w:pPr>
            <w:r w:rsidRPr="00E75FD2">
              <w:rPr>
                <w:rtl/>
              </w:rPr>
              <w:t>"</w:t>
            </w:r>
            <w:r>
              <w:rPr>
                <w:rFonts w:hint="cs"/>
                <w:rtl/>
              </w:rPr>
              <w:t>אדם שמונה לו אפוטרופוס</w:t>
            </w:r>
            <w:r w:rsidRPr="00E75FD2">
              <w:rPr>
                <w:rtl/>
              </w:rPr>
              <w:t>" ו"פסול דין" – כמשמעותם בחוק הכשרות המשפטית והאפוטרופסות, התשכ"ב–1962</w:t>
            </w:r>
            <w:r w:rsidRPr="00E94CBE">
              <w:rPr>
                <w:rStyle w:val="a6"/>
                <w:rFonts w:ascii="David" w:hAnsi="David"/>
                <w:sz w:val="26"/>
                <w:rtl/>
              </w:rPr>
              <w:footnoteReference w:id="2"/>
            </w:r>
            <w:r>
              <w:rPr>
                <w:rFonts w:hint="cs"/>
                <w:rtl/>
              </w:rPr>
              <w:t>;</w:t>
            </w:r>
          </w:p>
        </w:tc>
      </w:tr>
      <w:tr w:rsidR="00E94CBE" w14:paraId="621D8762" w14:textId="77777777" w:rsidTr="00E94CBE">
        <w:trPr>
          <w:cantSplit/>
        </w:trPr>
        <w:tc>
          <w:tcPr>
            <w:tcW w:w="1871" w:type="dxa"/>
            <w:tcBorders>
              <w:top w:val="nil"/>
              <w:left w:val="nil"/>
              <w:bottom w:val="nil"/>
              <w:right w:val="nil"/>
            </w:tcBorders>
          </w:tcPr>
          <w:p w14:paraId="6359BD9C" w14:textId="77777777" w:rsidR="00E94CBE" w:rsidRDefault="00E94CBE" w:rsidP="00E94CBE">
            <w:pPr>
              <w:pStyle w:val="TableSideHeading"/>
              <w:keepLines w:val="0"/>
              <w:rPr>
                <w:sz w:val="26"/>
              </w:rPr>
            </w:pPr>
          </w:p>
        </w:tc>
        <w:tc>
          <w:tcPr>
            <w:tcW w:w="624" w:type="dxa"/>
            <w:tcBorders>
              <w:top w:val="nil"/>
              <w:left w:val="nil"/>
              <w:bottom w:val="nil"/>
              <w:right w:val="nil"/>
            </w:tcBorders>
          </w:tcPr>
          <w:p w14:paraId="04CBFF2A" w14:textId="77777777" w:rsidR="00E94CBE" w:rsidRDefault="00E94CBE" w:rsidP="00E94CBE">
            <w:pPr>
              <w:pStyle w:val="TableText"/>
            </w:pPr>
          </w:p>
        </w:tc>
        <w:tc>
          <w:tcPr>
            <w:tcW w:w="7143" w:type="dxa"/>
            <w:gridSpan w:val="2"/>
            <w:tcBorders>
              <w:top w:val="nil"/>
              <w:left w:val="nil"/>
              <w:bottom w:val="nil"/>
              <w:right w:val="nil"/>
            </w:tcBorders>
          </w:tcPr>
          <w:p w14:paraId="21089A8B" w14:textId="6C477A01" w:rsidR="00E94CBE" w:rsidRDefault="00E94CBE" w:rsidP="00E94CBE">
            <w:pPr>
              <w:pStyle w:val="TableBlock"/>
              <w:rPr>
                <w:sz w:val="26"/>
                <w:rtl/>
              </w:rPr>
            </w:pPr>
            <w:r>
              <w:rPr>
                <w:sz w:val="26"/>
                <w:rtl/>
              </w:rPr>
              <w:t>"בית דין" – בית דין רבני, בית דין שרעי ובית דין דתי דרוזי;</w:t>
            </w:r>
          </w:p>
        </w:tc>
      </w:tr>
      <w:tr w:rsidR="00E94CBE" w14:paraId="6C432DC5" w14:textId="77777777" w:rsidTr="00E94CBE">
        <w:trPr>
          <w:cantSplit/>
        </w:trPr>
        <w:tc>
          <w:tcPr>
            <w:tcW w:w="1871" w:type="dxa"/>
            <w:tcBorders>
              <w:top w:val="nil"/>
              <w:left w:val="nil"/>
              <w:bottom w:val="nil"/>
              <w:right w:val="nil"/>
            </w:tcBorders>
          </w:tcPr>
          <w:p w14:paraId="0798B05E" w14:textId="77777777" w:rsidR="00E94CBE" w:rsidRDefault="00E94CBE" w:rsidP="00E94CBE">
            <w:pPr>
              <w:pStyle w:val="TableSideHeading"/>
              <w:keepLines w:val="0"/>
              <w:rPr>
                <w:sz w:val="26"/>
              </w:rPr>
            </w:pPr>
          </w:p>
        </w:tc>
        <w:tc>
          <w:tcPr>
            <w:tcW w:w="624" w:type="dxa"/>
            <w:tcBorders>
              <w:top w:val="nil"/>
              <w:left w:val="nil"/>
              <w:bottom w:val="nil"/>
              <w:right w:val="nil"/>
            </w:tcBorders>
          </w:tcPr>
          <w:p w14:paraId="07B2C9E3" w14:textId="77777777" w:rsidR="00E94CBE" w:rsidRDefault="00E94CBE" w:rsidP="00E94CBE">
            <w:pPr>
              <w:pStyle w:val="TableText"/>
            </w:pPr>
          </w:p>
        </w:tc>
        <w:tc>
          <w:tcPr>
            <w:tcW w:w="7143" w:type="dxa"/>
            <w:gridSpan w:val="2"/>
            <w:tcBorders>
              <w:top w:val="nil"/>
              <w:left w:val="nil"/>
              <w:bottom w:val="nil"/>
              <w:right w:val="nil"/>
            </w:tcBorders>
          </w:tcPr>
          <w:p w14:paraId="70F7C4BB" w14:textId="77777777" w:rsidR="00E94CBE" w:rsidRPr="00B478F4" w:rsidRDefault="00E94CBE" w:rsidP="00E94CBE">
            <w:pPr>
              <w:pStyle w:val="TableBlock"/>
            </w:pPr>
            <w:r>
              <w:rPr>
                <w:sz w:val="26"/>
                <w:rtl/>
              </w:rPr>
              <w:t>"עניין אזרחי" – עניין שאינו אחד מאלה:</w:t>
            </w:r>
          </w:p>
        </w:tc>
      </w:tr>
      <w:tr w:rsidR="00E94CBE" w14:paraId="43BF1A87" w14:textId="77777777" w:rsidTr="00E94CBE">
        <w:tblPrEx>
          <w:tblLook w:val="01E0" w:firstRow="1" w:lastRow="1" w:firstColumn="1" w:lastColumn="1" w:noHBand="0" w:noVBand="0"/>
        </w:tblPrEx>
        <w:trPr>
          <w:cantSplit/>
        </w:trPr>
        <w:tc>
          <w:tcPr>
            <w:tcW w:w="1871" w:type="dxa"/>
          </w:tcPr>
          <w:p w14:paraId="683FD7E0" w14:textId="77777777" w:rsidR="00E94CBE" w:rsidRDefault="00E94CBE" w:rsidP="00E94CBE">
            <w:pPr>
              <w:pStyle w:val="TableSideHeading"/>
            </w:pPr>
          </w:p>
        </w:tc>
        <w:tc>
          <w:tcPr>
            <w:tcW w:w="624" w:type="dxa"/>
          </w:tcPr>
          <w:p w14:paraId="74498935" w14:textId="77777777" w:rsidR="00E94CBE" w:rsidRDefault="00E94CBE" w:rsidP="00E94CBE">
            <w:pPr>
              <w:pStyle w:val="TableText"/>
            </w:pPr>
          </w:p>
        </w:tc>
        <w:tc>
          <w:tcPr>
            <w:tcW w:w="624" w:type="dxa"/>
          </w:tcPr>
          <w:p w14:paraId="4421B87B" w14:textId="77777777" w:rsidR="00E94CBE" w:rsidRDefault="00E94CBE" w:rsidP="00E94CBE">
            <w:pPr>
              <w:pStyle w:val="TableText"/>
            </w:pPr>
          </w:p>
        </w:tc>
        <w:tc>
          <w:tcPr>
            <w:tcW w:w="6519" w:type="dxa"/>
          </w:tcPr>
          <w:p w14:paraId="5CAF14D5" w14:textId="77777777" w:rsidR="00E94CBE" w:rsidRDefault="00E94CBE" w:rsidP="00E94CBE">
            <w:pPr>
              <w:pStyle w:val="TableBlock"/>
            </w:pPr>
            <w:r>
              <w:rPr>
                <w:sz w:val="26"/>
                <w:rtl/>
              </w:rPr>
              <w:t>(1)</w:t>
            </w:r>
            <w:r>
              <w:rPr>
                <w:sz w:val="26"/>
                <w:rtl/>
              </w:rPr>
              <w:tab/>
              <w:t>עניין פלילי;</w:t>
            </w:r>
          </w:p>
        </w:tc>
      </w:tr>
      <w:tr w:rsidR="00E94CBE" w14:paraId="3052FD3D" w14:textId="77777777" w:rsidTr="00E94CBE">
        <w:tblPrEx>
          <w:tblLook w:val="01E0" w:firstRow="1" w:lastRow="1" w:firstColumn="1" w:lastColumn="1" w:noHBand="0" w:noVBand="0"/>
        </w:tblPrEx>
        <w:trPr>
          <w:cantSplit/>
        </w:trPr>
        <w:tc>
          <w:tcPr>
            <w:tcW w:w="1871" w:type="dxa"/>
          </w:tcPr>
          <w:p w14:paraId="15697D25" w14:textId="77777777" w:rsidR="00E94CBE" w:rsidRDefault="00E94CBE" w:rsidP="00E94CBE">
            <w:pPr>
              <w:pStyle w:val="TableSideHeading"/>
            </w:pPr>
          </w:p>
        </w:tc>
        <w:tc>
          <w:tcPr>
            <w:tcW w:w="624" w:type="dxa"/>
          </w:tcPr>
          <w:p w14:paraId="0AF2AE97" w14:textId="77777777" w:rsidR="00E94CBE" w:rsidRDefault="00E94CBE" w:rsidP="00E94CBE">
            <w:pPr>
              <w:pStyle w:val="TableText"/>
            </w:pPr>
          </w:p>
        </w:tc>
        <w:tc>
          <w:tcPr>
            <w:tcW w:w="624" w:type="dxa"/>
          </w:tcPr>
          <w:p w14:paraId="1B208889" w14:textId="77777777" w:rsidR="00E94CBE" w:rsidRDefault="00E94CBE" w:rsidP="00E94CBE">
            <w:pPr>
              <w:pStyle w:val="TableText"/>
            </w:pPr>
          </w:p>
        </w:tc>
        <w:tc>
          <w:tcPr>
            <w:tcW w:w="6519" w:type="dxa"/>
          </w:tcPr>
          <w:p w14:paraId="4A22B3A7" w14:textId="77777777" w:rsidR="00E94CBE" w:rsidRDefault="00E94CBE" w:rsidP="00E94CBE">
            <w:pPr>
              <w:pStyle w:val="TableBlock"/>
            </w:pPr>
            <w:r>
              <w:rPr>
                <w:sz w:val="26"/>
                <w:rtl/>
              </w:rPr>
              <w:t>(2)</w:t>
            </w:r>
            <w:r>
              <w:rPr>
                <w:sz w:val="26"/>
                <w:rtl/>
              </w:rPr>
              <w:tab/>
              <w:t>עניין מ</w:t>
            </w:r>
            <w:r>
              <w:rPr>
                <w:rFonts w:hint="cs"/>
                <w:sz w:val="26"/>
                <w:rtl/>
              </w:rPr>
              <w:t>י</w:t>
            </w:r>
            <w:r>
              <w:rPr>
                <w:sz w:val="26"/>
                <w:rtl/>
              </w:rPr>
              <w:t>נהלי, כהגדרתו בחוק בתי משפט לעניינים מינהלי</w:t>
            </w:r>
            <w:r>
              <w:rPr>
                <w:rFonts w:hint="cs"/>
                <w:sz w:val="26"/>
                <w:rtl/>
              </w:rPr>
              <w:t>י</w:t>
            </w:r>
            <w:r>
              <w:rPr>
                <w:sz w:val="26"/>
                <w:rtl/>
              </w:rPr>
              <w:t>ם</w:t>
            </w:r>
            <w:r>
              <w:rPr>
                <w:rFonts w:hint="cs"/>
                <w:sz w:val="26"/>
                <w:rtl/>
              </w:rPr>
              <w:t>,</w:t>
            </w:r>
            <w:r>
              <w:rPr>
                <w:sz w:val="26"/>
                <w:rtl/>
              </w:rPr>
              <w:t xml:space="preserve"> התש"ס–2000</w:t>
            </w:r>
            <w:r w:rsidRPr="00E94CBE">
              <w:rPr>
                <w:rFonts w:ascii="David" w:hAnsi="David"/>
                <w:sz w:val="26"/>
                <w:vertAlign w:val="superscript"/>
                <w:rtl/>
              </w:rPr>
              <w:footnoteReference w:id="3"/>
            </w:r>
            <w:r>
              <w:rPr>
                <w:sz w:val="26"/>
                <w:rtl/>
              </w:rPr>
              <w:t>;</w:t>
            </w:r>
          </w:p>
        </w:tc>
      </w:tr>
      <w:tr w:rsidR="00E94CBE" w14:paraId="4A99F51D" w14:textId="77777777" w:rsidTr="00E94CBE">
        <w:tblPrEx>
          <w:tblLook w:val="01E0" w:firstRow="1" w:lastRow="1" w:firstColumn="1" w:lastColumn="1" w:noHBand="0" w:noVBand="0"/>
        </w:tblPrEx>
        <w:trPr>
          <w:cantSplit/>
        </w:trPr>
        <w:tc>
          <w:tcPr>
            <w:tcW w:w="1871" w:type="dxa"/>
          </w:tcPr>
          <w:p w14:paraId="7AC9D264" w14:textId="77777777" w:rsidR="00E94CBE" w:rsidRDefault="00E94CBE" w:rsidP="00E94CBE">
            <w:pPr>
              <w:pStyle w:val="TableSideHeading"/>
            </w:pPr>
          </w:p>
        </w:tc>
        <w:tc>
          <w:tcPr>
            <w:tcW w:w="624" w:type="dxa"/>
          </w:tcPr>
          <w:p w14:paraId="2B99403D" w14:textId="77777777" w:rsidR="00E94CBE" w:rsidRDefault="00E94CBE" w:rsidP="00E94CBE">
            <w:pPr>
              <w:pStyle w:val="TableText"/>
            </w:pPr>
          </w:p>
        </w:tc>
        <w:tc>
          <w:tcPr>
            <w:tcW w:w="624" w:type="dxa"/>
          </w:tcPr>
          <w:p w14:paraId="31422C05" w14:textId="77777777" w:rsidR="00E94CBE" w:rsidRDefault="00E94CBE" w:rsidP="00E94CBE">
            <w:pPr>
              <w:pStyle w:val="TableText"/>
            </w:pPr>
          </w:p>
        </w:tc>
        <w:tc>
          <w:tcPr>
            <w:tcW w:w="6519" w:type="dxa"/>
          </w:tcPr>
          <w:p w14:paraId="529F76B6" w14:textId="77777777" w:rsidR="00E94CBE" w:rsidRDefault="00E94CBE" w:rsidP="00E94CBE">
            <w:pPr>
              <w:pStyle w:val="TableBlock"/>
            </w:pPr>
            <w:r>
              <w:rPr>
                <w:sz w:val="26"/>
                <w:rtl/>
              </w:rPr>
              <w:t>(3)</w:t>
            </w:r>
            <w:r>
              <w:rPr>
                <w:sz w:val="26"/>
                <w:rtl/>
              </w:rPr>
              <w:tab/>
              <w:t>עניין שבסמכות שיפוט של בית דין לפי חוק, לרבות עניין שניתן להסכים לגביו כי יהיה בסמכות שיפוטו של בית דין</w:t>
            </w:r>
            <w:r>
              <w:rPr>
                <w:rFonts w:hint="cs"/>
                <w:rtl/>
              </w:rPr>
              <w:t>;</w:t>
            </w:r>
          </w:p>
        </w:tc>
      </w:tr>
      <w:tr w:rsidR="00E94CBE" w14:paraId="2036F12E" w14:textId="77777777" w:rsidTr="00E94CBE">
        <w:trPr>
          <w:cantSplit/>
        </w:trPr>
        <w:tc>
          <w:tcPr>
            <w:tcW w:w="1871" w:type="dxa"/>
            <w:tcBorders>
              <w:top w:val="nil"/>
              <w:left w:val="nil"/>
              <w:bottom w:val="nil"/>
              <w:right w:val="nil"/>
            </w:tcBorders>
          </w:tcPr>
          <w:p w14:paraId="0F5D40F1" w14:textId="77777777" w:rsidR="00E94CBE" w:rsidRDefault="00E94CBE" w:rsidP="00E94CBE">
            <w:pPr>
              <w:pStyle w:val="TableSideHeading"/>
              <w:keepLines w:val="0"/>
              <w:rPr>
                <w:sz w:val="26"/>
              </w:rPr>
            </w:pPr>
          </w:p>
        </w:tc>
        <w:tc>
          <w:tcPr>
            <w:tcW w:w="624" w:type="dxa"/>
            <w:tcBorders>
              <w:top w:val="nil"/>
              <w:left w:val="nil"/>
              <w:bottom w:val="nil"/>
              <w:right w:val="nil"/>
            </w:tcBorders>
          </w:tcPr>
          <w:p w14:paraId="07910425" w14:textId="77777777" w:rsidR="00E94CBE" w:rsidRDefault="00E94CBE" w:rsidP="00E94CBE">
            <w:pPr>
              <w:pStyle w:val="TableText"/>
            </w:pPr>
          </w:p>
        </w:tc>
        <w:tc>
          <w:tcPr>
            <w:tcW w:w="7143" w:type="dxa"/>
            <w:gridSpan w:val="2"/>
            <w:tcBorders>
              <w:top w:val="nil"/>
              <w:left w:val="nil"/>
              <w:bottom w:val="nil"/>
              <w:right w:val="nil"/>
            </w:tcBorders>
          </w:tcPr>
          <w:p w14:paraId="6158A175" w14:textId="77777777" w:rsidR="00E94CBE" w:rsidRDefault="00E94CBE" w:rsidP="00E94CBE">
            <w:pPr>
              <w:pStyle w:val="TableBlockOutdent"/>
            </w:pPr>
            <w:r>
              <w:rPr>
                <w:sz w:val="26"/>
                <w:rtl/>
              </w:rPr>
              <w:t>"שליטה" – כהגדרתה בחוק ניירות ערך</w:t>
            </w:r>
            <w:r>
              <w:rPr>
                <w:rFonts w:hint="cs"/>
                <w:sz w:val="26"/>
                <w:rtl/>
              </w:rPr>
              <w:t>,</w:t>
            </w:r>
            <w:r>
              <w:rPr>
                <w:sz w:val="26"/>
                <w:rtl/>
              </w:rPr>
              <w:t xml:space="preserve"> התשכ"ח–1968</w:t>
            </w:r>
            <w:r w:rsidRPr="00E94CBE">
              <w:rPr>
                <w:rFonts w:ascii="David" w:hAnsi="David"/>
                <w:sz w:val="26"/>
                <w:vertAlign w:val="superscript"/>
                <w:rtl/>
              </w:rPr>
              <w:footnoteReference w:id="4"/>
            </w:r>
            <w:r>
              <w:rPr>
                <w:sz w:val="26"/>
                <w:rtl/>
              </w:rPr>
              <w:t>.</w:t>
            </w:r>
          </w:p>
        </w:tc>
      </w:tr>
      <w:tr w:rsidR="00E94CBE" w14:paraId="0188273D" w14:textId="77777777" w:rsidTr="00E94CBE">
        <w:trPr>
          <w:cantSplit/>
        </w:trPr>
        <w:tc>
          <w:tcPr>
            <w:tcW w:w="1871" w:type="dxa"/>
            <w:tcBorders>
              <w:top w:val="nil"/>
              <w:left w:val="nil"/>
              <w:bottom w:val="nil"/>
              <w:right w:val="nil"/>
            </w:tcBorders>
          </w:tcPr>
          <w:p w14:paraId="76CF25DC" w14:textId="77777777" w:rsidR="00E94CBE" w:rsidRPr="00B478F4" w:rsidRDefault="00E94CBE" w:rsidP="00E94CBE">
            <w:pPr>
              <w:pStyle w:val="TableSideHeading"/>
              <w:keepLines w:val="0"/>
              <w:rPr>
                <w:sz w:val="26"/>
              </w:rPr>
            </w:pPr>
            <w:r>
              <w:rPr>
                <w:sz w:val="26"/>
                <w:rtl/>
              </w:rPr>
              <w:t>בוררות בהסכמה</w:t>
            </w:r>
          </w:p>
        </w:tc>
        <w:tc>
          <w:tcPr>
            <w:tcW w:w="624" w:type="dxa"/>
            <w:tcBorders>
              <w:top w:val="nil"/>
              <w:left w:val="nil"/>
              <w:bottom w:val="nil"/>
              <w:right w:val="nil"/>
            </w:tcBorders>
          </w:tcPr>
          <w:p w14:paraId="03EC52F3" w14:textId="77777777" w:rsidR="00E94CBE" w:rsidRDefault="00E94CBE" w:rsidP="00E94CBE">
            <w:pPr>
              <w:pStyle w:val="TableText"/>
            </w:pPr>
            <w:r>
              <w:rPr>
                <w:rtl/>
              </w:rPr>
              <w:t>2.</w:t>
            </w:r>
          </w:p>
        </w:tc>
        <w:tc>
          <w:tcPr>
            <w:tcW w:w="7143" w:type="dxa"/>
            <w:gridSpan w:val="2"/>
            <w:tcBorders>
              <w:top w:val="nil"/>
              <w:left w:val="nil"/>
              <w:bottom w:val="nil"/>
              <w:right w:val="nil"/>
            </w:tcBorders>
          </w:tcPr>
          <w:p w14:paraId="1C36E8A8" w14:textId="77777777" w:rsidR="00E94CBE" w:rsidRDefault="00E94CBE" w:rsidP="00E94CBE">
            <w:pPr>
              <w:pStyle w:val="TableBlock"/>
            </w:pPr>
            <w:r>
              <w:rPr>
                <w:sz w:val="26"/>
                <w:rtl/>
              </w:rPr>
              <w:t>בית דין רשאי לדון כבורר בעניין אזרחי היכול לשמש נושא להסכם ובלבד שמתקיימים שני אלה:</w:t>
            </w:r>
          </w:p>
        </w:tc>
      </w:tr>
      <w:tr w:rsidR="00E94CBE" w14:paraId="3B132DC5" w14:textId="77777777" w:rsidTr="00E94CBE">
        <w:trPr>
          <w:cantSplit/>
        </w:trPr>
        <w:tc>
          <w:tcPr>
            <w:tcW w:w="1871" w:type="dxa"/>
            <w:tcBorders>
              <w:top w:val="nil"/>
              <w:left w:val="nil"/>
              <w:bottom w:val="nil"/>
              <w:right w:val="nil"/>
            </w:tcBorders>
          </w:tcPr>
          <w:p w14:paraId="5F55F718" w14:textId="77777777" w:rsidR="00E94CBE" w:rsidRDefault="00E94CBE" w:rsidP="00E94CBE">
            <w:pPr>
              <w:pStyle w:val="TableSideHeading"/>
            </w:pPr>
          </w:p>
        </w:tc>
        <w:tc>
          <w:tcPr>
            <w:tcW w:w="624" w:type="dxa"/>
            <w:tcBorders>
              <w:top w:val="nil"/>
              <w:left w:val="nil"/>
              <w:bottom w:val="nil"/>
              <w:right w:val="nil"/>
            </w:tcBorders>
          </w:tcPr>
          <w:p w14:paraId="7FF54CCD" w14:textId="77777777" w:rsidR="00E94CBE" w:rsidRDefault="00E94CBE" w:rsidP="00E94CBE">
            <w:pPr>
              <w:pStyle w:val="TableText"/>
            </w:pPr>
          </w:p>
        </w:tc>
        <w:tc>
          <w:tcPr>
            <w:tcW w:w="7143" w:type="dxa"/>
            <w:gridSpan w:val="2"/>
            <w:tcBorders>
              <w:top w:val="nil"/>
              <w:left w:val="nil"/>
              <w:bottom w:val="nil"/>
              <w:right w:val="nil"/>
            </w:tcBorders>
          </w:tcPr>
          <w:p w14:paraId="00904E29" w14:textId="77777777" w:rsidR="00E94CBE" w:rsidRDefault="00E94CBE" w:rsidP="00E94CBE">
            <w:pPr>
              <w:pStyle w:val="TableBlock"/>
            </w:pPr>
            <w:r>
              <w:rPr>
                <w:sz w:val="26"/>
                <w:rtl/>
              </w:rPr>
              <w:t>(1)</w:t>
            </w:r>
            <w:r>
              <w:rPr>
                <w:sz w:val="26"/>
                <w:rtl/>
              </w:rPr>
              <w:tab/>
              <w:t>כל הצדדים הנוגעים בדבר הביעו בכתב את הסכמתם לכך;</w:t>
            </w:r>
          </w:p>
        </w:tc>
      </w:tr>
      <w:tr w:rsidR="00E94CBE" w14:paraId="2913F194" w14:textId="77777777" w:rsidTr="00E94CBE">
        <w:trPr>
          <w:cantSplit/>
        </w:trPr>
        <w:tc>
          <w:tcPr>
            <w:tcW w:w="1871" w:type="dxa"/>
            <w:tcBorders>
              <w:top w:val="nil"/>
              <w:left w:val="nil"/>
              <w:bottom w:val="nil"/>
              <w:right w:val="nil"/>
            </w:tcBorders>
          </w:tcPr>
          <w:p w14:paraId="69CFC538" w14:textId="77777777" w:rsidR="00E94CBE" w:rsidRDefault="00E94CBE" w:rsidP="00E94CBE">
            <w:pPr>
              <w:pStyle w:val="TableSideHeading"/>
            </w:pPr>
          </w:p>
        </w:tc>
        <w:tc>
          <w:tcPr>
            <w:tcW w:w="624" w:type="dxa"/>
            <w:tcBorders>
              <w:top w:val="nil"/>
              <w:left w:val="nil"/>
              <w:bottom w:val="nil"/>
              <w:right w:val="nil"/>
            </w:tcBorders>
          </w:tcPr>
          <w:p w14:paraId="62CDD4CD" w14:textId="77777777" w:rsidR="00E94CBE" w:rsidRDefault="00E94CBE" w:rsidP="00E94CBE">
            <w:pPr>
              <w:pStyle w:val="TableText"/>
            </w:pPr>
          </w:p>
        </w:tc>
        <w:tc>
          <w:tcPr>
            <w:tcW w:w="7143" w:type="dxa"/>
            <w:gridSpan w:val="2"/>
            <w:tcBorders>
              <w:top w:val="nil"/>
              <w:left w:val="nil"/>
              <w:bottom w:val="nil"/>
              <w:right w:val="nil"/>
            </w:tcBorders>
          </w:tcPr>
          <w:p w14:paraId="0D69A60D" w14:textId="77777777" w:rsidR="00E94CBE" w:rsidRDefault="00E94CBE" w:rsidP="00E94CBE">
            <w:pPr>
              <w:pStyle w:val="TableBlock"/>
            </w:pPr>
            <w:r>
              <w:rPr>
                <w:sz w:val="26"/>
                <w:rtl/>
              </w:rPr>
              <w:t>(2)</w:t>
            </w:r>
            <w:r>
              <w:rPr>
                <w:sz w:val="26"/>
                <w:rtl/>
              </w:rPr>
              <w:tab/>
              <w:t>אחד הצדדים הנוגעים בדבר לפחות הוא בן דתו של בית הדין; היה אחד הצדדים תאגיד – די בכך שבעל שליטה בו הוא בן דתו של בית הדין.</w:t>
            </w:r>
          </w:p>
        </w:tc>
      </w:tr>
      <w:tr w:rsidR="00E94CBE" w14:paraId="30C77F3D" w14:textId="77777777" w:rsidTr="00E94CBE">
        <w:tblPrEx>
          <w:tblLook w:val="01E0" w:firstRow="1" w:lastRow="1" w:firstColumn="1" w:lastColumn="1" w:noHBand="0" w:noVBand="0"/>
        </w:tblPrEx>
        <w:trPr>
          <w:cantSplit/>
        </w:trPr>
        <w:tc>
          <w:tcPr>
            <w:tcW w:w="1871" w:type="dxa"/>
          </w:tcPr>
          <w:p w14:paraId="7D277EB9" w14:textId="77777777" w:rsidR="00E94CBE" w:rsidRDefault="00E94CBE" w:rsidP="00E94CBE">
            <w:pPr>
              <w:pStyle w:val="TableSideHeading"/>
            </w:pPr>
            <w:r>
              <w:rPr>
                <w:rtl/>
              </w:rPr>
              <w:t xml:space="preserve">הפניה אל בית הדין </w:t>
            </w:r>
          </w:p>
        </w:tc>
        <w:tc>
          <w:tcPr>
            <w:tcW w:w="624" w:type="dxa"/>
          </w:tcPr>
          <w:p w14:paraId="6F3575BE" w14:textId="77777777" w:rsidR="00E94CBE" w:rsidRDefault="00E94CBE" w:rsidP="00E94CBE">
            <w:pPr>
              <w:pStyle w:val="TableText"/>
            </w:pPr>
            <w:r>
              <w:rPr>
                <w:rtl/>
              </w:rPr>
              <w:t>3.</w:t>
            </w:r>
          </w:p>
        </w:tc>
        <w:tc>
          <w:tcPr>
            <w:tcW w:w="7143" w:type="dxa"/>
            <w:gridSpan w:val="2"/>
          </w:tcPr>
          <w:p w14:paraId="70F2E1A6" w14:textId="77777777" w:rsidR="00E94CBE" w:rsidRDefault="00E94CBE" w:rsidP="00E94CBE">
            <w:pPr>
              <w:pStyle w:val="TableBlock"/>
            </w:pPr>
            <w:r>
              <w:rPr>
                <w:sz w:val="26"/>
                <w:rtl/>
              </w:rPr>
              <w:t>(א)</w:t>
            </w:r>
            <w:r>
              <w:rPr>
                <w:sz w:val="26"/>
                <w:rtl/>
              </w:rPr>
              <w:tab/>
              <w:t>פניה לבית דין לדון כבורר בעניין אזרחי, תוגש בצירוף הסכמתם בכתב של הצדדים הנוגעים בדבר.</w:t>
            </w:r>
          </w:p>
        </w:tc>
      </w:tr>
      <w:tr w:rsidR="00E94CBE" w14:paraId="726962B3" w14:textId="77777777" w:rsidTr="00E94CBE">
        <w:tblPrEx>
          <w:tblLook w:val="01E0" w:firstRow="1" w:lastRow="1" w:firstColumn="1" w:lastColumn="1" w:noHBand="0" w:noVBand="0"/>
        </w:tblPrEx>
        <w:trPr>
          <w:cantSplit/>
        </w:trPr>
        <w:tc>
          <w:tcPr>
            <w:tcW w:w="1871" w:type="dxa"/>
          </w:tcPr>
          <w:p w14:paraId="70690A38" w14:textId="77777777" w:rsidR="00E94CBE" w:rsidRDefault="00E94CBE" w:rsidP="00E94CBE">
            <w:pPr>
              <w:pStyle w:val="TableSideHeading"/>
            </w:pPr>
          </w:p>
        </w:tc>
        <w:tc>
          <w:tcPr>
            <w:tcW w:w="624" w:type="dxa"/>
          </w:tcPr>
          <w:p w14:paraId="08B9F5FE" w14:textId="77777777" w:rsidR="00E94CBE" w:rsidRDefault="00E94CBE" w:rsidP="00E94CBE">
            <w:pPr>
              <w:pStyle w:val="TableText"/>
            </w:pPr>
          </w:p>
        </w:tc>
        <w:tc>
          <w:tcPr>
            <w:tcW w:w="7143" w:type="dxa"/>
            <w:gridSpan w:val="2"/>
          </w:tcPr>
          <w:p w14:paraId="611EB743" w14:textId="77777777" w:rsidR="00E94CBE" w:rsidRDefault="00E94CBE" w:rsidP="00E94CBE">
            <w:pPr>
              <w:pStyle w:val="TableBlock"/>
            </w:pPr>
            <w:r>
              <w:rPr>
                <w:sz w:val="26"/>
                <w:rtl/>
              </w:rPr>
              <w:t>(ב)</w:t>
            </w:r>
            <w:r>
              <w:rPr>
                <w:sz w:val="26"/>
                <w:rtl/>
              </w:rPr>
              <w:tab/>
              <w:t>לא צורפה הסכמתו של צד הנוגע בדבר, יודיע בית הדין לאותו צד, על אפשרותו להסכים לכך שבית הדין ידון בעניין כבורר.</w:t>
            </w:r>
          </w:p>
        </w:tc>
      </w:tr>
      <w:tr w:rsidR="00E94CBE" w14:paraId="6034797C" w14:textId="77777777" w:rsidTr="00E94CBE">
        <w:tblPrEx>
          <w:tblLook w:val="01E0" w:firstRow="1" w:lastRow="1" w:firstColumn="1" w:lastColumn="1" w:noHBand="0" w:noVBand="0"/>
        </w:tblPrEx>
        <w:trPr>
          <w:cantSplit/>
        </w:trPr>
        <w:tc>
          <w:tcPr>
            <w:tcW w:w="1871" w:type="dxa"/>
          </w:tcPr>
          <w:p w14:paraId="4FFC534E" w14:textId="77777777" w:rsidR="00E94CBE" w:rsidRDefault="00E94CBE" w:rsidP="00E94CBE">
            <w:pPr>
              <w:pStyle w:val="TableSideHeading"/>
            </w:pPr>
          </w:p>
        </w:tc>
        <w:tc>
          <w:tcPr>
            <w:tcW w:w="624" w:type="dxa"/>
          </w:tcPr>
          <w:p w14:paraId="1E14AEEE" w14:textId="77777777" w:rsidR="00E94CBE" w:rsidRDefault="00E94CBE" w:rsidP="00E94CBE">
            <w:pPr>
              <w:pStyle w:val="TableText"/>
            </w:pPr>
          </w:p>
        </w:tc>
        <w:tc>
          <w:tcPr>
            <w:tcW w:w="7143" w:type="dxa"/>
            <w:gridSpan w:val="2"/>
          </w:tcPr>
          <w:p w14:paraId="1A87A0E7" w14:textId="77777777" w:rsidR="00E94CBE" w:rsidRDefault="00E94CBE" w:rsidP="00E94CBE">
            <w:pPr>
              <w:pStyle w:val="TableBlock"/>
            </w:pPr>
            <w:r>
              <w:rPr>
                <w:sz w:val="26"/>
                <w:rtl/>
              </w:rPr>
              <w:t>(ג)</w:t>
            </w:r>
            <w:r>
              <w:rPr>
                <w:sz w:val="26"/>
                <w:rtl/>
              </w:rPr>
              <w:tab/>
              <w:t>לא התקבלה הסכמתו של אותו צד לסמכות בית הדין כאמור בסעיף קטן (ב), בתוך מועד שקבע בית הדין, ימסור בית הדין הודעה על כך לצדדים הנוגעים בדבר שהביעו הסכמתם לסמכות בית הדין, ורשאי הוא לתת להם היתר בית דין על פי הדין הדתי להגיש את תביעתם לערכאה אזרחית.</w:t>
            </w:r>
          </w:p>
        </w:tc>
      </w:tr>
      <w:tr w:rsidR="00E94CBE" w14:paraId="67BF6101" w14:textId="77777777" w:rsidTr="00E94CBE">
        <w:tblPrEx>
          <w:tblLook w:val="01E0" w:firstRow="1" w:lastRow="1" w:firstColumn="1" w:lastColumn="1" w:noHBand="0" w:noVBand="0"/>
        </w:tblPrEx>
        <w:trPr>
          <w:cantSplit/>
        </w:trPr>
        <w:tc>
          <w:tcPr>
            <w:tcW w:w="1871" w:type="dxa"/>
          </w:tcPr>
          <w:p w14:paraId="58257365" w14:textId="77777777" w:rsidR="00E94CBE" w:rsidRDefault="00E94CBE" w:rsidP="00E94CBE">
            <w:pPr>
              <w:pStyle w:val="TableSideHeading"/>
            </w:pPr>
          </w:p>
        </w:tc>
        <w:tc>
          <w:tcPr>
            <w:tcW w:w="624" w:type="dxa"/>
          </w:tcPr>
          <w:p w14:paraId="2FC8D25E" w14:textId="77777777" w:rsidR="00E94CBE" w:rsidRDefault="00E94CBE" w:rsidP="00E94CBE">
            <w:pPr>
              <w:pStyle w:val="TableText"/>
            </w:pPr>
          </w:p>
        </w:tc>
        <w:tc>
          <w:tcPr>
            <w:tcW w:w="7143" w:type="dxa"/>
            <w:gridSpan w:val="2"/>
          </w:tcPr>
          <w:p w14:paraId="463B3079" w14:textId="77777777" w:rsidR="00E94CBE" w:rsidRDefault="00E94CBE" w:rsidP="00E94CBE">
            <w:pPr>
              <w:pStyle w:val="TableBlock"/>
            </w:pPr>
            <w:r>
              <w:rPr>
                <w:sz w:val="26"/>
                <w:rtl/>
              </w:rPr>
              <w:t>(ד)</w:t>
            </w:r>
            <w:r>
              <w:rPr>
                <w:sz w:val="26"/>
                <w:rtl/>
              </w:rPr>
              <w:tab/>
              <w:t>היה אחד הצדדים הנוגעים בדבר קטין, חסוי, פסול דין או נעדר, ימסור בית הדין הדתי הודעה על כך ליועץ המשפטי לממשלה, ורשאי בית הדין למנות לאותו צד אפוטרופוס לצורך מתן הסכמה לסמכות בית הדין לדון כבורר כאמור בסעיף זה ולצורך ייצוגו לפניו.</w:t>
            </w:r>
          </w:p>
        </w:tc>
      </w:tr>
      <w:tr w:rsidR="00E94CBE" w14:paraId="1D013F1D" w14:textId="77777777" w:rsidTr="00E94CBE">
        <w:tblPrEx>
          <w:tblLook w:val="01E0" w:firstRow="1" w:lastRow="1" w:firstColumn="1" w:lastColumn="1" w:noHBand="0" w:noVBand="0"/>
        </w:tblPrEx>
        <w:trPr>
          <w:cantSplit/>
        </w:trPr>
        <w:tc>
          <w:tcPr>
            <w:tcW w:w="1871" w:type="dxa"/>
          </w:tcPr>
          <w:p w14:paraId="33F95568" w14:textId="77777777" w:rsidR="00E94CBE" w:rsidRDefault="00E94CBE" w:rsidP="00E94CBE">
            <w:pPr>
              <w:pStyle w:val="TableSideHeading"/>
            </w:pPr>
          </w:p>
        </w:tc>
        <w:tc>
          <w:tcPr>
            <w:tcW w:w="624" w:type="dxa"/>
          </w:tcPr>
          <w:p w14:paraId="7F4E3BC9" w14:textId="77777777" w:rsidR="00E94CBE" w:rsidRDefault="00E94CBE" w:rsidP="00E94CBE">
            <w:pPr>
              <w:pStyle w:val="TableText"/>
            </w:pPr>
          </w:p>
        </w:tc>
        <w:tc>
          <w:tcPr>
            <w:tcW w:w="7143" w:type="dxa"/>
            <w:gridSpan w:val="2"/>
          </w:tcPr>
          <w:p w14:paraId="77589962" w14:textId="77777777" w:rsidR="00E94CBE" w:rsidRDefault="00E94CBE" w:rsidP="00E94CBE">
            <w:pPr>
              <w:pStyle w:val="TableBlock"/>
            </w:pPr>
            <w:r>
              <w:rPr>
                <w:sz w:val="26"/>
                <w:rtl/>
              </w:rPr>
              <w:t>(ה)</w:t>
            </w:r>
            <w:r>
              <w:rPr>
                <w:sz w:val="26"/>
                <w:rtl/>
              </w:rPr>
              <w:tab/>
              <w:t>עד לקבלת הסכמתם בכתב של כל הצדדים הנוגעים בדבר לסמכותו של בית דין דתי לדון לפי סעיף זה לא יקיים בית הדין כל דיון בענ</w:t>
            </w:r>
            <w:r>
              <w:rPr>
                <w:rFonts w:hint="cs"/>
                <w:sz w:val="26"/>
                <w:rtl/>
              </w:rPr>
              <w:t>י</w:t>
            </w:r>
            <w:r>
              <w:rPr>
                <w:sz w:val="26"/>
                <w:rtl/>
              </w:rPr>
              <w:t>ין, אך רשאי הוא לתת היתר בית דין על פי דין תורה להגיש בקשה לסעד זמני לערכאה אזרחית.</w:t>
            </w:r>
          </w:p>
        </w:tc>
      </w:tr>
      <w:tr w:rsidR="00E94CBE" w14:paraId="2D58BD0A" w14:textId="77777777" w:rsidTr="00E94CBE">
        <w:tblPrEx>
          <w:tblLook w:val="01E0" w:firstRow="1" w:lastRow="1" w:firstColumn="1" w:lastColumn="1" w:noHBand="0" w:noVBand="0"/>
        </w:tblPrEx>
        <w:trPr>
          <w:cantSplit/>
        </w:trPr>
        <w:tc>
          <w:tcPr>
            <w:tcW w:w="1871" w:type="dxa"/>
          </w:tcPr>
          <w:p w14:paraId="53DEEE69" w14:textId="77777777" w:rsidR="00E94CBE" w:rsidRDefault="00E94CBE" w:rsidP="00E94CBE">
            <w:pPr>
              <w:pStyle w:val="TableSideHeading"/>
            </w:pPr>
            <w:r>
              <w:rPr>
                <w:rtl/>
              </w:rPr>
              <w:t>תחולת הדין הדתי</w:t>
            </w:r>
          </w:p>
        </w:tc>
        <w:tc>
          <w:tcPr>
            <w:tcW w:w="624" w:type="dxa"/>
          </w:tcPr>
          <w:p w14:paraId="2A6D18CC" w14:textId="77777777" w:rsidR="00E94CBE" w:rsidRDefault="00E94CBE" w:rsidP="00E94CBE">
            <w:pPr>
              <w:pStyle w:val="TableText"/>
            </w:pPr>
            <w:r>
              <w:rPr>
                <w:rtl/>
              </w:rPr>
              <w:t>4.</w:t>
            </w:r>
          </w:p>
        </w:tc>
        <w:tc>
          <w:tcPr>
            <w:tcW w:w="7143" w:type="dxa"/>
            <w:gridSpan w:val="2"/>
          </w:tcPr>
          <w:p w14:paraId="365D1E1B" w14:textId="77777777" w:rsidR="00E94CBE" w:rsidRDefault="00E94CBE" w:rsidP="00E94CBE">
            <w:pPr>
              <w:pStyle w:val="TableBlock"/>
            </w:pPr>
            <w:r>
              <w:rPr>
                <w:sz w:val="26"/>
                <w:rtl/>
              </w:rPr>
              <w:t>בלי לגרוע מסמכויות בית דין, בענ</w:t>
            </w:r>
            <w:r>
              <w:rPr>
                <w:rFonts w:hint="cs"/>
                <w:sz w:val="26"/>
                <w:rtl/>
              </w:rPr>
              <w:t>י</w:t>
            </w:r>
            <w:r>
              <w:rPr>
                <w:sz w:val="26"/>
                <w:rtl/>
              </w:rPr>
              <w:t>ין שהובא בפני בית דין בהתאם לחוק זה רשאי בית הדין לדון ולפסוק לפי הדין הדתי שחל בו.</w:t>
            </w:r>
          </w:p>
        </w:tc>
      </w:tr>
      <w:tr w:rsidR="00E94CBE" w14:paraId="2AFE4E45" w14:textId="77777777" w:rsidTr="00E94CBE">
        <w:tblPrEx>
          <w:tblLook w:val="01E0" w:firstRow="1" w:lastRow="1" w:firstColumn="1" w:lastColumn="1" w:noHBand="0" w:noVBand="0"/>
        </w:tblPrEx>
        <w:trPr>
          <w:cantSplit/>
        </w:trPr>
        <w:tc>
          <w:tcPr>
            <w:tcW w:w="1871" w:type="dxa"/>
          </w:tcPr>
          <w:p w14:paraId="4058EA32" w14:textId="77777777" w:rsidR="00E94CBE" w:rsidRDefault="00E94CBE" w:rsidP="00E94CBE">
            <w:pPr>
              <w:pStyle w:val="TableSideHeading"/>
            </w:pPr>
            <w:r>
              <w:rPr>
                <w:rtl/>
              </w:rPr>
              <w:t>הוראות חוק הבוררות</w:t>
            </w:r>
          </w:p>
        </w:tc>
        <w:tc>
          <w:tcPr>
            <w:tcW w:w="624" w:type="dxa"/>
          </w:tcPr>
          <w:p w14:paraId="2E1D5788" w14:textId="77777777" w:rsidR="00E94CBE" w:rsidRDefault="00E94CBE" w:rsidP="00E94CBE">
            <w:pPr>
              <w:pStyle w:val="TableText"/>
            </w:pPr>
            <w:r>
              <w:rPr>
                <w:rtl/>
              </w:rPr>
              <w:t>5.</w:t>
            </w:r>
          </w:p>
        </w:tc>
        <w:tc>
          <w:tcPr>
            <w:tcW w:w="7143" w:type="dxa"/>
            <w:gridSpan w:val="2"/>
          </w:tcPr>
          <w:p w14:paraId="36B3CE4E" w14:textId="77777777" w:rsidR="00E94CBE" w:rsidRDefault="00E94CBE" w:rsidP="00E94CBE">
            <w:pPr>
              <w:pStyle w:val="TableBlock"/>
              <w:rPr>
                <w:sz w:val="26"/>
              </w:rPr>
            </w:pPr>
            <w:r>
              <w:rPr>
                <w:sz w:val="26"/>
                <w:rtl/>
              </w:rPr>
              <w:t>על בוררות לפי חוק זה יחולו, בשינויים המחויבים, הוראות חוק הבוררות, התשכ"ח</w:t>
            </w:r>
            <w:r>
              <w:rPr>
                <w:rFonts w:hint="cs"/>
                <w:sz w:val="26"/>
                <w:rtl/>
              </w:rPr>
              <w:t>–</w:t>
            </w:r>
            <w:r>
              <w:rPr>
                <w:sz w:val="26"/>
                <w:rtl/>
              </w:rPr>
              <w:t>1968</w:t>
            </w:r>
            <w:r w:rsidRPr="00E94CBE">
              <w:rPr>
                <w:rStyle w:val="a6"/>
                <w:rFonts w:ascii="David" w:hAnsi="David"/>
                <w:sz w:val="26"/>
                <w:rtl/>
              </w:rPr>
              <w:footnoteReference w:id="5"/>
            </w:r>
            <w:r>
              <w:rPr>
                <w:sz w:val="26"/>
                <w:rtl/>
              </w:rPr>
              <w:t>, למעט סעיפים 31 עד 35, ככל שאין בהן סתירה להוראות חוק זה.</w:t>
            </w:r>
          </w:p>
        </w:tc>
      </w:tr>
      <w:tr w:rsidR="00E94CBE" w14:paraId="36AF9CFD" w14:textId="77777777" w:rsidTr="00E94CBE">
        <w:trPr>
          <w:cantSplit/>
        </w:trPr>
        <w:tc>
          <w:tcPr>
            <w:tcW w:w="1871" w:type="dxa"/>
            <w:tcBorders>
              <w:top w:val="nil"/>
              <w:left w:val="nil"/>
              <w:bottom w:val="nil"/>
              <w:right w:val="nil"/>
            </w:tcBorders>
          </w:tcPr>
          <w:p w14:paraId="790D6EED" w14:textId="77777777" w:rsidR="00E94CBE" w:rsidRDefault="00E94CBE" w:rsidP="00E94CBE">
            <w:pPr>
              <w:pStyle w:val="TableSideHeading"/>
            </w:pPr>
            <w:r>
              <w:rPr>
                <w:sz w:val="26"/>
                <w:rtl/>
              </w:rPr>
              <w:t>תחולה והוראות מעבר</w:t>
            </w:r>
          </w:p>
        </w:tc>
        <w:tc>
          <w:tcPr>
            <w:tcW w:w="624" w:type="dxa"/>
            <w:tcBorders>
              <w:top w:val="nil"/>
              <w:left w:val="nil"/>
              <w:bottom w:val="nil"/>
              <w:right w:val="nil"/>
            </w:tcBorders>
          </w:tcPr>
          <w:p w14:paraId="13656D57" w14:textId="77777777" w:rsidR="00E94CBE" w:rsidRDefault="00E94CBE" w:rsidP="00E94CBE">
            <w:pPr>
              <w:pStyle w:val="TableText"/>
            </w:pPr>
            <w:r>
              <w:rPr>
                <w:sz w:val="26"/>
                <w:rtl/>
              </w:rPr>
              <w:t>6.</w:t>
            </w:r>
          </w:p>
        </w:tc>
        <w:tc>
          <w:tcPr>
            <w:tcW w:w="7143" w:type="dxa"/>
            <w:gridSpan w:val="2"/>
            <w:tcBorders>
              <w:top w:val="nil"/>
              <w:left w:val="nil"/>
              <w:bottom w:val="nil"/>
              <w:right w:val="nil"/>
            </w:tcBorders>
          </w:tcPr>
          <w:p w14:paraId="3520642B" w14:textId="77777777" w:rsidR="00E94CBE" w:rsidRDefault="00E94CBE" w:rsidP="00E94CBE">
            <w:pPr>
              <w:pStyle w:val="TableBlock"/>
            </w:pPr>
            <w:r>
              <w:rPr>
                <w:sz w:val="26"/>
                <w:rtl/>
              </w:rPr>
              <w:t>(א)</w:t>
            </w:r>
            <w:r>
              <w:rPr>
                <w:sz w:val="26"/>
                <w:rtl/>
              </w:rPr>
              <w:tab/>
              <w:t>פסק בוררות שנתן בית דין דתי לפני תחילתו של חוק זה, שמתקיימים לגביו התנאים האמורים בסעיף 2 לחוק זה, יראו אותו כאילו ניתן לפי הוראות חוק זה.</w:t>
            </w:r>
          </w:p>
        </w:tc>
      </w:tr>
      <w:tr w:rsidR="00E94CBE" w14:paraId="4DE234EE" w14:textId="77777777" w:rsidTr="00E94CBE">
        <w:trPr>
          <w:cantSplit/>
        </w:trPr>
        <w:tc>
          <w:tcPr>
            <w:tcW w:w="1871" w:type="dxa"/>
            <w:tcBorders>
              <w:top w:val="nil"/>
              <w:left w:val="nil"/>
              <w:bottom w:val="nil"/>
              <w:right w:val="nil"/>
            </w:tcBorders>
          </w:tcPr>
          <w:p w14:paraId="0A2667CF" w14:textId="77777777" w:rsidR="00E94CBE" w:rsidRDefault="00E94CBE" w:rsidP="00E94CBE">
            <w:pPr>
              <w:pStyle w:val="TableSideHeading"/>
              <w:rPr>
                <w:sz w:val="26"/>
              </w:rPr>
            </w:pPr>
          </w:p>
        </w:tc>
        <w:tc>
          <w:tcPr>
            <w:tcW w:w="624" w:type="dxa"/>
            <w:tcBorders>
              <w:top w:val="nil"/>
              <w:left w:val="nil"/>
              <w:bottom w:val="nil"/>
              <w:right w:val="nil"/>
            </w:tcBorders>
          </w:tcPr>
          <w:p w14:paraId="7E693820" w14:textId="77777777" w:rsidR="00E94CBE" w:rsidRDefault="00E94CBE" w:rsidP="00E94CBE">
            <w:pPr>
              <w:pStyle w:val="TableText"/>
            </w:pPr>
          </w:p>
        </w:tc>
        <w:tc>
          <w:tcPr>
            <w:tcW w:w="7143" w:type="dxa"/>
            <w:gridSpan w:val="2"/>
            <w:tcBorders>
              <w:top w:val="nil"/>
              <w:left w:val="nil"/>
              <w:bottom w:val="nil"/>
              <w:right w:val="nil"/>
            </w:tcBorders>
          </w:tcPr>
          <w:p w14:paraId="259B3237" w14:textId="77777777" w:rsidR="00E94CBE" w:rsidRDefault="00E94CBE" w:rsidP="00E94CBE">
            <w:pPr>
              <w:pStyle w:val="TableBlock"/>
              <w:rPr>
                <w:sz w:val="26"/>
              </w:rPr>
            </w:pPr>
            <w:r>
              <w:rPr>
                <w:sz w:val="26"/>
                <w:rtl/>
              </w:rPr>
              <w:t>(ב)</w:t>
            </w:r>
            <w:r>
              <w:rPr>
                <w:sz w:val="26"/>
                <w:rtl/>
              </w:rPr>
              <w:tab/>
              <w:t>הוראות חוק זה יחולו גם על הליכי בוררות התלויים ועומדים לפני בית דין דתי ביום תחילתו של חוק זה.</w:t>
            </w:r>
          </w:p>
        </w:tc>
      </w:tr>
      <w:tr w:rsidR="00E94CBE" w14:paraId="1DB9B58D" w14:textId="77777777" w:rsidTr="00E94CBE">
        <w:trPr>
          <w:cantSplit/>
        </w:trPr>
        <w:tc>
          <w:tcPr>
            <w:tcW w:w="1871" w:type="dxa"/>
            <w:tcBorders>
              <w:top w:val="nil"/>
              <w:left w:val="nil"/>
              <w:bottom w:val="nil"/>
              <w:right w:val="nil"/>
            </w:tcBorders>
          </w:tcPr>
          <w:p w14:paraId="7A157D34" w14:textId="77777777" w:rsidR="00E94CBE" w:rsidRDefault="00E94CBE" w:rsidP="00E94CBE">
            <w:pPr>
              <w:pStyle w:val="TableSideHeading"/>
              <w:rPr>
                <w:sz w:val="26"/>
              </w:rPr>
            </w:pPr>
          </w:p>
        </w:tc>
        <w:tc>
          <w:tcPr>
            <w:tcW w:w="624" w:type="dxa"/>
            <w:tcBorders>
              <w:top w:val="nil"/>
              <w:left w:val="nil"/>
              <w:bottom w:val="nil"/>
              <w:right w:val="nil"/>
            </w:tcBorders>
          </w:tcPr>
          <w:p w14:paraId="25711F91" w14:textId="77777777" w:rsidR="00E94CBE" w:rsidRDefault="00E94CBE" w:rsidP="00E94CBE">
            <w:pPr>
              <w:pStyle w:val="TableText"/>
            </w:pPr>
          </w:p>
        </w:tc>
        <w:tc>
          <w:tcPr>
            <w:tcW w:w="7143" w:type="dxa"/>
            <w:gridSpan w:val="2"/>
            <w:tcBorders>
              <w:top w:val="nil"/>
              <w:left w:val="nil"/>
              <w:bottom w:val="nil"/>
              <w:right w:val="nil"/>
            </w:tcBorders>
          </w:tcPr>
          <w:p w14:paraId="7FD4B1E6" w14:textId="77777777" w:rsidR="00E94CBE" w:rsidRDefault="00E94CBE" w:rsidP="00E94CBE">
            <w:pPr>
              <w:pStyle w:val="TableBlock"/>
              <w:rPr>
                <w:sz w:val="26"/>
              </w:rPr>
            </w:pPr>
            <w:r>
              <w:rPr>
                <w:sz w:val="26"/>
                <w:rtl/>
              </w:rPr>
              <w:t>(ג)</w:t>
            </w:r>
            <w:r>
              <w:rPr>
                <w:sz w:val="26"/>
                <w:rtl/>
              </w:rPr>
              <w:tab/>
              <w:t>הוראות חוק זה יחולו גם על הסכם אשר נערך לפני תחילתו של חוק זה ושנקבע בו שתתקיים בוררות בבית דין בעניין אזרחי.</w:t>
            </w:r>
          </w:p>
        </w:tc>
      </w:tr>
    </w:tbl>
    <w:p w14:paraId="7F6961CA" w14:textId="77777777" w:rsidR="002D1EE3" w:rsidRDefault="002D1EE3" w:rsidP="002D1EE3">
      <w:pPr>
        <w:pStyle w:val="HeadDivreiHesber"/>
        <w:rPr>
          <w:rtl/>
        </w:rPr>
      </w:pPr>
      <w:r w:rsidRPr="0027450A">
        <w:rPr>
          <w:rFonts w:hint="cs"/>
          <w:rtl/>
        </w:rPr>
        <w:t>דברי הסבר</w:t>
      </w:r>
    </w:p>
    <w:p w14:paraId="3F914588" w14:textId="77777777" w:rsidR="009F0212" w:rsidRPr="00E94CBE" w:rsidRDefault="009F0212" w:rsidP="00E94CBE">
      <w:pPr>
        <w:pStyle w:val="Hesber"/>
        <w:rPr>
          <w:rtl/>
        </w:rPr>
      </w:pPr>
      <w:r w:rsidRPr="00E94CBE">
        <w:rPr>
          <w:rtl/>
        </w:rPr>
        <w:t xml:space="preserve">הצעת החוק נועדה לעגן בחקיקה את הנוהג הקיים, על פיו בתי הדין הרבניים דנים בהסכמת הצדדים בעניינים שאינם מעמד אישי. בתי הדין הרבניים עסקו מאז ומעולם, בהסכמת הצדדים, בענייני ממון, </w:t>
      </w:r>
      <w:r w:rsidRPr="00E94CBE">
        <w:rPr>
          <w:rtl/>
        </w:rPr>
        <w:lastRenderedPageBreak/>
        <w:t>בדיני עבודה ובענייני הלכה. על פי חוק יסודות המשפט, התש"ם–1980, פסקי הדין של בתי הדין הרבניים הם חלק מהמשפט העברי המשמש מקור משפטי חשוב בישראל ובכל תפוצות הגולה. בנוסף, בית המשפט העליון הכיר בצורך של ציבור נכבד בישראל ליישב סכסוכים בבתי דין הפוסקים על פי דין תורה.</w:t>
      </w:r>
    </w:p>
    <w:p w14:paraId="3CD49CFB" w14:textId="2B3CFF28" w:rsidR="008E3E45" w:rsidRPr="00E94CBE" w:rsidRDefault="009F0212" w:rsidP="00E94CBE">
      <w:pPr>
        <w:pStyle w:val="Hesber"/>
        <w:rPr>
          <w:rtl/>
        </w:rPr>
      </w:pPr>
      <w:r w:rsidRPr="00E94CBE">
        <w:rPr>
          <w:rtl/>
        </w:rPr>
        <w:t xml:space="preserve">בפסק הדין בבג"צ 8638/03 </w:t>
      </w:r>
      <w:r w:rsidRPr="00E94CBE">
        <w:rPr>
          <w:b/>
          <w:bCs/>
          <w:rtl/>
        </w:rPr>
        <w:t>סימה אמיר נ' בית הדין הרבני הגדול בירושלים</w:t>
      </w:r>
      <w:r w:rsidRPr="00E94CBE">
        <w:rPr>
          <w:rtl/>
        </w:rPr>
        <w:t xml:space="preserve"> (ניתן ביום ח' בניסן התשס"ו), הבהיר בית המשפט העליון שעיקרון החוקיות מחייב שסמכותו של בית הדין הרבני לדון בעניינים שאינם ענייני נישואין וגירושין, תעוגן בחקיקה, וזאת בהסכמת בעלי הדין.</w:t>
      </w:r>
    </w:p>
    <w:p w14:paraId="38980319" w14:textId="77535264" w:rsidR="008E3E45" w:rsidRPr="00E94CBE" w:rsidRDefault="008E3E45" w:rsidP="00E94CBE">
      <w:pPr>
        <w:pStyle w:val="Hesber"/>
        <w:rPr>
          <w:rtl/>
        </w:rPr>
      </w:pPr>
      <w:r w:rsidRPr="00E94CBE">
        <w:rPr>
          <w:rFonts w:hint="cs"/>
          <w:rtl/>
        </w:rPr>
        <w:t>הצעות חוק דומות בעיקרן הונחו על שולחן הכנסת העשרים וארבע על ידי על ידי חבר הכנסת ישראל אייכלר (פ/880/24), על ידי חבר הכנסת משה גפני וקבוצת חברי הכנסת (פ/1468/24; פ/3470/24)</w:t>
      </w:r>
      <w:r w:rsidR="00E94CBE">
        <w:rPr>
          <w:rFonts w:hint="cs"/>
          <w:rtl/>
        </w:rPr>
        <w:t>,</w:t>
      </w:r>
      <w:r w:rsidRPr="00E94CBE">
        <w:rPr>
          <w:rFonts w:hint="cs"/>
          <w:rtl/>
        </w:rPr>
        <w:t xml:space="preserve"> על ידי חבר הכנסת אבי מעוז (</w:t>
      </w:r>
      <w:r w:rsidRPr="00E94CBE">
        <w:rPr>
          <w:rtl/>
        </w:rPr>
        <w:t>פ/2712/24</w:t>
      </w:r>
      <w:r w:rsidRPr="00E94CBE">
        <w:rPr>
          <w:rFonts w:hint="cs"/>
          <w:rtl/>
        </w:rPr>
        <w:t>) ועל ידי חבר הכנסת שמחה רוטמן (פ/3846/24) ועל שולחן הכנסת העשרים וחמש על ידי חבר הכנסת גפני משה וקבוצת חברי הכנסת (פ/1178/25).</w:t>
      </w:r>
    </w:p>
    <w:p w14:paraId="4AC95FE4" w14:textId="77777777" w:rsidR="008E3E45" w:rsidRPr="00800208" w:rsidRDefault="008E3E45" w:rsidP="008E3E45">
      <w:pPr>
        <w:pStyle w:val="Hesber"/>
        <w:spacing w:line="240" w:lineRule="auto"/>
      </w:pPr>
    </w:p>
    <w:p w14:paraId="5C1CEF1B" w14:textId="77777777" w:rsidR="00AC1908" w:rsidRDefault="00E94CBE">
      <w:pPr>
        <w:jc w:val="left"/>
      </w:pPr>
      <w:bookmarkStart w:id="8" w:name="selectedDocDateB"/>
      <w:bookmarkStart w:id="9" w:name="_GoBack"/>
      <w:bookmarkEnd w:id="8"/>
      <w:bookmarkEnd w:id="9"/>
      <w:r>
        <w:rPr>
          <w:rFonts w:eastAsia="David" w:hint="cs"/>
          <w:sz w:val="26"/>
          <w:szCs w:val="26"/>
          <w:rtl/>
        </w:rPr>
        <w:t>--------------------------------</w:t>
      </w:r>
    </w:p>
    <w:p w14:paraId="5D0DCA2E" w14:textId="77777777" w:rsidR="00AC1908" w:rsidRDefault="00E94CBE">
      <w:pPr>
        <w:jc w:val="left"/>
      </w:pPr>
      <w:r>
        <w:rPr>
          <w:rFonts w:eastAsia="David" w:hint="cs"/>
          <w:sz w:val="26"/>
          <w:szCs w:val="26"/>
          <w:rtl/>
        </w:rPr>
        <w:t>הוגשה ליו"ר הכנסת והסגנים</w:t>
      </w:r>
    </w:p>
    <w:p w14:paraId="7512372D" w14:textId="77777777" w:rsidR="00AC1908" w:rsidRDefault="00E94CBE">
      <w:pPr>
        <w:jc w:val="left"/>
      </w:pPr>
      <w:r>
        <w:rPr>
          <w:rFonts w:eastAsia="David" w:hint="cs"/>
          <w:sz w:val="26"/>
          <w:szCs w:val="26"/>
          <w:rtl/>
        </w:rPr>
        <w:t>והונחה על שולחן הכנסת ביום</w:t>
      </w:r>
    </w:p>
    <w:p w14:paraId="56DBABD6" w14:textId="77777777" w:rsidR="00AC1908" w:rsidRDefault="00E94CBE">
      <w:pPr>
        <w:jc w:val="left"/>
      </w:pPr>
      <w:r>
        <w:rPr>
          <w:rFonts w:eastAsia="David" w:hint="cs"/>
          <w:sz w:val="26"/>
          <w:szCs w:val="26"/>
          <w:rtl/>
        </w:rPr>
        <w:t xml:space="preserve">כ"ג בטבת התשפ"ג (16.01.2023) </w:t>
      </w:r>
    </w:p>
    <w:p w14:paraId="00B5DE47" w14:textId="77777777" w:rsidR="00AC1908" w:rsidRDefault="00AC1908">
      <w:pPr>
        <w:spacing w:line="276" w:lineRule="auto"/>
        <w:jc w:val="left"/>
      </w:pPr>
    </w:p>
    <w:sectPr w:rsidR="00AC1908" w:rsidSect="00E94CBE">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94CBE">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94CBE">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F78E02E" w14:textId="77777777" w:rsidR="00E94CBE" w:rsidRDefault="00E94CBE" w:rsidP="00E94CBE">
      <w:pPr>
        <w:pStyle w:val="a4"/>
      </w:pPr>
      <w:r>
        <w:rPr>
          <w:rStyle w:val="a6"/>
        </w:rPr>
        <w:footnoteRef/>
      </w:r>
      <w:r>
        <w:rPr>
          <w:rtl/>
        </w:rPr>
        <w:t xml:space="preserve"> </w:t>
      </w:r>
      <w:r>
        <w:rPr>
          <w:rFonts w:hint="cs"/>
          <w:rtl/>
        </w:rPr>
        <w:t>ס"ח התשכ"ב, עמ' 120.</w:t>
      </w:r>
    </w:p>
  </w:footnote>
  <w:footnote w:id="3">
    <w:p w14:paraId="77DB4B63" w14:textId="77777777" w:rsidR="00E94CBE" w:rsidRDefault="00E94CBE" w:rsidP="009F0212">
      <w:pPr>
        <w:pStyle w:val="a4"/>
        <w:jc w:val="both"/>
      </w:pPr>
      <w:r>
        <w:rPr>
          <w:rStyle w:val="a6"/>
        </w:rPr>
        <w:footnoteRef/>
      </w:r>
      <w:r>
        <w:rPr>
          <w:sz w:val="20"/>
          <w:rtl/>
        </w:rPr>
        <w:t xml:space="preserve"> ס"ח התש"ס, עמ' 190.</w:t>
      </w:r>
    </w:p>
  </w:footnote>
  <w:footnote w:id="4">
    <w:p w14:paraId="32E80A61" w14:textId="77777777" w:rsidR="00E94CBE" w:rsidRDefault="00E94CBE" w:rsidP="009F0212">
      <w:pPr>
        <w:pStyle w:val="a4"/>
      </w:pPr>
      <w:r>
        <w:rPr>
          <w:rStyle w:val="a6"/>
        </w:rPr>
        <w:footnoteRef/>
      </w:r>
      <w:r>
        <w:rPr>
          <w:sz w:val="20"/>
          <w:rtl/>
        </w:rPr>
        <w:t xml:space="preserve"> ס"ח התשכ"ח, עמ' 234.</w:t>
      </w:r>
    </w:p>
  </w:footnote>
  <w:footnote w:id="5">
    <w:p w14:paraId="0AE2F6FF" w14:textId="77777777" w:rsidR="00E94CBE" w:rsidRDefault="00E94CBE" w:rsidP="009F0212">
      <w:pPr>
        <w:pStyle w:val="a4"/>
      </w:pPr>
      <w:r>
        <w:rPr>
          <w:rStyle w:val="a6"/>
        </w:rPr>
        <w:footnoteRef/>
      </w:r>
      <w:r>
        <w:rPr>
          <w:rtl/>
        </w:rPr>
        <w:t xml:space="preserve"> ס"ח התשכ"</w:t>
      </w:r>
      <w:r>
        <w:rPr>
          <w:rFonts w:hint="cs"/>
          <w:rtl/>
        </w:rPr>
        <w:t>ח</w:t>
      </w:r>
      <w:r>
        <w:rPr>
          <w:rtl/>
        </w:rPr>
        <w:t>, עמ' 184.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4F3835"/>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3E45"/>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9F0212"/>
    <w:rsid w:val="00A14672"/>
    <w:rsid w:val="00A26BD6"/>
    <w:rsid w:val="00A443CF"/>
    <w:rsid w:val="00A6611D"/>
    <w:rsid w:val="00A82CB7"/>
    <w:rsid w:val="00A942C1"/>
    <w:rsid w:val="00AA2F03"/>
    <w:rsid w:val="00AC1908"/>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94CBE"/>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8A04E59-3ACA-4EAF-8804-A1F42963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CBE"/>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94CBE"/>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94CBE"/>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94CBE"/>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94CBE"/>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94CBE"/>
    <w:pPr>
      <w:spacing w:line="259" w:lineRule="auto"/>
      <w:outlineLvl w:val="4"/>
    </w:pPr>
    <w:rPr>
      <w:color w:val="000000" w:themeColor="text1"/>
    </w:rPr>
  </w:style>
  <w:style w:type="character" w:default="1" w:styleId="a0">
    <w:name w:val="Default Paragraph Font"/>
    <w:uiPriority w:val="1"/>
    <w:semiHidden/>
    <w:unhideWhenUsed/>
    <w:rsid w:val="00E94CBE"/>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94CBE"/>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94CBE"/>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94CBE"/>
    <w:rPr>
      <w:sz w:val="36"/>
      <w:szCs w:val="52"/>
    </w:rPr>
  </w:style>
  <w:style w:type="paragraph" w:customStyle="1" w:styleId="Cover3-Haknesset">
    <w:name w:val="Cover 3-Haknesset"/>
    <w:basedOn w:val="Cover1-Reshumot"/>
    <w:rsid w:val="00E94CBE"/>
    <w:rPr>
      <w:b/>
      <w:bCs/>
      <w:spacing w:val="60"/>
    </w:rPr>
  </w:style>
  <w:style w:type="paragraph" w:customStyle="1" w:styleId="Cover4-Date">
    <w:name w:val="Cover 4-Date"/>
    <w:basedOn w:val="a"/>
    <w:rsid w:val="00E94CBE"/>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94CBE"/>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94CBE"/>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94CBE"/>
    <w:pPr>
      <w:spacing w:before="120" w:after="120"/>
    </w:pPr>
    <w:rPr>
      <w:color w:val="FF0000"/>
      <w:w w:val="80"/>
    </w:rPr>
  </w:style>
  <w:style w:type="paragraph" w:styleId="a3">
    <w:name w:val="endnote text"/>
    <w:basedOn w:val="a"/>
    <w:semiHidden/>
    <w:rsid w:val="00E94CBE"/>
    <w:pPr>
      <w:ind w:left="227" w:hanging="227"/>
    </w:pPr>
    <w:rPr>
      <w:sz w:val="14"/>
      <w:szCs w:val="22"/>
    </w:rPr>
  </w:style>
  <w:style w:type="paragraph" w:customStyle="1" w:styleId="TableText">
    <w:name w:val="Table Text"/>
    <w:basedOn w:val="a"/>
    <w:rsid w:val="00E94CBE"/>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94CBE"/>
    <w:pPr>
      <w:outlineLvl w:val="2"/>
    </w:pPr>
  </w:style>
  <w:style w:type="paragraph" w:customStyle="1" w:styleId="TableBlock">
    <w:name w:val="Table Block"/>
    <w:basedOn w:val="TableText"/>
    <w:rsid w:val="00E94CBE"/>
    <w:pPr>
      <w:jc w:val="both"/>
    </w:pPr>
  </w:style>
  <w:style w:type="paragraph" w:customStyle="1" w:styleId="TableHead">
    <w:name w:val="Table Head"/>
    <w:basedOn w:val="TableText"/>
    <w:rsid w:val="00E94CBE"/>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94CBE"/>
    <w:pPr>
      <w:outlineLvl w:val="9"/>
    </w:pPr>
  </w:style>
  <w:style w:type="paragraph" w:customStyle="1" w:styleId="Hesber">
    <w:name w:val="Hesber"/>
    <w:basedOn w:val="a"/>
    <w:rsid w:val="00E94CBE"/>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E94CBE"/>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E94CBE"/>
    <w:rPr>
      <w:vertAlign w:val="superscript"/>
    </w:rPr>
  </w:style>
  <w:style w:type="paragraph" w:customStyle="1" w:styleId="HesberHeading">
    <w:name w:val="Hesber Heading"/>
    <w:basedOn w:val="Hesber"/>
    <w:rsid w:val="00E94CBE"/>
    <w:pPr>
      <w:tabs>
        <w:tab w:val="left" w:pos="624"/>
        <w:tab w:val="left" w:pos="1247"/>
      </w:tabs>
    </w:pPr>
    <w:rPr>
      <w:b/>
      <w:bCs/>
    </w:rPr>
  </w:style>
  <w:style w:type="paragraph" w:customStyle="1" w:styleId="HesberWriters">
    <w:name w:val="Hesber Writers"/>
    <w:basedOn w:val="Hesber"/>
    <w:rsid w:val="00E94CBE"/>
    <w:pPr>
      <w:spacing w:before="120" w:after="120"/>
      <w:ind w:left="1418"/>
      <w:jc w:val="right"/>
    </w:pPr>
    <w:rPr>
      <w:b/>
      <w:bCs/>
    </w:rPr>
  </w:style>
  <w:style w:type="paragraph" w:customStyle="1" w:styleId="Hesber1st">
    <w:name w:val="Hesber 1st"/>
    <w:basedOn w:val="Hesber"/>
    <w:rsid w:val="00E94CBE"/>
    <w:pPr>
      <w:tabs>
        <w:tab w:val="left" w:pos="680"/>
        <w:tab w:val="left" w:pos="1020"/>
      </w:tabs>
      <w:ind w:firstLine="0"/>
    </w:pPr>
  </w:style>
  <w:style w:type="character" w:styleId="a7">
    <w:name w:val="endnote reference"/>
    <w:basedOn w:val="a0"/>
    <w:semiHidden/>
    <w:rsid w:val="00E94CBE"/>
    <w:rPr>
      <w:vertAlign w:val="superscript"/>
    </w:rPr>
  </w:style>
  <w:style w:type="paragraph" w:customStyle="1" w:styleId="TableBlockOutdent">
    <w:name w:val="Table BlockOutdent"/>
    <w:basedOn w:val="TableBlock"/>
    <w:rsid w:val="00E94CBE"/>
    <w:pPr>
      <w:ind w:left="624" w:hanging="624"/>
    </w:pPr>
  </w:style>
  <w:style w:type="paragraph" w:styleId="a8">
    <w:name w:val="header"/>
    <w:basedOn w:val="a"/>
    <w:rsid w:val="00E94CBE"/>
    <w:pPr>
      <w:tabs>
        <w:tab w:val="center" w:pos="4153"/>
        <w:tab w:val="right" w:pos="8306"/>
      </w:tabs>
    </w:pPr>
  </w:style>
  <w:style w:type="paragraph" w:styleId="a9">
    <w:name w:val="footer"/>
    <w:basedOn w:val="a"/>
    <w:rsid w:val="00E94CBE"/>
    <w:pPr>
      <w:tabs>
        <w:tab w:val="center" w:pos="4153"/>
        <w:tab w:val="right" w:pos="8306"/>
      </w:tabs>
    </w:pPr>
  </w:style>
  <w:style w:type="paragraph" w:customStyle="1" w:styleId="HeadDivreiHesber">
    <w:name w:val="Head DivreiHesber"/>
    <w:basedOn w:val="a"/>
    <w:rsid w:val="00E94CBE"/>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94CBE"/>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E94CBE"/>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link w:val="a4"/>
    <w:semiHidden/>
    <w:locked/>
    <w:rsid w:val="009F0212"/>
    <w:rPr>
      <w:rFonts w:ascii="Arial" w:eastAsia="Arial Unicode MS" w:hAnsi="Arial" w:cs="David"/>
      <w:snapToGrid w:val="0"/>
      <w:sz w:val="14"/>
    </w:rPr>
  </w:style>
  <w:style w:type="character" w:customStyle="1" w:styleId="10">
    <w:name w:val="כותרת 1 תו"/>
    <w:basedOn w:val="a0"/>
    <w:link w:val="1"/>
    <w:uiPriority w:val="9"/>
    <w:rsid w:val="00E94CBE"/>
    <w:rPr>
      <w:rFonts w:asciiTheme="majorHAnsi" w:eastAsiaTheme="majorEastAsia" w:hAnsiTheme="majorHAnsi" w:cs="David"/>
      <w:bCs/>
      <w:sz w:val="32"/>
      <w:szCs w:val="36"/>
    </w:rPr>
  </w:style>
  <w:style w:type="character" w:customStyle="1" w:styleId="20">
    <w:name w:val="כותרת 2 תו"/>
    <w:basedOn w:val="a0"/>
    <w:link w:val="2"/>
    <w:rsid w:val="00E94CBE"/>
    <w:rPr>
      <w:rFonts w:asciiTheme="majorHAnsi" w:eastAsiaTheme="majorEastAsia" w:hAnsiTheme="majorHAnsi" w:cs="David"/>
      <w:bCs/>
      <w:sz w:val="26"/>
      <w:szCs w:val="36"/>
      <w:u w:val="single"/>
    </w:rPr>
  </w:style>
  <w:style w:type="character" w:customStyle="1" w:styleId="30">
    <w:name w:val="כותרת 3 תו"/>
    <w:basedOn w:val="a0"/>
    <w:link w:val="3"/>
    <w:rsid w:val="00E94CBE"/>
    <w:rPr>
      <w:rFonts w:asciiTheme="majorHAnsi" w:eastAsiaTheme="majorEastAsia" w:hAnsiTheme="majorHAnsi" w:cs="David"/>
      <w:sz w:val="24"/>
      <w:szCs w:val="28"/>
      <w:u w:val="double"/>
    </w:rPr>
  </w:style>
  <w:style w:type="character" w:customStyle="1" w:styleId="40">
    <w:name w:val="כותרת 4 תו"/>
    <w:basedOn w:val="a0"/>
    <w:link w:val="4"/>
    <w:uiPriority w:val="9"/>
    <w:rsid w:val="00E94CBE"/>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94CBE"/>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E94CBE"/>
    <w:pPr>
      <w:widowControl/>
      <w:spacing w:before="120" w:after="120"/>
      <w:outlineLvl w:val="9"/>
    </w:pPr>
    <w:rPr>
      <w:rtl/>
      <w:cs/>
    </w:rPr>
  </w:style>
  <w:style w:type="paragraph" w:styleId="TOC1">
    <w:name w:val="toc 1"/>
    <w:basedOn w:val="a"/>
    <w:next w:val="a"/>
    <w:autoRedefine/>
    <w:uiPriority w:val="39"/>
    <w:unhideWhenUsed/>
    <w:rsid w:val="00E94CBE"/>
    <w:pPr>
      <w:tabs>
        <w:tab w:val="right" w:leader="dot" w:pos="9629"/>
      </w:tabs>
      <w:spacing w:after="100"/>
    </w:pPr>
    <w:rPr>
      <w:bCs/>
      <w:szCs w:val="22"/>
    </w:rPr>
  </w:style>
  <w:style w:type="paragraph" w:styleId="TOC2">
    <w:name w:val="toc 2"/>
    <w:basedOn w:val="a"/>
    <w:next w:val="a"/>
    <w:uiPriority w:val="39"/>
    <w:unhideWhenUsed/>
    <w:rsid w:val="00E94CBE"/>
    <w:pPr>
      <w:tabs>
        <w:tab w:val="right" w:leader="dot" w:pos="9628"/>
      </w:tabs>
      <w:spacing w:after="100"/>
    </w:pPr>
    <w:rPr>
      <w:szCs w:val="22"/>
    </w:rPr>
  </w:style>
  <w:style w:type="character" w:styleId="Hyperlink">
    <w:name w:val="Hyperlink"/>
    <w:basedOn w:val="a0"/>
    <w:uiPriority w:val="99"/>
    <w:unhideWhenUsed/>
    <w:rsid w:val="00E94CBE"/>
    <w:rPr>
      <w:color w:val="0000FF" w:themeColor="hyperlink"/>
      <w:u w:val="single"/>
    </w:rPr>
  </w:style>
  <w:style w:type="paragraph" w:styleId="TOC3">
    <w:name w:val="toc 3"/>
    <w:basedOn w:val="a"/>
    <w:next w:val="a"/>
    <w:uiPriority w:val="39"/>
    <w:unhideWhenUsed/>
    <w:rsid w:val="00E94CBE"/>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E94CBE"/>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94CBE"/>
    <w:pPr>
      <w:tabs>
        <w:tab w:val="right" w:leader="dot" w:pos="9628"/>
      </w:tabs>
      <w:spacing w:after="100"/>
      <w:ind w:left="567"/>
    </w:pPr>
    <w:rPr>
      <w:szCs w:val="22"/>
    </w:rPr>
  </w:style>
  <w:style w:type="paragraph" w:styleId="TOC6">
    <w:name w:val="toc 6"/>
    <w:basedOn w:val="a"/>
    <w:next w:val="a"/>
    <w:autoRedefine/>
    <w:semiHidden/>
    <w:unhideWhenUsed/>
    <w:rsid w:val="00E94CBE"/>
    <w:pPr>
      <w:spacing w:after="100"/>
      <w:ind w:left="850"/>
    </w:pPr>
  </w:style>
  <w:style w:type="paragraph" w:styleId="TOC7">
    <w:name w:val="toc 7"/>
    <w:basedOn w:val="a"/>
    <w:next w:val="a"/>
    <w:autoRedefine/>
    <w:semiHidden/>
    <w:unhideWhenUsed/>
    <w:rsid w:val="00E94CBE"/>
    <w:pPr>
      <w:spacing w:after="100"/>
      <w:ind w:left="1020"/>
    </w:pPr>
  </w:style>
  <w:style w:type="paragraph" w:styleId="TOC8">
    <w:name w:val="toc 8"/>
    <w:basedOn w:val="a"/>
    <w:next w:val="a"/>
    <w:autoRedefine/>
    <w:semiHidden/>
    <w:unhideWhenUsed/>
    <w:rsid w:val="00E94CBE"/>
    <w:pPr>
      <w:spacing w:after="100"/>
      <w:ind w:left="1190"/>
    </w:pPr>
  </w:style>
  <w:style w:type="paragraph" w:styleId="TOC9">
    <w:name w:val="toc 9"/>
    <w:basedOn w:val="a"/>
    <w:next w:val="a"/>
    <w:autoRedefine/>
    <w:semiHidden/>
    <w:unhideWhenUsed/>
    <w:rsid w:val="00E94CBE"/>
    <w:pPr>
      <w:spacing w:after="100"/>
      <w:ind w:left="1360"/>
    </w:pPr>
  </w:style>
  <w:style w:type="paragraph" w:customStyle="1" w:styleId="TableHead2">
    <w:name w:val="Table Head2"/>
    <w:basedOn w:val="TableHead"/>
    <w:qFormat/>
    <w:rsid w:val="00E94CBE"/>
    <w:pPr>
      <w:outlineLvl w:val="9"/>
    </w:pPr>
  </w:style>
  <w:style w:type="paragraph" w:customStyle="1" w:styleId="TableSideHeading2">
    <w:name w:val="Table SideHeading2"/>
    <w:basedOn w:val="TableSideHeading"/>
    <w:autoRedefine/>
    <w:qFormat/>
    <w:rsid w:val="00E94CBE"/>
    <w:pPr>
      <w:keepLines w:val="0"/>
      <w:outlineLvl w:val="9"/>
    </w:pPr>
  </w:style>
  <w:style w:type="paragraph" w:customStyle="1" w:styleId="0">
    <w:name w:val="סגנון שורה ראשונה:  0  ס''מ"/>
    <w:basedOn w:val="2"/>
    <w:rsid w:val="00E94CBE"/>
    <w:rPr>
      <w:rFonts w:eastAsia="Times New Roman"/>
    </w:rPr>
  </w:style>
  <w:style w:type="paragraph" w:styleId="af">
    <w:name w:val="List Paragraph"/>
    <w:basedOn w:val="a"/>
    <w:uiPriority w:val="34"/>
    <w:qFormat/>
    <w:rsid w:val="00E94CBE"/>
    <w:pPr>
      <w:widowControl/>
      <w:spacing w:line="259" w:lineRule="auto"/>
    </w:pPr>
    <w:rPr>
      <w:rFonts w:asciiTheme="minorHAnsi" w:hAnsiTheme="minorHAnsi"/>
      <w:sz w:val="22"/>
    </w:rPr>
  </w:style>
  <w:style w:type="table" w:styleId="af0">
    <w:name w:val="Table Grid"/>
    <w:basedOn w:val="a1"/>
    <w:rsid w:val="00E94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94C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94C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E94CBE"/>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94CBE"/>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B67EEE2D-6946-4F0B-95A7-9F13D67E1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F68B11-11AE-4823-8E7B-B8C4E35C3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558</Words>
  <Characters>3181</Characters>
  <Application>Microsoft Office Word</Application>
  <DocSecurity>0</DocSecurity>
  <Lines>26</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6</cp:revision>
  <cp:lastPrinted>2013-07-04T08:25:00Z</cp:lastPrinted>
  <dcterms:created xsi:type="dcterms:W3CDTF">2015-04-20T09:58:00Z</dcterms:created>
  <dcterms:modified xsi:type="dcterms:W3CDTF">2023-01-10T10:11:00Z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2196198</vt:r8>
  </property>
</Properties>
</file>