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2198167</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וחמש</w:t>
      </w:r>
      <w:bookmarkEnd w:id="1"/>
    </w:p>
    <w:p w14:paraId="7F6961A3" w14:textId="77777777" w:rsidR="00E13C27" w:rsidRPr="00F67051" w:rsidRDefault="00E13C27" w:rsidP="00E13C27">
      <w:pPr>
        <w:rPr>
          <w:rFonts w:cs="David"/>
          <w:b/>
          <w:bCs/>
          <w:sz w:val="26"/>
          <w:szCs w:val="26"/>
          <w:rtl/>
        </w:rPr>
      </w:pPr>
    </w:p>
    <w:p w14:paraId="7F6961AA" w14:textId="65A42FE3" w:rsidR="00E13C27" w:rsidRPr="00CF1AA2" w:rsidRDefault="008F6665" w:rsidP="004E472A">
      <w:pPr>
        <w:pStyle w:val="David"/>
        <w:spacing w:line="360" w:lineRule="auto"/>
        <w:ind w:left="3544"/>
        <w:rPr>
          <w:b/>
          <w:bCs/>
          <w:sz w:val="16"/>
          <w:szCs w:val="16"/>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איימן עודה</w:t>
      </w:r>
      <w:r>
        <w:br/>
      </w:r>
      <w:r>
        <w:rPr>
          <w:rFonts w:hint="cs"/>
          <w:b/>
          <w:bCs/>
          <w:rtl/>
        </w:rPr>
        <w:t xml:space="preserve"> </w:t>
      </w:r>
      <w:r>
        <w:tab/>
      </w:r>
      <w:r>
        <w:tab/>
      </w:r>
      <w:r>
        <w:tab/>
      </w:r>
      <w:r>
        <w:tab/>
      </w:r>
      <w:r>
        <w:rPr>
          <w:rFonts w:hint="cs"/>
          <w:b/>
          <w:bCs/>
          <w:rtl/>
        </w:rPr>
        <w:t>עאידה תומא סלימאן</w:t>
      </w:r>
      <w:r>
        <w:br/>
      </w:r>
      <w:r>
        <w:rPr>
          <w:rFonts w:hint="cs"/>
          <w:b/>
          <w:bCs/>
          <w:rtl/>
        </w:rPr>
        <w:t xml:space="preserve"> </w:t>
      </w:r>
      <w:r>
        <w:tab/>
      </w:r>
      <w:r>
        <w:tab/>
      </w:r>
      <w:r>
        <w:tab/>
      </w:r>
      <w:r>
        <w:tab/>
      </w:r>
      <w:r>
        <w:rPr>
          <w:rFonts w:hint="cs"/>
          <w:b/>
          <w:bCs/>
          <w:rtl/>
        </w:rPr>
        <w:t>עופר כסיף</w:t>
      </w:r>
      <w:r>
        <w:br/>
      </w:r>
      <w:r>
        <w:rPr>
          <w:rFonts w:hint="cs"/>
          <w:b/>
          <w:bCs/>
          <w:rtl/>
        </w:rPr>
        <w:t xml:space="preserve"> </w:t>
      </w:r>
      <w:r>
        <w:tab/>
      </w:r>
      <w:r>
        <w:tab/>
      </w:r>
      <w:r>
        <w:tab/>
      </w:r>
      <w:r>
        <w:tab/>
      </w:r>
      <w:r>
        <w:rPr>
          <w:rFonts w:hint="cs"/>
          <w:b/>
          <w:bCs/>
          <w:rtl/>
        </w:rPr>
        <w:t>יוסף עטאונה</w:t>
      </w:r>
      <w:bookmarkStart w:id="4" w:name="LGS_Join_List"/>
      <w:bookmarkEnd w:id="3"/>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פ/1132/25</w:t>
      </w:r>
      <w:bookmarkEnd w:id="6"/>
    </w:p>
    <w:p w14:paraId="7F6961AD" w14:textId="77777777" w:rsidR="00E13C27" w:rsidRPr="00F67051" w:rsidRDefault="00A443CF" w:rsidP="0021633A">
      <w:pPr>
        <w:pStyle w:val="HeadHatzaotHok"/>
        <w:rPr>
          <w:rtl/>
        </w:rPr>
      </w:pPr>
      <w:bookmarkStart w:id="7" w:name="LGS_Subject"/>
      <w:r>
        <w:rPr>
          <w:rFonts w:hint="cs"/>
          <w:rtl/>
        </w:rPr>
        <w:t>הצעת חוק השכירות והשאילה (תיקון – הגבלה על העלאת דמי השכירות), התשפ"ג–2023</w:t>
      </w:r>
      <w:bookmarkEnd w:id="7"/>
    </w:p>
    <w:tbl>
      <w:tblPr>
        <w:bidiVisual/>
        <w:tblW w:w="9637" w:type="dxa"/>
        <w:tblLayout w:type="fixed"/>
        <w:tblCellMar>
          <w:top w:w="57" w:type="dxa"/>
          <w:left w:w="0" w:type="dxa"/>
          <w:bottom w:w="57" w:type="dxa"/>
          <w:right w:w="0" w:type="dxa"/>
        </w:tblCellMar>
        <w:tblLook w:val="01E0" w:firstRow="1" w:lastRow="1" w:firstColumn="1" w:lastColumn="1" w:noHBand="0" w:noVBand="0"/>
      </w:tblPr>
      <w:tblGrid>
        <w:gridCol w:w="1870"/>
        <w:gridCol w:w="625"/>
        <w:gridCol w:w="625"/>
        <w:gridCol w:w="624"/>
        <w:gridCol w:w="624"/>
        <w:gridCol w:w="624"/>
        <w:gridCol w:w="624"/>
        <w:gridCol w:w="4021"/>
      </w:tblGrid>
      <w:tr w:rsidR="00821337" w:rsidRPr="002B263E" w14:paraId="7EA4EDFC" w14:textId="77777777" w:rsidTr="00C67E24">
        <w:trPr>
          <w:cantSplit/>
        </w:trPr>
        <w:tc>
          <w:tcPr>
            <w:tcW w:w="1870" w:type="dxa"/>
            <w:hideMark/>
          </w:tcPr>
          <w:p w14:paraId="6F6C1A67" w14:textId="77777777" w:rsidR="00821337" w:rsidRPr="002B263E" w:rsidRDefault="00821337" w:rsidP="00C67E24">
            <w:pPr>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r w:rsidRPr="002B263E">
              <w:rPr>
                <w:rFonts w:ascii="Arial" w:eastAsia="Arial Unicode MS" w:hAnsi="Arial" w:cs="David"/>
                <w:snapToGrid w:val="0"/>
                <w:color w:val="auto"/>
                <w:spacing w:val="0"/>
                <w:sz w:val="20"/>
                <w:szCs w:val="26"/>
                <w:rtl/>
                <w:lang w:eastAsia="en-US"/>
              </w:rPr>
              <w:t>תיקון סעיף 2</w:t>
            </w:r>
          </w:p>
        </w:tc>
        <w:tc>
          <w:tcPr>
            <w:tcW w:w="625" w:type="dxa"/>
            <w:hideMark/>
          </w:tcPr>
          <w:p w14:paraId="213DC47A" w14:textId="77777777" w:rsidR="00821337" w:rsidRPr="002B263E" w:rsidRDefault="00821337" w:rsidP="00C67E24">
            <w:pPr>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r w:rsidRPr="002B263E">
              <w:rPr>
                <w:rFonts w:ascii="Arial" w:eastAsia="Arial Unicode MS" w:hAnsi="Arial" w:cs="David"/>
                <w:snapToGrid w:val="0"/>
                <w:color w:val="auto"/>
                <w:spacing w:val="0"/>
                <w:sz w:val="20"/>
                <w:szCs w:val="26"/>
                <w:rtl/>
                <w:lang w:eastAsia="en-US"/>
              </w:rPr>
              <w:t xml:space="preserve">1. </w:t>
            </w:r>
          </w:p>
        </w:tc>
        <w:tc>
          <w:tcPr>
            <w:tcW w:w="7142" w:type="dxa"/>
            <w:gridSpan w:val="6"/>
            <w:hideMark/>
          </w:tcPr>
          <w:p w14:paraId="59A734E4"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r w:rsidRPr="002B263E">
              <w:rPr>
                <w:rFonts w:ascii="Arial" w:eastAsia="Arial Unicode MS" w:hAnsi="Arial" w:cs="David"/>
                <w:snapToGrid w:val="0"/>
                <w:color w:val="auto"/>
                <w:spacing w:val="0"/>
                <w:sz w:val="20"/>
                <w:szCs w:val="26"/>
                <w:rtl/>
                <w:lang w:eastAsia="en-US"/>
              </w:rPr>
              <w:t>בחוק השכירות והשאילה, התשל"א–1971</w:t>
            </w:r>
            <w:r w:rsidRPr="002B263E">
              <w:rPr>
                <w:rFonts w:ascii="David" w:eastAsia="Arial Unicode MS" w:hAnsi="David" w:cs="David"/>
                <w:snapToGrid w:val="0"/>
                <w:color w:val="auto"/>
                <w:spacing w:val="0"/>
                <w:sz w:val="26"/>
                <w:szCs w:val="26"/>
                <w:vertAlign w:val="superscript"/>
                <w:rtl/>
                <w:lang w:eastAsia="en-US"/>
              </w:rPr>
              <w:footnoteReference w:id="2"/>
            </w:r>
            <w:r w:rsidRPr="002B263E">
              <w:rPr>
                <w:rFonts w:ascii="Arial" w:eastAsia="Arial Unicode MS" w:hAnsi="Arial" w:cs="David"/>
                <w:snapToGrid w:val="0"/>
                <w:color w:val="auto"/>
                <w:spacing w:val="0"/>
                <w:sz w:val="20"/>
                <w:szCs w:val="26"/>
                <w:rtl/>
                <w:lang w:eastAsia="en-US"/>
              </w:rPr>
              <w:t xml:space="preserve"> (להלן – החוק העיקרי), בסעיף 2(ג), בסופו יבוא "ואולם הוראות סימן ג'1 יחולו על אף כל ויתור או הסכם נוגד, אלא אם כן הותנה עליהן לטובת שוכר דירת מגורים, כמשמעותו בסימן האמור".</w:t>
            </w:r>
          </w:p>
        </w:tc>
      </w:tr>
      <w:tr w:rsidR="00821337" w:rsidRPr="002B263E" w14:paraId="16553465" w14:textId="77777777" w:rsidTr="00C67E24">
        <w:trPr>
          <w:cantSplit/>
        </w:trPr>
        <w:tc>
          <w:tcPr>
            <w:tcW w:w="1870" w:type="dxa"/>
            <w:hideMark/>
          </w:tcPr>
          <w:p w14:paraId="184AD09D" w14:textId="77777777" w:rsidR="00821337" w:rsidRPr="002B263E" w:rsidRDefault="00821337" w:rsidP="00C67E24">
            <w:pPr>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r w:rsidRPr="002B263E">
              <w:rPr>
                <w:rFonts w:ascii="Arial" w:eastAsia="Arial Unicode MS" w:hAnsi="Arial" w:cs="David"/>
                <w:snapToGrid w:val="0"/>
                <w:color w:val="auto"/>
                <w:spacing w:val="0"/>
                <w:sz w:val="20"/>
                <w:szCs w:val="26"/>
                <w:rtl/>
                <w:lang w:eastAsia="en-US"/>
              </w:rPr>
              <w:t>הוספת סימן ג'1</w:t>
            </w:r>
          </w:p>
        </w:tc>
        <w:tc>
          <w:tcPr>
            <w:tcW w:w="625" w:type="dxa"/>
            <w:hideMark/>
          </w:tcPr>
          <w:p w14:paraId="0931D874" w14:textId="77777777" w:rsidR="00821337" w:rsidRPr="002B263E" w:rsidRDefault="00821337" w:rsidP="00C67E24">
            <w:pPr>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r w:rsidRPr="002B263E">
              <w:rPr>
                <w:rFonts w:ascii="Arial" w:eastAsia="Arial Unicode MS" w:hAnsi="Arial" w:cs="David"/>
                <w:snapToGrid w:val="0"/>
                <w:color w:val="auto"/>
                <w:spacing w:val="0"/>
                <w:sz w:val="20"/>
                <w:szCs w:val="26"/>
                <w:rtl/>
                <w:lang w:eastAsia="en-US"/>
              </w:rPr>
              <w:t>2.</w:t>
            </w:r>
          </w:p>
        </w:tc>
        <w:tc>
          <w:tcPr>
            <w:tcW w:w="7142" w:type="dxa"/>
            <w:gridSpan w:val="6"/>
            <w:hideMark/>
          </w:tcPr>
          <w:p w14:paraId="58497D35"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r w:rsidRPr="002B263E">
              <w:rPr>
                <w:rFonts w:ascii="Arial" w:eastAsia="Arial Unicode MS" w:hAnsi="Arial" w:cs="David"/>
                <w:snapToGrid w:val="0"/>
                <w:color w:val="auto"/>
                <w:spacing w:val="0"/>
                <w:sz w:val="20"/>
                <w:szCs w:val="26"/>
                <w:rtl/>
                <w:lang w:eastAsia="en-US"/>
              </w:rPr>
              <w:t>אחרי סעיף 17 לחוק העיקרי יבוא:</w:t>
            </w:r>
          </w:p>
        </w:tc>
      </w:tr>
      <w:tr w:rsidR="00821337" w:rsidRPr="002B263E" w14:paraId="0D5CDBC5" w14:textId="77777777" w:rsidTr="00C67E24">
        <w:trPr>
          <w:cantSplit/>
        </w:trPr>
        <w:tc>
          <w:tcPr>
            <w:tcW w:w="1870" w:type="dxa"/>
          </w:tcPr>
          <w:p w14:paraId="5DC7CDDF"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5" w:type="dxa"/>
          </w:tcPr>
          <w:p w14:paraId="5531D347"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7142" w:type="dxa"/>
            <w:gridSpan w:val="6"/>
            <w:hideMark/>
          </w:tcPr>
          <w:p w14:paraId="738340E1"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jc w:val="center"/>
              <w:textAlignment w:val="auto"/>
              <w:rPr>
                <w:rFonts w:ascii="Arial" w:eastAsia="Arial Unicode MS" w:hAnsi="Arial" w:cs="David"/>
                <w:b/>
                <w:bCs/>
                <w:snapToGrid w:val="0"/>
                <w:color w:val="auto"/>
                <w:spacing w:val="0"/>
                <w:sz w:val="20"/>
                <w:szCs w:val="26"/>
                <w:lang w:eastAsia="en-US"/>
              </w:rPr>
            </w:pPr>
            <w:r w:rsidRPr="002B263E">
              <w:rPr>
                <w:rFonts w:ascii="Arial" w:eastAsia="Arial Unicode MS" w:hAnsi="Arial" w:cs="David"/>
                <w:b/>
                <w:bCs/>
                <w:snapToGrid w:val="0"/>
                <w:color w:val="auto"/>
                <w:spacing w:val="0"/>
                <w:sz w:val="20"/>
                <w:szCs w:val="26"/>
                <w:rtl/>
                <w:lang w:eastAsia="en-US"/>
              </w:rPr>
              <w:t>"סימן ג'1: העלאת דמי השכירות</w:t>
            </w:r>
          </w:p>
        </w:tc>
      </w:tr>
      <w:tr w:rsidR="00821337" w:rsidRPr="002B263E" w14:paraId="617C179C" w14:textId="77777777" w:rsidTr="00C67E24">
        <w:trPr>
          <w:cantSplit/>
        </w:trPr>
        <w:tc>
          <w:tcPr>
            <w:tcW w:w="1870" w:type="dxa"/>
          </w:tcPr>
          <w:p w14:paraId="3E67DAED" w14:textId="77777777" w:rsidR="00821337" w:rsidRPr="002B263E" w:rsidRDefault="00821337" w:rsidP="00C67E24">
            <w:pPr>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5" w:type="dxa"/>
          </w:tcPr>
          <w:p w14:paraId="31467F14" w14:textId="77777777" w:rsidR="00821337" w:rsidRPr="002B263E" w:rsidRDefault="00821337" w:rsidP="00C67E24">
            <w:pPr>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1873" w:type="dxa"/>
            <w:gridSpan w:val="3"/>
            <w:hideMark/>
          </w:tcPr>
          <w:p w14:paraId="7885F8F4"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r w:rsidRPr="002B263E">
              <w:rPr>
                <w:rFonts w:ascii="Arial" w:eastAsia="Arial Unicode MS" w:hAnsi="Arial" w:cs="David"/>
                <w:snapToGrid w:val="0"/>
                <w:color w:val="auto"/>
                <w:spacing w:val="0"/>
                <w:sz w:val="20"/>
                <w:szCs w:val="26"/>
                <w:rtl/>
                <w:lang w:eastAsia="en-US"/>
              </w:rPr>
              <w:t>הגדרות</w:t>
            </w:r>
          </w:p>
        </w:tc>
        <w:tc>
          <w:tcPr>
            <w:tcW w:w="624" w:type="dxa"/>
            <w:hideMark/>
          </w:tcPr>
          <w:p w14:paraId="46ACAEE9"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r w:rsidRPr="002B263E">
              <w:rPr>
                <w:rFonts w:ascii="Arial" w:eastAsia="Arial Unicode MS" w:hAnsi="Arial" w:cs="David"/>
                <w:snapToGrid w:val="0"/>
                <w:color w:val="auto"/>
                <w:spacing w:val="0"/>
                <w:sz w:val="20"/>
                <w:szCs w:val="26"/>
                <w:rtl/>
                <w:lang w:eastAsia="en-US"/>
              </w:rPr>
              <w:t>17א.</w:t>
            </w:r>
          </w:p>
        </w:tc>
        <w:tc>
          <w:tcPr>
            <w:tcW w:w="4645" w:type="dxa"/>
            <w:gridSpan w:val="2"/>
            <w:hideMark/>
          </w:tcPr>
          <w:p w14:paraId="69BF0DAA" w14:textId="77777777" w:rsidR="00821337" w:rsidRPr="002B263E" w:rsidRDefault="00821337" w:rsidP="00C67E24">
            <w:pPr>
              <w:keepLines/>
              <w:tabs>
                <w:tab w:val="left" w:pos="624"/>
                <w:tab w:val="left" w:pos="1247"/>
              </w:tabs>
              <w:autoSpaceDE/>
              <w:autoSpaceDN/>
              <w:adjustRightInd/>
              <w:snapToGrid w:val="0"/>
              <w:spacing w:before="0" w:line="360" w:lineRule="auto"/>
              <w:ind w:left="624" w:hanging="624"/>
              <w:contextualSpacing/>
              <w:textAlignment w:val="auto"/>
              <w:rPr>
                <w:rFonts w:ascii="Arial" w:eastAsia="Arial Unicode MS" w:hAnsi="Arial" w:cs="David"/>
                <w:snapToGrid w:val="0"/>
                <w:color w:val="auto"/>
                <w:spacing w:val="0"/>
                <w:sz w:val="20"/>
                <w:szCs w:val="26"/>
                <w:lang w:eastAsia="en-US"/>
              </w:rPr>
            </w:pPr>
            <w:r w:rsidRPr="002B263E">
              <w:rPr>
                <w:rFonts w:ascii="Arial" w:eastAsia="Arial Unicode MS" w:hAnsi="Arial" w:cs="David"/>
                <w:snapToGrid w:val="0"/>
                <w:color w:val="auto"/>
                <w:spacing w:val="0"/>
                <w:sz w:val="20"/>
                <w:szCs w:val="26"/>
                <w:rtl/>
                <w:lang w:eastAsia="en-US"/>
              </w:rPr>
              <w:t>בסימן זה –</w:t>
            </w:r>
          </w:p>
        </w:tc>
      </w:tr>
      <w:tr w:rsidR="00821337" w:rsidRPr="002B263E" w14:paraId="4D38BCED" w14:textId="77777777" w:rsidTr="00C67E24">
        <w:trPr>
          <w:cantSplit/>
        </w:trPr>
        <w:tc>
          <w:tcPr>
            <w:tcW w:w="1870" w:type="dxa"/>
          </w:tcPr>
          <w:p w14:paraId="70A2A83E"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5" w:type="dxa"/>
          </w:tcPr>
          <w:p w14:paraId="2B1D33EF"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5" w:type="dxa"/>
          </w:tcPr>
          <w:p w14:paraId="1A5E1066"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25A7D1DA"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322A65E6"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1F93E9E5"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4645" w:type="dxa"/>
            <w:gridSpan w:val="2"/>
            <w:hideMark/>
          </w:tcPr>
          <w:p w14:paraId="0880B8A8" w14:textId="77777777" w:rsidR="00821337" w:rsidRPr="002B263E" w:rsidRDefault="00821337" w:rsidP="00C67E24">
            <w:pPr>
              <w:keepLines/>
              <w:tabs>
                <w:tab w:val="left" w:pos="624"/>
                <w:tab w:val="left" w:pos="1247"/>
              </w:tabs>
              <w:autoSpaceDE/>
              <w:autoSpaceDN/>
              <w:adjustRightInd/>
              <w:snapToGrid w:val="0"/>
              <w:spacing w:before="0" w:line="360" w:lineRule="auto"/>
              <w:ind w:left="624" w:hanging="624"/>
              <w:contextualSpacing/>
              <w:textAlignment w:val="auto"/>
              <w:rPr>
                <w:rFonts w:ascii="Arial" w:eastAsia="Arial Unicode MS" w:hAnsi="Arial" w:cs="David"/>
                <w:snapToGrid w:val="0"/>
                <w:color w:val="auto"/>
                <w:spacing w:val="0"/>
                <w:sz w:val="20"/>
                <w:szCs w:val="26"/>
                <w:lang w:eastAsia="en-US"/>
              </w:rPr>
            </w:pPr>
            <w:r w:rsidRPr="002B263E">
              <w:rPr>
                <w:rFonts w:ascii="Arial" w:eastAsia="Arial Unicode MS" w:hAnsi="Arial" w:cs="David"/>
                <w:snapToGrid w:val="0"/>
                <w:color w:val="auto"/>
                <w:spacing w:val="0"/>
                <w:sz w:val="20"/>
                <w:szCs w:val="26"/>
                <w:rtl/>
                <w:lang w:eastAsia="en-US"/>
              </w:rPr>
              <w:t>"דירה" – מושכר שלפי תנאי השכירות משמש למגורים;</w:t>
            </w:r>
          </w:p>
        </w:tc>
      </w:tr>
      <w:tr w:rsidR="00821337" w:rsidRPr="002B263E" w14:paraId="61A04B9F" w14:textId="77777777" w:rsidTr="00C67E24">
        <w:trPr>
          <w:cantSplit/>
        </w:trPr>
        <w:tc>
          <w:tcPr>
            <w:tcW w:w="1870" w:type="dxa"/>
          </w:tcPr>
          <w:p w14:paraId="14B4BD45"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5" w:type="dxa"/>
          </w:tcPr>
          <w:p w14:paraId="74CDCC7E"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5" w:type="dxa"/>
          </w:tcPr>
          <w:p w14:paraId="162AE21B"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0630E1AE"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1C4E88B6"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0BDF5FF3"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4645" w:type="dxa"/>
            <w:gridSpan w:val="2"/>
            <w:hideMark/>
          </w:tcPr>
          <w:p w14:paraId="137098BD" w14:textId="77777777" w:rsidR="00821337" w:rsidRPr="002B263E" w:rsidRDefault="00821337" w:rsidP="00C67E24">
            <w:pPr>
              <w:keepLines/>
              <w:tabs>
                <w:tab w:val="left" w:pos="624"/>
                <w:tab w:val="left" w:pos="1247"/>
              </w:tabs>
              <w:autoSpaceDE/>
              <w:autoSpaceDN/>
              <w:adjustRightInd/>
              <w:snapToGrid w:val="0"/>
              <w:spacing w:before="0" w:line="360" w:lineRule="auto"/>
              <w:ind w:left="624" w:hanging="624"/>
              <w:contextualSpacing/>
              <w:textAlignment w:val="auto"/>
              <w:rPr>
                <w:rFonts w:ascii="Arial" w:eastAsia="Arial Unicode MS" w:hAnsi="Arial" w:cs="David"/>
                <w:snapToGrid w:val="0"/>
                <w:color w:val="auto"/>
                <w:spacing w:val="0"/>
                <w:sz w:val="20"/>
                <w:szCs w:val="26"/>
                <w:lang w:eastAsia="en-US"/>
              </w:rPr>
            </w:pPr>
            <w:r w:rsidRPr="002B263E">
              <w:rPr>
                <w:rFonts w:ascii="Arial" w:eastAsia="Arial Unicode MS" w:hAnsi="Arial" w:cs="David"/>
                <w:snapToGrid w:val="0"/>
                <w:color w:val="auto"/>
                <w:spacing w:val="0"/>
                <w:sz w:val="20"/>
                <w:szCs w:val="26"/>
                <w:rtl/>
                <w:lang w:eastAsia="en-US"/>
              </w:rPr>
              <w:t>"מדד" – מדד המחירים לצרכן שמפרסמת הלשכה המרכזית לסטטיסטיקה;</w:t>
            </w:r>
          </w:p>
        </w:tc>
      </w:tr>
      <w:tr w:rsidR="00821337" w:rsidRPr="002B263E" w14:paraId="00BED3EC" w14:textId="77777777" w:rsidTr="00C67E24">
        <w:trPr>
          <w:cantSplit/>
        </w:trPr>
        <w:tc>
          <w:tcPr>
            <w:tcW w:w="1870" w:type="dxa"/>
          </w:tcPr>
          <w:p w14:paraId="5D81FF1B"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5" w:type="dxa"/>
          </w:tcPr>
          <w:p w14:paraId="5F24A1AC"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5" w:type="dxa"/>
          </w:tcPr>
          <w:p w14:paraId="1B5B2EC9"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141E8CB2"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73083A90"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1DBBA578"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4645" w:type="dxa"/>
            <w:gridSpan w:val="2"/>
            <w:hideMark/>
          </w:tcPr>
          <w:p w14:paraId="42C7A983" w14:textId="77777777" w:rsidR="00821337" w:rsidRPr="002B263E" w:rsidRDefault="00821337" w:rsidP="00C67E24">
            <w:pPr>
              <w:keepLines/>
              <w:tabs>
                <w:tab w:val="left" w:pos="624"/>
                <w:tab w:val="left" w:pos="1247"/>
              </w:tabs>
              <w:autoSpaceDE/>
              <w:autoSpaceDN/>
              <w:adjustRightInd/>
              <w:snapToGrid w:val="0"/>
              <w:spacing w:before="0" w:line="360" w:lineRule="auto"/>
              <w:ind w:left="624" w:hanging="624"/>
              <w:contextualSpacing/>
              <w:textAlignment w:val="auto"/>
              <w:rPr>
                <w:rFonts w:ascii="Arial" w:eastAsia="Arial Unicode MS" w:hAnsi="Arial" w:cs="David"/>
                <w:snapToGrid w:val="0"/>
                <w:color w:val="auto"/>
                <w:spacing w:val="0"/>
                <w:sz w:val="20"/>
                <w:szCs w:val="26"/>
                <w:lang w:eastAsia="en-US"/>
              </w:rPr>
            </w:pPr>
            <w:r w:rsidRPr="002B263E">
              <w:rPr>
                <w:rFonts w:ascii="Arial" w:eastAsia="Arial Unicode MS" w:hAnsi="Arial" w:cs="David"/>
                <w:snapToGrid w:val="0"/>
                <w:color w:val="auto"/>
                <w:spacing w:val="0"/>
                <w:sz w:val="20"/>
                <w:szCs w:val="26"/>
                <w:rtl/>
                <w:lang w:eastAsia="en-US"/>
              </w:rPr>
              <w:t>"השר" – שר הבינוי והשיכון.</w:t>
            </w:r>
          </w:p>
        </w:tc>
      </w:tr>
      <w:tr w:rsidR="00821337" w:rsidRPr="002B263E" w14:paraId="2B1B8F07" w14:textId="77777777" w:rsidTr="00C67E24">
        <w:trPr>
          <w:cantSplit/>
        </w:trPr>
        <w:tc>
          <w:tcPr>
            <w:tcW w:w="1870" w:type="dxa"/>
          </w:tcPr>
          <w:p w14:paraId="33D4A33B" w14:textId="77777777" w:rsidR="00821337" w:rsidRPr="002B263E" w:rsidRDefault="00821337" w:rsidP="00C67E24">
            <w:pPr>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5" w:type="dxa"/>
          </w:tcPr>
          <w:p w14:paraId="7F86E57F" w14:textId="77777777" w:rsidR="00821337" w:rsidRPr="002B263E" w:rsidRDefault="00821337" w:rsidP="00C67E24">
            <w:pPr>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1873" w:type="dxa"/>
            <w:gridSpan w:val="3"/>
            <w:hideMark/>
          </w:tcPr>
          <w:p w14:paraId="751F4763"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r w:rsidRPr="002B263E">
              <w:rPr>
                <w:rFonts w:ascii="Arial" w:eastAsia="Arial Unicode MS" w:hAnsi="Arial" w:cs="David"/>
                <w:snapToGrid w:val="0"/>
                <w:color w:val="auto"/>
                <w:spacing w:val="0"/>
                <w:sz w:val="20"/>
                <w:szCs w:val="26"/>
                <w:rtl/>
                <w:lang w:eastAsia="en-US"/>
              </w:rPr>
              <w:t>העלאת דמי שכירות</w:t>
            </w:r>
          </w:p>
        </w:tc>
        <w:tc>
          <w:tcPr>
            <w:tcW w:w="624" w:type="dxa"/>
            <w:hideMark/>
          </w:tcPr>
          <w:p w14:paraId="4C028824"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r w:rsidRPr="002B263E">
              <w:rPr>
                <w:rFonts w:ascii="Arial" w:eastAsia="Arial Unicode MS" w:hAnsi="Arial" w:cs="David"/>
                <w:snapToGrid w:val="0"/>
                <w:color w:val="auto"/>
                <w:spacing w:val="0"/>
                <w:sz w:val="20"/>
                <w:szCs w:val="26"/>
                <w:rtl/>
                <w:lang w:eastAsia="en-US"/>
              </w:rPr>
              <w:t>17ב.</w:t>
            </w:r>
          </w:p>
        </w:tc>
        <w:tc>
          <w:tcPr>
            <w:tcW w:w="4645" w:type="dxa"/>
            <w:gridSpan w:val="2"/>
            <w:hideMark/>
          </w:tcPr>
          <w:p w14:paraId="182DAB91"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r w:rsidRPr="002B263E">
              <w:rPr>
                <w:rFonts w:ascii="Arial" w:eastAsia="Arial Unicode MS" w:hAnsi="Arial" w:cs="David"/>
                <w:snapToGrid w:val="0"/>
                <w:color w:val="auto"/>
                <w:spacing w:val="0"/>
                <w:sz w:val="20"/>
                <w:szCs w:val="26"/>
                <w:rtl/>
                <w:lang w:eastAsia="en-US"/>
              </w:rPr>
              <w:t>משכיר לא יעלה את דמי השכירות של דירה אלא בכפוף להוראות סימן זה.</w:t>
            </w:r>
          </w:p>
        </w:tc>
      </w:tr>
      <w:tr w:rsidR="00821337" w:rsidRPr="002B263E" w14:paraId="327D44FE" w14:textId="77777777" w:rsidTr="00C67E24">
        <w:trPr>
          <w:cantSplit/>
        </w:trPr>
        <w:tc>
          <w:tcPr>
            <w:tcW w:w="1870" w:type="dxa"/>
          </w:tcPr>
          <w:p w14:paraId="5B4ABF9B" w14:textId="77777777" w:rsidR="00821337" w:rsidRPr="002B263E" w:rsidRDefault="00821337" w:rsidP="00C67E24">
            <w:pPr>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Guttman Yad-Brush"/>
                <w:snapToGrid w:val="0"/>
                <w:color w:val="auto"/>
                <w:spacing w:val="0"/>
                <w:sz w:val="20"/>
                <w:szCs w:val="26"/>
                <w:lang w:eastAsia="en-US"/>
              </w:rPr>
            </w:pPr>
          </w:p>
        </w:tc>
        <w:tc>
          <w:tcPr>
            <w:tcW w:w="625" w:type="dxa"/>
          </w:tcPr>
          <w:p w14:paraId="5DA582C3" w14:textId="77777777" w:rsidR="00821337" w:rsidRPr="002B263E" w:rsidRDefault="00821337" w:rsidP="00C67E24">
            <w:pPr>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1873" w:type="dxa"/>
            <w:gridSpan w:val="3"/>
            <w:hideMark/>
          </w:tcPr>
          <w:p w14:paraId="31964A6F"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r w:rsidRPr="002B263E">
              <w:rPr>
                <w:rFonts w:ascii="Arial" w:eastAsia="Arial Unicode MS" w:hAnsi="Arial" w:cs="David"/>
                <w:snapToGrid w:val="0"/>
                <w:color w:val="auto"/>
                <w:spacing w:val="0"/>
                <w:sz w:val="20"/>
                <w:szCs w:val="26"/>
                <w:rtl/>
                <w:lang w:eastAsia="en-US"/>
              </w:rPr>
              <w:t>מועד העלאת דמי שכירות</w:t>
            </w:r>
          </w:p>
        </w:tc>
        <w:tc>
          <w:tcPr>
            <w:tcW w:w="624" w:type="dxa"/>
            <w:hideMark/>
          </w:tcPr>
          <w:p w14:paraId="6DB244C3"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r w:rsidRPr="002B263E">
              <w:rPr>
                <w:rFonts w:ascii="Arial" w:eastAsia="Arial Unicode MS" w:hAnsi="Arial" w:cs="David"/>
                <w:snapToGrid w:val="0"/>
                <w:color w:val="auto"/>
                <w:spacing w:val="0"/>
                <w:sz w:val="20"/>
                <w:szCs w:val="26"/>
                <w:rtl/>
                <w:lang w:eastAsia="en-US"/>
              </w:rPr>
              <w:t>17ג.</w:t>
            </w:r>
          </w:p>
        </w:tc>
        <w:tc>
          <w:tcPr>
            <w:tcW w:w="4645" w:type="dxa"/>
            <w:gridSpan w:val="2"/>
            <w:hideMark/>
          </w:tcPr>
          <w:p w14:paraId="6B04CEC5"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r w:rsidRPr="002B263E">
              <w:rPr>
                <w:rFonts w:ascii="Arial" w:eastAsia="Arial Unicode MS" w:hAnsi="Arial" w:cs="David"/>
                <w:snapToGrid w:val="0"/>
                <w:color w:val="auto"/>
                <w:spacing w:val="0"/>
                <w:sz w:val="20"/>
                <w:szCs w:val="26"/>
                <w:rtl/>
                <w:lang w:eastAsia="en-US"/>
              </w:rPr>
              <w:t>משכיר לא יעלה את דמי השכירות של דירה אלא בתום תקופת השכירות, אלא אם כן הוסכם אחרת בחוזה, ובלבד שדמי השכירות לא יועלו בטרם חלפה שנה מתחילת התקופה שבעדה על השוכר לשלם דמי שכירות.</w:t>
            </w:r>
          </w:p>
        </w:tc>
      </w:tr>
      <w:tr w:rsidR="00821337" w:rsidRPr="002B263E" w14:paraId="3DBC2270" w14:textId="77777777" w:rsidTr="00C67E24">
        <w:trPr>
          <w:cantSplit/>
        </w:trPr>
        <w:tc>
          <w:tcPr>
            <w:tcW w:w="1870" w:type="dxa"/>
          </w:tcPr>
          <w:p w14:paraId="0ACC8DA2" w14:textId="77777777" w:rsidR="00821337" w:rsidRPr="002B263E" w:rsidRDefault="00821337" w:rsidP="00C67E24">
            <w:pPr>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5" w:type="dxa"/>
          </w:tcPr>
          <w:p w14:paraId="64622CA8" w14:textId="77777777" w:rsidR="00821337" w:rsidRPr="002B263E" w:rsidRDefault="00821337" w:rsidP="00C67E24">
            <w:pPr>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1873" w:type="dxa"/>
            <w:gridSpan w:val="3"/>
            <w:hideMark/>
          </w:tcPr>
          <w:p w14:paraId="25581AB3"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r w:rsidRPr="002B263E">
              <w:rPr>
                <w:rFonts w:ascii="Arial" w:eastAsia="Arial Unicode MS" w:hAnsi="Arial" w:cs="David"/>
                <w:snapToGrid w:val="0"/>
                <w:color w:val="auto"/>
                <w:spacing w:val="0"/>
                <w:sz w:val="20"/>
                <w:szCs w:val="26"/>
                <w:rtl/>
                <w:lang w:eastAsia="en-US"/>
              </w:rPr>
              <w:t>שיעור העלאת דמי שכירות</w:t>
            </w:r>
          </w:p>
        </w:tc>
        <w:tc>
          <w:tcPr>
            <w:tcW w:w="624" w:type="dxa"/>
            <w:hideMark/>
          </w:tcPr>
          <w:p w14:paraId="40050D8F"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r w:rsidRPr="002B263E">
              <w:rPr>
                <w:rFonts w:ascii="Arial" w:eastAsia="Arial Unicode MS" w:hAnsi="Arial" w:cs="David"/>
                <w:snapToGrid w:val="0"/>
                <w:color w:val="auto"/>
                <w:spacing w:val="0"/>
                <w:sz w:val="20"/>
                <w:szCs w:val="26"/>
                <w:rtl/>
                <w:lang w:eastAsia="en-US"/>
              </w:rPr>
              <w:t>17ד.</w:t>
            </w:r>
          </w:p>
        </w:tc>
        <w:tc>
          <w:tcPr>
            <w:tcW w:w="4645" w:type="dxa"/>
            <w:gridSpan w:val="2"/>
            <w:hideMark/>
          </w:tcPr>
          <w:p w14:paraId="1CE5FA32"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r w:rsidRPr="002B263E">
              <w:rPr>
                <w:rFonts w:ascii="Arial" w:eastAsia="Arial Unicode MS" w:hAnsi="Arial" w:cs="David"/>
                <w:snapToGrid w:val="0"/>
                <w:color w:val="auto"/>
                <w:spacing w:val="0"/>
                <w:sz w:val="20"/>
                <w:szCs w:val="26"/>
                <w:rtl/>
                <w:lang w:eastAsia="en-US"/>
              </w:rPr>
              <w:t>(א)</w:t>
            </w:r>
            <w:r w:rsidRPr="002B263E">
              <w:rPr>
                <w:rFonts w:ascii="Arial" w:eastAsia="Arial Unicode MS" w:hAnsi="Arial" w:cs="David"/>
                <w:snapToGrid w:val="0"/>
                <w:color w:val="auto"/>
                <w:spacing w:val="0"/>
                <w:sz w:val="20"/>
                <w:szCs w:val="26"/>
                <w:rtl/>
                <w:lang w:eastAsia="en-US"/>
              </w:rPr>
              <w:tab/>
              <w:t xml:space="preserve">משכיר רשאי להעלות את דמי השכירות במועדים שעל פי סעיף 17ג בשיעור שלא יעלה על – </w:t>
            </w:r>
          </w:p>
        </w:tc>
      </w:tr>
      <w:tr w:rsidR="00821337" w:rsidRPr="002B263E" w14:paraId="5F957D3D" w14:textId="77777777" w:rsidTr="00C67E24">
        <w:trPr>
          <w:cantSplit/>
        </w:trPr>
        <w:tc>
          <w:tcPr>
            <w:tcW w:w="1870" w:type="dxa"/>
          </w:tcPr>
          <w:p w14:paraId="7581E718"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5" w:type="dxa"/>
          </w:tcPr>
          <w:p w14:paraId="138B7DB4"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5" w:type="dxa"/>
          </w:tcPr>
          <w:p w14:paraId="69623123"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7704083E"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70BD2E61"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24A922D2"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07A99534"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4021" w:type="dxa"/>
            <w:hideMark/>
          </w:tcPr>
          <w:p w14:paraId="0FCDA73D"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r w:rsidRPr="002B263E">
              <w:rPr>
                <w:rFonts w:ascii="Arial" w:eastAsia="Arial Unicode MS" w:hAnsi="Arial" w:cs="David"/>
                <w:snapToGrid w:val="0"/>
                <w:color w:val="auto"/>
                <w:spacing w:val="0"/>
                <w:sz w:val="20"/>
                <w:szCs w:val="26"/>
                <w:rtl/>
                <w:lang w:eastAsia="en-US"/>
              </w:rPr>
              <w:t>(1)</w:t>
            </w:r>
            <w:r w:rsidRPr="002B263E">
              <w:rPr>
                <w:rFonts w:ascii="Arial" w:eastAsia="Arial Unicode MS" w:hAnsi="Arial" w:cs="David"/>
                <w:snapToGrid w:val="0"/>
                <w:color w:val="auto"/>
                <w:spacing w:val="0"/>
                <w:sz w:val="20"/>
                <w:szCs w:val="26"/>
                <w:rtl/>
                <w:lang w:eastAsia="en-US"/>
              </w:rPr>
              <w:tab/>
              <w:t>שיעור עליית המדד, מן המדד האחרון שלפני המועד האמור בסעיף 17ג, עד המדד האחרון שלפני מועד העלאת דמי השכירות, בתוספת 5%;</w:t>
            </w:r>
          </w:p>
        </w:tc>
      </w:tr>
      <w:tr w:rsidR="00821337" w:rsidRPr="002B263E" w14:paraId="5A65CDED" w14:textId="77777777" w:rsidTr="00C67E24">
        <w:trPr>
          <w:cantSplit/>
        </w:trPr>
        <w:tc>
          <w:tcPr>
            <w:tcW w:w="1870" w:type="dxa"/>
          </w:tcPr>
          <w:p w14:paraId="04F28234"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5" w:type="dxa"/>
          </w:tcPr>
          <w:p w14:paraId="6679ADB9"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5" w:type="dxa"/>
          </w:tcPr>
          <w:p w14:paraId="650A922F"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6196F834"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77BCC8A4"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206A2F0B"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249B8F64"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4021" w:type="dxa"/>
            <w:hideMark/>
          </w:tcPr>
          <w:p w14:paraId="7ED8B35C"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r w:rsidRPr="002B263E">
              <w:rPr>
                <w:rFonts w:ascii="Arial" w:eastAsia="Arial Unicode MS" w:hAnsi="Arial" w:cs="David"/>
                <w:snapToGrid w:val="0"/>
                <w:color w:val="auto"/>
                <w:spacing w:val="0"/>
                <w:sz w:val="20"/>
                <w:szCs w:val="26"/>
                <w:rtl/>
                <w:lang w:eastAsia="en-US"/>
              </w:rPr>
              <w:t>(2)</w:t>
            </w:r>
            <w:r w:rsidRPr="002B263E">
              <w:rPr>
                <w:rFonts w:ascii="Arial" w:eastAsia="Arial Unicode MS" w:hAnsi="Arial" w:cs="David"/>
                <w:snapToGrid w:val="0"/>
                <w:color w:val="auto"/>
                <w:spacing w:val="0"/>
                <w:sz w:val="20"/>
                <w:szCs w:val="26"/>
                <w:rtl/>
                <w:lang w:eastAsia="en-US"/>
              </w:rPr>
              <w:tab/>
              <w:t>שיעור הגבוה מהאמור בפסקה (1), כפי שיקבע בית הדין, כהגדרתו בחוק הגנת הדייר [נוסח משולב] התשל"ב–1972</w:t>
            </w:r>
            <w:r w:rsidRPr="002B263E">
              <w:rPr>
                <w:rFonts w:ascii="David" w:eastAsia="Arial Unicode MS" w:hAnsi="David" w:cs="David"/>
                <w:snapToGrid w:val="0"/>
                <w:color w:val="auto"/>
                <w:spacing w:val="0"/>
                <w:sz w:val="26"/>
                <w:szCs w:val="26"/>
                <w:vertAlign w:val="superscript"/>
                <w:rtl/>
                <w:lang w:eastAsia="en-US"/>
              </w:rPr>
              <w:footnoteReference w:id="3"/>
            </w:r>
            <w:r w:rsidRPr="002B263E">
              <w:rPr>
                <w:rFonts w:ascii="Arial" w:eastAsia="Arial Unicode MS" w:hAnsi="Arial" w:cs="David"/>
                <w:snapToGrid w:val="0"/>
                <w:color w:val="auto"/>
                <w:spacing w:val="0"/>
                <w:sz w:val="20"/>
                <w:szCs w:val="26"/>
                <w:rtl/>
                <w:lang w:eastAsia="en-US"/>
              </w:rPr>
              <w:t>, לפי בקשה שהגיש המשכיר.</w:t>
            </w:r>
          </w:p>
        </w:tc>
      </w:tr>
      <w:tr w:rsidR="00821337" w:rsidRPr="002B263E" w14:paraId="75B9553F" w14:textId="77777777" w:rsidTr="00C67E24">
        <w:trPr>
          <w:cantSplit/>
        </w:trPr>
        <w:tc>
          <w:tcPr>
            <w:tcW w:w="1870" w:type="dxa"/>
          </w:tcPr>
          <w:p w14:paraId="0E99E088"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5" w:type="dxa"/>
          </w:tcPr>
          <w:p w14:paraId="4047764E"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5" w:type="dxa"/>
          </w:tcPr>
          <w:p w14:paraId="10927152"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5D12083E"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17D307DF"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15E1A538"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4645" w:type="dxa"/>
            <w:gridSpan w:val="2"/>
            <w:hideMark/>
          </w:tcPr>
          <w:p w14:paraId="0C8C1975"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r w:rsidRPr="002B263E">
              <w:rPr>
                <w:rFonts w:ascii="Arial" w:eastAsia="Arial Unicode MS" w:hAnsi="Arial" w:cs="David"/>
                <w:snapToGrid w:val="0"/>
                <w:color w:val="auto"/>
                <w:spacing w:val="0"/>
                <w:sz w:val="20"/>
                <w:szCs w:val="26"/>
                <w:rtl/>
                <w:lang w:eastAsia="en-US"/>
              </w:rPr>
              <w:t>(ב)</w:t>
            </w:r>
            <w:r w:rsidRPr="002B263E">
              <w:rPr>
                <w:rFonts w:ascii="Arial" w:eastAsia="Arial Unicode MS" w:hAnsi="Arial" w:cs="David"/>
                <w:snapToGrid w:val="0"/>
                <w:color w:val="auto"/>
                <w:spacing w:val="0"/>
                <w:sz w:val="20"/>
                <w:szCs w:val="26"/>
                <w:rtl/>
                <w:lang w:eastAsia="en-US"/>
              </w:rPr>
              <w:tab/>
              <w:t>השר יקבע נסיבות שבהן יהיה רשאי משכיר להגיש בקשה לבית הדין להעלאת דמי השכירות כאמור בסעיף קטן (א)(2).</w:t>
            </w:r>
          </w:p>
        </w:tc>
      </w:tr>
      <w:tr w:rsidR="00821337" w:rsidRPr="002B263E" w14:paraId="1DEB54B7" w14:textId="77777777" w:rsidTr="00C67E24">
        <w:trPr>
          <w:cantSplit/>
        </w:trPr>
        <w:tc>
          <w:tcPr>
            <w:tcW w:w="1870" w:type="dxa"/>
          </w:tcPr>
          <w:p w14:paraId="6208577B" w14:textId="77777777" w:rsidR="00821337" w:rsidRPr="002B263E" w:rsidRDefault="00821337" w:rsidP="00C67E24">
            <w:pPr>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5" w:type="dxa"/>
          </w:tcPr>
          <w:p w14:paraId="751104CA" w14:textId="77777777" w:rsidR="00821337" w:rsidRPr="002B263E" w:rsidRDefault="00821337" w:rsidP="00C67E24">
            <w:pPr>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1873" w:type="dxa"/>
            <w:gridSpan w:val="3"/>
            <w:hideMark/>
          </w:tcPr>
          <w:p w14:paraId="28F1A3EF"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r w:rsidRPr="002B263E">
              <w:rPr>
                <w:rFonts w:ascii="Arial" w:eastAsia="Arial Unicode MS" w:hAnsi="Arial" w:cs="David"/>
                <w:snapToGrid w:val="0"/>
                <w:color w:val="auto"/>
                <w:spacing w:val="0"/>
                <w:sz w:val="20"/>
                <w:szCs w:val="26"/>
                <w:rtl/>
                <w:lang w:eastAsia="en-US"/>
              </w:rPr>
              <w:t>דין דמי שכירות העולים על המותר</w:t>
            </w:r>
          </w:p>
        </w:tc>
        <w:tc>
          <w:tcPr>
            <w:tcW w:w="624" w:type="dxa"/>
            <w:hideMark/>
          </w:tcPr>
          <w:p w14:paraId="592AC6B0"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r w:rsidRPr="002B263E">
              <w:rPr>
                <w:rFonts w:ascii="Arial" w:eastAsia="Arial Unicode MS" w:hAnsi="Arial" w:cs="David"/>
                <w:snapToGrid w:val="0"/>
                <w:color w:val="auto"/>
                <w:spacing w:val="0"/>
                <w:sz w:val="20"/>
                <w:szCs w:val="26"/>
                <w:rtl/>
                <w:lang w:eastAsia="en-US"/>
              </w:rPr>
              <w:t>17ה.</w:t>
            </w:r>
          </w:p>
        </w:tc>
        <w:tc>
          <w:tcPr>
            <w:tcW w:w="4645" w:type="dxa"/>
            <w:gridSpan w:val="2"/>
            <w:hideMark/>
          </w:tcPr>
          <w:p w14:paraId="591536FC" w14:textId="77777777" w:rsidR="00821337" w:rsidRPr="002B263E" w:rsidRDefault="00821337" w:rsidP="00C67E24">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r w:rsidRPr="002B263E">
              <w:rPr>
                <w:rFonts w:ascii="Arial" w:eastAsia="Arial Unicode MS" w:hAnsi="Arial" w:cs="David"/>
                <w:snapToGrid w:val="0"/>
                <w:color w:val="auto"/>
                <w:spacing w:val="0"/>
                <w:sz w:val="20"/>
                <w:szCs w:val="26"/>
                <w:rtl/>
                <w:lang w:eastAsia="en-US"/>
              </w:rPr>
              <w:t>הועלו דמי השכירות של דירה בסכום או בשיעור גבוה מהמותר לפי הוראות סעיף 17ד (בסעיף זה – סכום עודף), לא יהיה המשכיר רשאי לקבל את הסכום העודף, על אף כל הסכם, ואם שילם השוכר סכום עודף הוא יהיה זכאי לקבלו מהמשכיר תוך שישה חדשים מיום התשלום, לרבות בדרך של ניכוי מדמי שכירות המגיעים למשכיר או בכל דרך אחרת."</w:t>
            </w:r>
          </w:p>
        </w:tc>
      </w:tr>
    </w:tbl>
    <w:p w14:paraId="7F6961CA" w14:textId="77777777" w:rsidR="002D1EE3" w:rsidRDefault="002D1EE3" w:rsidP="004E472A">
      <w:pPr>
        <w:pStyle w:val="HeadDivreiHesber"/>
        <w:spacing w:line="240" w:lineRule="auto"/>
        <w:rPr>
          <w:rtl/>
        </w:rPr>
      </w:pPr>
      <w:r w:rsidRPr="0027450A">
        <w:rPr>
          <w:rFonts w:hint="cs"/>
          <w:rtl/>
        </w:rPr>
        <w:t>דברי הסבר</w:t>
      </w:r>
    </w:p>
    <w:p w14:paraId="1E531FEC" w14:textId="77777777" w:rsidR="00821337" w:rsidRPr="00AC313F" w:rsidRDefault="00821337" w:rsidP="004E472A">
      <w:pPr>
        <w:pStyle w:val="Hesber"/>
        <w:spacing w:line="240" w:lineRule="auto"/>
        <w:rPr>
          <w:rtl/>
        </w:rPr>
      </w:pPr>
      <w:r w:rsidRPr="00AC313F">
        <w:rPr>
          <w:rtl/>
        </w:rPr>
        <w:t>בשנים האחרונות אנו עדים לעלייה משמעותית ומתמשכת במחירי השכירות ברחבי הארץ. עליות דמי השכירות פוגעות במיוחד באוכלוסיות החלשות והלא מבוססות: עולים, פנסיונרים, משפחות חד-הוריות, סטודנטים וצעירים. אוכלוסיות אלו לרוב אינן נהנות מהכנסה גבוהה וחלק משמעותי מהכנסתן משמש לכיסוי הוצאות הדיור. על רקע התייקרות המחייה בישראל, אוכלוסיות אלו מוצאות את עצמן נאבקות תחת נטל דמי השכירות העולים משנה לשנה, ללא אופק לשיפור מצבן הכלכלי או ביסוסו.</w:t>
      </w:r>
    </w:p>
    <w:p w14:paraId="244F8093" w14:textId="2B07052B" w:rsidR="00AC313F" w:rsidRDefault="00821337" w:rsidP="004E472A">
      <w:pPr>
        <w:pStyle w:val="Hesber"/>
        <w:spacing w:line="240" w:lineRule="auto"/>
        <w:rPr>
          <w:rtl/>
        </w:rPr>
      </w:pPr>
      <w:r w:rsidRPr="00AC313F">
        <w:rPr>
          <w:rtl/>
        </w:rPr>
        <w:t>מטרת השינויים המוצעים לעיל הי</w:t>
      </w:r>
      <w:r w:rsidRPr="00AC313F">
        <w:rPr>
          <w:rFonts w:hint="cs"/>
          <w:rtl/>
        </w:rPr>
        <w:t>א</w:t>
      </w:r>
      <w:r w:rsidRPr="00AC313F">
        <w:rPr>
          <w:rtl/>
        </w:rPr>
        <w:t xml:space="preserve"> הקלת נטל השכירות מעל כתפיהן של אוכלוסיות אלו. חקיקה דומה המגבילה את השכירות בדירות מושכרות קיימת במדינות רבות בעולם ובמדינות המערביות בפרט. מנגנון הפיקוח המוצע כאן דומה באופיו למנגנון הקנדי, אשר נחשב ליעיל ומוצלח. </w:t>
      </w:r>
    </w:p>
    <w:p w14:paraId="52E7A4C0" w14:textId="0F275DF0" w:rsidR="00AC313F" w:rsidRDefault="00AC313F" w:rsidP="004E472A">
      <w:pPr>
        <w:pStyle w:val="Hesber"/>
        <w:spacing w:line="240" w:lineRule="auto"/>
        <w:rPr>
          <w:rtl/>
        </w:rPr>
      </w:pPr>
      <w:r w:rsidRPr="00ED273F">
        <w:rPr>
          <w:rFonts w:hint="cs"/>
          <w:rtl/>
        </w:rPr>
        <w:t xml:space="preserve">הצעות חוק </w:t>
      </w:r>
      <w:r>
        <w:rPr>
          <w:rFonts w:hint="cs"/>
          <w:rtl/>
        </w:rPr>
        <w:t>זהות</w:t>
      </w:r>
      <w:r w:rsidRPr="00ED273F">
        <w:rPr>
          <w:rFonts w:hint="cs"/>
          <w:rtl/>
        </w:rPr>
        <w:t xml:space="preserve"> </w:t>
      </w:r>
      <w:r w:rsidRPr="00ED273F">
        <w:rPr>
          <w:rtl/>
        </w:rPr>
        <w:t>הונחו על שולחן הכנסת העשרים וארבע על ידי חברת הכנסת תמר זנדברג (פ/1025/24)</w:t>
      </w:r>
      <w:r w:rsidRPr="00ED273F">
        <w:rPr>
          <w:rFonts w:hint="cs"/>
          <w:rtl/>
        </w:rPr>
        <w:t xml:space="preserve"> ועל ידי חבר הכנסת איימן עודה וקבוצת חברי הכנסת (פ/3715/24). </w:t>
      </w:r>
    </w:p>
    <w:p w14:paraId="1BA831E8" w14:textId="35FFCFDD" w:rsidR="00AC313F" w:rsidRDefault="00AC313F" w:rsidP="004E472A">
      <w:pPr>
        <w:pStyle w:val="Hesber"/>
        <w:spacing w:line="240" w:lineRule="auto"/>
        <w:rPr>
          <w:rtl/>
        </w:rPr>
      </w:pPr>
      <w:r>
        <w:rPr>
          <w:rFonts w:hint="cs"/>
          <w:rtl/>
        </w:rPr>
        <w:t>הצעת חוק דומות בעיקרן הונחו</w:t>
      </w:r>
      <w:r w:rsidRPr="00ED273F">
        <w:rPr>
          <w:rFonts w:hint="cs"/>
          <w:rtl/>
        </w:rPr>
        <w:t xml:space="preserve"> על שולחן הכנסת העשרים וארבע על ידי חברת הכנסת נעמה לזימי וקבוצת חברי </w:t>
      </w:r>
      <w:r>
        <w:rPr>
          <w:rFonts w:hint="cs"/>
          <w:rtl/>
        </w:rPr>
        <w:t>הכנסת (פ/3951/24) ועל שולחן הכנסת העשרים וחמש על יד</w:t>
      </w:r>
      <w:r w:rsidR="00B27E15">
        <w:rPr>
          <w:rFonts w:hint="cs"/>
          <w:rtl/>
        </w:rPr>
        <w:t>י חבר הכנסת רון כץ (פ/13/25) ועל ידי חברת הכנסת נעמה לזימי (פ/92/25).</w:t>
      </w:r>
    </w:p>
    <w:p w14:paraId="19043EBD" w14:textId="00B8C992" w:rsidR="00AC313F" w:rsidRDefault="00AC313F" w:rsidP="004E472A">
      <w:pPr>
        <w:pStyle w:val="Hesber"/>
        <w:spacing w:line="240" w:lineRule="auto"/>
        <w:rPr>
          <w:rtl/>
        </w:rPr>
      </w:pPr>
      <w:r>
        <w:rPr>
          <w:rFonts w:hint="cs"/>
          <w:rtl/>
        </w:rPr>
        <w:t xml:space="preserve">הצעת החוק זהה לפ/3715/24 ולפיכך לא נבדקה מחדש על ידי הלשכה המשפטית של הכנסת. </w:t>
      </w:r>
    </w:p>
    <w:p w14:paraId="5ACABCCA" w14:textId="77777777" w:rsidR="001215FE" w:rsidRDefault="004E472A" w:rsidP="004E472A">
      <w:pPr>
        <w:spacing w:before="0" w:line="240" w:lineRule="auto"/>
        <w:jc w:val="left"/>
      </w:pPr>
      <w:bookmarkStart w:id="8" w:name="selectedDocDateB"/>
      <w:bookmarkEnd w:id="8"/>
      <w:r>
        <w:rPr>
          <w:rFonts w:ascii="David" w:eastAsia="David" w:hAnsi="David" w:cs="David" w:hint="cs"/>
          <w:sz w:val="26"/>
          <w:szCs w:val="26"/>
          <w:rtl/>
        </w:rPr>
        <w:t>--------------------------------</w:t>
      </w:r>
    </w:p>
    <w:p w14:paraId="2EB97ABC" w14:textId="77777777" w:rsidR="001215FE" w:rsidRDefault="004E472A" w:rsidP="004E472A">
      <w:pPr>
        <w:spacing w:before="0" w:line="240" w:lineRule="auto"/>
        <w:jc w:val="left"/>
      </w:pPr>
      <w:r>
        <w:rPr>
          <w:rFonts w:ascii="David" w:eastAsia="David" w:hAnsi="David" w:cs="David" w:hint="cs"/>
          <w:sz w:val="26"/>
          <w:szCs w:val="26"/>
          <w:rtl/>
        </w:rPr>
        <w:t>הוגשה ליו"ר הכנסת והסגנים</w:t>
      </w:r>
    </w:p>
    <w:p w14:paraId="1CA6409C" w14:textId="77777777" w:rsidR="001215FE" w:rsidRDefault="004E472A" w:rsidP="004E472A">
      <w:pPr>
        <w:spacing w:before="0" w:line="240" w:lineRule="auto"/>
        <w:jc w:val="left"/>
      </w:pPr>
      <w:r>
        <w:rPr>
          <w:rFonts w:ascii="David" w:eastAsia="David" w:hAnsi="David" w:cs="David" w:hint="cs"/>
          <w:sz w:val="26"/>
          <w:szCs w:val="26"/>
          <w:rtl/>
        </w:rPr>
        <w:t>והונחה על שולחן הכנסת ביום</w:t>
      </w:r>
    </w:p>
    <w:p w14:paraId="5240B5AF" w14:textId="34ED03B9" w:rsidR="001215FE" w:rsidRDefault="004E472A" w:rsidP="004E472A">
      <w:pPr>
        <w:spacing w:before="0" w:line="240" w:lineRule="auto"/>
        <w:jc w:val="left"/>
      </w:pPr>
      <w:r>
        <w:rPr>
          <w:rFonts w:ascii="David" w:eastAsia="David" w:hAnsi="David" w:cs="David" w:hint="cs"/>
          <w:sz w:val="26"/>
          <w:szCs w:val="26"/>
          <w:rtl/>
        </w:rPr>
        <w:t>ט' בטבת התשפ"ג (02.01.</w:t>
      </w:r>
      <w:r>
        <w:rPr>
          <w:rFonts w:ascii="David" w:eastAsia="David" w:hAnsi="David" w:cs="David" w:hint="cs"/>
          <w:sz w:val="26"/>
          <w:szCs w:val="26"/>
          <w:rtl/>
        </w:rPr>
        <w:t xml:space="preserve">2023) </w:t>
      </w:r>
      <w:bookmarkStart w:id="9" w:name="_GoBack"/>
      <w:bookmarkEnd w:id="9"/>
    </w:p>
    <w:sectPr w:rsidR="001215FE" w:rsidSect="004E472A">
      <w:footerReference w:type="even" r:id="rId11"/>
      <w:footerReference w:type="default" r:id="rId12"/>
      <w:pgSz w:w="11907" w:h="16840" w:code="9"/>
      <w:pgMar w:top="1134" w:right="1134" w:bottom="709"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uttman Yad-Brush">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4E472A">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681DAAEC" w14:textId="77777777" w:rsidR="00821337" w:rsidRDefault="00821337" w:rsidP="00821337">
      <w:pPr>
        <w:pStyle w:val="a4"/>
        <w:rPr>
          <w:rtl/>
        </w:rPr>
      </w:pPr>
      <w:r>
        <w:rPr>
          <w:rStyle w:val="a5"/>
        </w:rPr>
        <w:footnoteRef/>
      </w:r>
      <w:r>
        <w:rPr>
          <w:rtl/>
        </w:rPr>
        <w:t xml:space="preserve"> ס"ח התשל"א, עמ' 160.</w:t>
      </w:r>
    </w:p>
  </w:footnote>
  <w:footnote w:id="3">
    <w:p w14:paraId="553313A6" w14:textId="77777777" w:rsidR="00821337" w:rsidRPr="005123B8" w:rsidRDefault="00821337" w:rsidP="00821337">
      <w:pPr>
        <w:ind w:left="141" w:hanging="141"/>
        <w:rPr>
          <w:rFonts w:eastAsia="Arial Unicode MS"/>
          <w:snapToGrid w:val="0"/>
          <w:sz w:val="14"/>
          <w:szCs w:val="20"/>
        </w:rPr>
      </w:pPr>
      <w:r w:rsidRPr="005123B8">
        <w:rPr>
          <w:rStyle w:val="a5"/>
        </w:rPr>
        <w:footnoteRef/>
      </w:r>
      <w:r w:rsidRPr="005123B8">
        <w:rPr>
          <w:rStyle w:val="a5"/>
          <w:rtl/>
        </w:rPr>
        <w:tab/>
      </w:r>
      <w:r w:rsidRPr="006C2893">
        <w:rPr>
          <w:rFonts w:ascii="David" w:hAnsi="David" w:cs="David"/>
          <w:snapToGrid w:val="0"/>
          <w:sz w:val="14"/>
          <w:szCs w:val="20"/>
          <w:rtl/>
        </w:rPr>
        <w:t>ס"ח התשל"ב, עמ' 176.</w:t>
      </w:r>
    </w:p>
    <w:p w14:paraId="2385A112" w14:textId="77777777" w:rsidR="00821337" w:rsidRDefault="00821337" w:rsidP="00821337">
      <w:pPr>
        <w:ind w:left="141" w:hanging="141"/>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5FE"/>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472A"/>
    <w:rsid w:val="004E6CDF"/>
    <w:rsid w:val="00511AE4"/>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21337"/>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13F"/>
    <w:rsid w:val="00AC36F7"/>
    <w:rsid w:val="00AC63A4"/>
    <w:rsid w:val="00AD239E"/>
    <w:rsid w:val="00B10265"/>
    <w:rsid w:val="00B16A99"/>
    <w:rsid w:val="00B21211"/>
    <w:rsid w:val="00B27E15"/>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ECE48A84-06C2-4151-BF96-6E42151B1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www.w3.org/XML/1998/namespace"/>
    <ds:schemaRef ds:uri="http://purl.org/dc/dcmitype/"/>
    <ds:schemaRef ds:uri="http://schemas.microsoft.com/office/infopath/2007/PartnerControls"/>
    <ds:schemaRef ds:uri="http://purl.org/dc/elements/1.1/"/>
    <ds:schemaRef ds:uri="http://purl.org/dc/terms/"/>
    <ds:schemaRef ds:uri="http://schemas.microsoft.com/office/2006/documentManagement/types"/>
    <ds:schemaRef ds:uri="http://schemas.openxmlformats.org/package/2006/metadata/core-properties"/>
    <ds:schemaRef ds:uri="290d5b49-c690-4c6f-bbb9-1e50dab33eee"/>
    <ds:schemaRef ds:uri="http://schemas.microsoft.com/office/2006/metadata/properties"/>
  </ds:schemaRefs>
</ds:datastoreItem>
</file>

<file path=customXml/itemProps3.xml><?xml version="1.0" encoding="utf-8"?>
<ds:datastoreItem xmlns:ds="http://schemas.openxmlformats.org/officeDocument/2006/customXml" ds:itemID="{F2D7051D-1864-456D-917D-C32354008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B95DE5-11A5-4BE3-99F2-7CCC4D6F2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530</Words>
  <Characters>2654</Characters>
  <Application>Microsoft Office Word</Application>
  <DocSecurity>0</DocSecurity>
  <Lines>22</Lines>
  <Paragraphs>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3178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דפנה ברנאי</cp:lastModifiedBy>
  <cp:revision>8</cp:revision>
  <cp:lastPrinted>2022-12-26T13:38:00Z</cp:lastPrinted>
  <dcterms:created xsi:type="dcterms:W3CDTF">2015-04-20T09:58:00Z</dcterms:created>
  <dcterms:modified xsi:type="dcterms:W3CDTF">2022-12-26T13:39:00Z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2198167</vt:r8>
  </property>
</Properties>
</file>