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2197198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17914406" w:rsidR="00E13C27" w:rsidRPr="00CF1AA2" w:rsidRDefault="008F6665" w:rsidP="003B48B8">
      <w:pPr>
        <w:pStyle w:val="David"/>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מיכאל מלכיאלי</w:t>
      </w:r>
      <w:r>
        <w:br/>
      </w:r>
      <w:r>
        <w:rPr>
          <w:rFonts w:hint="cs"/>
          <w:b/>
          <w:bCs/>
          <w:rtl/>
        </w:rPr>
        <w:t xml:space="preserve"> </w:t>
      </w:r>
      <w:r>
        <w:tab/>
      </w:r>
      <w:r>
        <w:tab/>
      </w:r>
      <w:r>
        <w:tab/>
      </w:r>
      <w:r>
        <w:tab/>
      </w:r>
      <w:r>
        <w:rPr>
          <w:rFonts w:hint="cs"/>
          <w:b/>
          <w:bCs/>
          <w:rtl/>
        </w:rPr>
        <w:t>משה אבוטבול</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72B02661" w:rsidR="00E13C27" w:rsidRPr="00E06736" w:rsidRDefault="00904591" w:rsidP="003B48B8">
      <w:pPr>
        <w:pStyle w:val="David"/>
        <w:spacing w:line="240" w:lineRule="auto"/>
        <w:ind w:left="6424" w:firstLine="56"/>
        <w:rPr>
          <w:rtl/>
        </w:rPr>
      </w:pPr>
      <w:bookmarkStart w:id="6" w:name="Private_Number"/>
      <w:r>
        <w:rPr>
          <w:rFonts w:hint="cs"/>
          <w:rtl/>
        </w:rPr>
        <w:t>פ/1040/25</w:t>
      </w:r>
      <w:bookmarkEnd w:id="6"/>
    </w:p>
    <w:p w14:paraId="7F6961AD" w14:textId="34A8B03B" w:rsidR="00E13C27" w:rsidRDefault="00A443CF" w:rsidP="0021633A">
      <w:pPr>
        <w:pStyle w:val="HeadHatzaotHok"/>
        <w:rPr>
          <w:rtl/>
        </w:rPr>
      </w:pPr>
      <w:bookmarkStart w:id="7" w:name="LGS_Subject"/>
      <w:r>
        <w:rPr>
          <w:rFonts w:hint="cs"/>
          <w:rtl/>
        </w:rPr>
        <w:t>הצעת חוק להגדלת שיעור ההשתתפות בכוח העבודה ולצמצום פערים חברתיים (מענק עבודה) (תיקון – זכות במקרקעין בקבוצת רכישה), התשפ"ג–2022</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B608F0" w14:paraId="06AD9075" w14:textId="77777777" w:rsidTr="003B48B8">
        <w:trPr>
          <w:cantSplit/>
        </w:trPr>
        <w:tc>
          <w:tcPr>
            <w:tcW w:w="1871" w:type="dxa"/>
          </w:tcPr>
          <w:p w14:paraId="13433D9F" w14:textId="77777777" w:rsidR="00B608F0" w:rsidRPr="00C50062" w:rsidRDefault="00B608F0" w:rsidP="00C50062">
            <w:pPr>
              <w:pStyle w:val="TableSideHeading"/>
              <w:outlineLvl w:val="9"/>
              <w:rPr>
                <w:rtl/>
              </w:rPr>
            </w:pPr>
            <w:r w:rsidRPr="00C50062">
              <w:rPr>
                <w:rFonts w:hint="cs"/>
                <w:rtl/>
              </w:rPr>
              <w:t>תיקון סעיף 3</w:t>
            </w:r>
          </w:p>
        </w:tc>
        <w:tc>
          <w:tcPr>
            <w:tcW w:w="624" w:type="dxa"/>
          </w:tcPr>
          <w:p w14:paraId="159FC871" w14:textId="77777777" w:rsidR="00B608F0" w:rsidRDefault="00B608F0" w:rsidP="00040A5B">
            <w:pPr>
              <w:pStyle w:val="TableText"/>
              <w:keepLines w:val="0"/>
              <w:tabs>
                <w:tab w:val="clear" w:pos="624"/>
              </w:tabs>
              <w:rPr>
                <w:rtl/>
              </w:rPr>
            </w:pPr>
            <w:r>
              <w:rPr>
                <w:rFonts w:hint="cs"/>
                <w:rtl/>
              </w:rPr>
              <w:t>1.</w:t>
            </w:r>
          </w:p>
        </w:tc>
        <w:tc>
          <w:tcPr>
            <w:tcW w:w="7143" w:type="dxa"/>
          </w:tcPr>
          <w:p w14:paraId="2DD95C10" w14:textId="3704DC47" w:rsidR="00B608F0" w:rsidRDefault="00B608F0" w:rsidP="003B48B8">
            <w:pPr>
              <w:pStyle w:val="TableBlock"/>
              <w:rPr>
                <w:rtl/>
              </w:rPr>
            </w:pPr>
            <w:r>
              <w:rPr>
                <w:rFonts w:hint="cs"/>
                <w:rtl/>
              </w:rPr>
              <w:t>בחוק להגדלת שיעור ההשתתפות בכוח העבודה ולצמצום פערים חברתיים (מענק עבודה), התשס"ח</w:t>
            </w:r>
            <w:r>
              <w:rPr>
                <w:rFonts w:hint="eastAsia"/>
                <w:rtl/>
              </w:rPr>
              <w:t>–</w:t>
            </w:r>
            <w:r>
              <w:rPr>
                <w:rFonts w:hint="cs"/>
                <w:rtl/>
              </w:rPr>
              <w:t>2007</w:t>
            </w:r>
            <w:r w:rsidR="00C50062" w:rsidRPr="003B48B8">
              <w:rPr>
                <w:rStyle w:val="a5"/>
                <w:rFonts w:ascii="David" w:hAnsi="David"/>
                <w:sz w:val="26"/>
                <w:rtl/>
              </w:rPr>
              <w:footnoteReference w:id="2"/>
            </w:r>
            <w:r>
              <w:rPr>
                <w:rFonts w:hint="cs"/>
                <w:rtl/>
              </w:rPr>
              <w:t xml:space="preserve">, בסעיף 3(1), אחרי "שאינה דירת מגורים יחידה" יבוא </w:t>
            </w:r>
            <w:r w:rsidRPr="005A0202">
              <w:rPr>
                <w:rtl/>
              </w:rPr>
              <w:t>"</w:t>
            </w:r>
            <w:r w:rsidRPr="009E1594">
              <w:rPr>
                <w:rStyle w:val="default"/>
                <w:rFonts w:cs="David" w:hint="cs"/>
                <w:rtl/>
              </w:rPr>
              <w:t>או</w:t>
            </w:r>
            <w:r>
              <w:rPr>
                <w:rStyle w:val="default"/>
                <w:rFonts w:cs="David" w:hint="cs"/>
                <w:rtl/>
              </w:rPr>
              <w:t xml:space="preserve"> </w:t>
            </w:r>
            <w:r w:rsidRPr="009E1594">
              <w:rPr>
                <w:rStyle w:val="default"/>
                <w:rFonts w:cs="David" w:hint="cs"/>
                <w:rtl/>
              </w:rPr>
              <w:t>זכות</w:t>
            </w:r>
            <w:r w:rsidRPr="009E1594">
              <w:rPr>
                <w:rStyle w:val="default"/>
                <w:rFonts w:cs="David"/>
                <w:rtl/>
              </w:rPr>
              <w:t xml:space="preserve"> </w:t>
            </w:r>
            <w:r w:rsidRPr="009E1594">
              <w:rPr>
                <w:rStyle w:val="default"/>
                <w:rFonts w:cs="David" w:hint="cs"/>
                <w:rtl/>
              </w:rPr>
              <w:t>במקרקעין</w:t>
            </w:r>
            <w:r w:rsidRPr="009E1594">
              <w:rPr>
                <w:rStyle w:val="default"/>
                <w:rFonts w:cs="David"/>
                <w:rtl/>
              </w:rPr>
              <w:t xml:space="preserve"> </w:t>
            </w:r>
            <w:r>
              <w:rPr>
                <w:rStyle w:val="default"/>
                <w:rFonts w:cs="David" w:hint="cs"/>
                <w:rtl/>
              </w:rPr>
              <w:t>שהיא</w:t>
            </w:r>
            <w:r w:rsidRPr="009E1594">
              <w:rPr>
                <w:rStyle w:val="default"/>
                <w:rFonts w:cs="David"/>
                <w:rtl/>
              </w:rPr>
              <w:t xml:space="preserve"> </w:t>
            </w:r>
            <w:r w:rsidRPr="009E1594">
              <w:rPr>
                <w:rStyle w:val="default"/>
                <w:rFonts w:cs="David" w:hint="cs"/>
                <w:rtl/>
              </w:rPr>
              <w:t>חלק</w:t>
            </w:r>
            <w:r w:rsidRPr="009E1594">
              <w:rPr>
                <w:rStyle w:val="default"/>
                <w:rFonts w:cs="David"/>
                <w:rtl/>
              </w:rPr>
              <w:t xml:space="preserve"> </w:t>
            </w:r>
            <w:r w:rsidRPr="009E1594">
              <w:rPr>
                <w:rStyle w:val="default"/>
                <w:rFonts w:cs="David" w:hint="cs"/>
                <w:rtl/>
              </w:rPr>
              <w:t>מקבוצת</w:t>
            </w:r>
            <w:r w:rsidRPr="009E1594">
              <w:rPr>
                <w:rStyle w:val="default"/>
                <w:rFonts w:cs="David"/>
                <w:rtl/>
              </w:rPr>
              <w:t xml:space="preserve"> </w:t>
            </w:r>
            <w:r w:rsidRPr="009E1594">
              <w:rPr>
                <w:rStyle w:val="default"/>
                <w:rFonts w:cs="David" w:hint="cs"/>
                <w:rtl/>
              </w:rPr>
              <w:t>רכישה</w:t>
            </w:r>
            <w:r w:rsidRPr="009E1594">
              <w:rPr>
                <w:rStyle w:val="default"/>
                <w:rFonts w:cs="David"/>
                <w:rtl/>
              </w:rPr>
              <w:t xml:space="preserve"> </w:t>
            </w:r>
            <w:r w:rsidRPr="009E1594">
              <w:rPr>
                <w:rStyle w:val="default"/>
                <w:rFonts w:cs="David" w:hint="cs"/>
                <w:rtl/>
              </w:rPr>
              <w:t>ומיועדת</w:t>
            </w:r>
            <w:r w:rsidRPr="009E1594">
              <w:rPr>
                <w:rStyle w:val="default"/>
                <w:rFonts w:cs="David"/>
                <w:rtl/>
              </w:rPr>
              <w:t xml:space="preserve"> </w:t>
            </w:r>
            <w:r w:rsidRPr="009E1594">
              <w:rPr>
                <w:rStyle w:val="default"/>
                <w:rFonts w:cs="David" w:hint="cs"/>
                <w:rtl/>
              </w:rPr>
              <w:t>לשמש</w:t>
            </w:r>
            <w:r w:rsidRPr="009E1594">
              <w:rPr>
                <w:rStyle w:val="default"/>
                <w:rFonts w:cs="David"/>
                <w:rtl/>
              </w:rPr>
              <w:t xml:space="preserve"> </w:t>
            </w:r>
            <w:r w:rsidRPr="009E1594">
              <w:rPr>
                <w:rStyle w:val="default"/>
                <w:rFonts w:cs="David" w:hint="cs"/>
                <w:rtl/>
              </w:rPr>
              <w:t>כדירת</w:t>
            </w:r>
            <w:r w:rsidRPr="009E1594">
              <w:rPr>
                <w:rStyle w:val="default"/>
                <w:rFonts w:cs="David"/>
                <w:rtl/>
              </w:rPr>
              <w:t xml:space="preserve"> </w:t>
            </w:r>
            <w:r w:rsidRPr="009E1594">
              <w:rPr>
                <w:rStyle w:val="default"/>
                <w:rFonts w:cs="David" w:hint="cs"/>
                <w:rtl/>
              </w:rPr>
              <w:t>מגורים</w:t>
            </w:r>
            <w:r w:rsidRPr="009E1594">
              <w:rPr>
                <w:rStyle w:val="default"/>
                <w:rFonts w:cs="David"/>
                <w:rtl/>
              </w:rPr>
              <w:t xml:space="preserve"> </w:t>
            </w:r>
            <w:r w:rsidRPr="009E1594">
              <w:rPr>
                <w:rStyle w:val="default"/>
                <w:rFonts w:cs="David" w:hint="cs"/>
                <w:rtl/>
              </w:rPr>
              <w:t>יחידה</w:t>
            </w:r>
            <w:r>
              <w:rPr>
                <w:rStyle w:val="default"/>
                <w:rFonts w:cs="David" w:hint="cs"/>
                <w:rtl/>
              </w:rPr>
              <w:t>".</w:t>
            </w:r>
          </w:p>
        </w:tc>
      </w:tr>
    </w:tbl>
    <w:p w14:paraId="7F6961AE" w14:textId="77777777" w:rsidR="00E13C27" w:rsidRDefault="00E13C27" w:rsidP="006529F7">
      <w:pPr>
        <w:pStyle w:val="HeadDivreiHesber"/>
        <w:spacing w:before="0" w:after="0"/>
        <w:jc w:val="both"/>
        <w:rPr>
          <w:rtl/>
        </w:rPr>
      </w:pPr>
    </w:p>
    <w:p w14:paraId="7F6961CA" w14:textId="77777777" w:rsidR="002D1EE3" w:rsidRDefault="002D1EE3" w:rsidP="002D1EE3">
      <w:pPr>
        <w:pStyle w:val="HeadDivreiHesber"/>
        <w:rPr>
          <w:rtl/>
        </w:rPr>
      </w:pPr>
      <w:r w:rsidRPr="0027450A">
        <w:rPr>
          <w:rFonts w:hint="cs"/>
          <w:rtl/>
        </w:rPr>
        <w:t>דברי הסבר</w:t>
      </w:r>
    </w:p>
    <w:p w14:paraId="742B16BC" w14:textId="6A05D32F" w:rsidR="00B608F0" w:rsidRPr="00C50062" w:rsidRDefault="00B608F0" w:rsidP="003B48B8">
      <w:pPr>
        <w:pStyle w:val="Hesber"/>
        <w:spacing w:line="276" w:lineRule="auto"/>
        <w:rPr>
          <w:rtl/>
        </w:rPr>
      </w:pPr>
      <w:r w:rsidRPr="00C50062">
        <w:rPr>
          <w:rFonts w:hint="cs"/>
          <w:rtl/>
        </w:rPr>
        <w:t>מטרת החוק להגדלת שיעור ההשתתפות בכוח העבודה ולצמצום פערים חברתיים (מ</w:t>
      </w:r>
      <w:r w:rsidR="00803B19">
        <w:rPr>
          <w:rFonts w:hint="cs"/>
          <w:rtl/>
        </w:rPr>
        <w:t>ענק עבודה</w:t>
      </w:r>
      <w:r w:rsidRPr="00C50062">
        <w:rPr>
          <w:rFonts w:hint="cs"/>
          <w:rtl/>
        </w:rPr>
        <w:t>), התשס"ח</w:t>
      </w:r>
      <w:r w:rsidRPr="00C50062">
        <w:rPr>
          <w:rFonts w:hint="eastAsia"/>
          <w:rtl/>
        </w:rPr>
        <w:t>–</w:t>
      </w:r>
      <w:r w:rsidRPr="00C50062">
        <w:rPr>
          <w:rFonts w:hint="cs"/>
          <w:rtl/>
        </w:rPr>
        <w:t>2007</w:t>
      </w:r>
      <w:r w:rsidR="00ED1C0A">
        <w:rPr>
          <w:rFonts w:hint="cs"/>
          <w:rtl/>
        </w:rPr>
        <w:t xml:space="preserve"> (להלן </w:t>
      </w:r>
      <w:r w:rsidR="00ED1C0A">
        <w:rPr>
          <w:rFonts w:hint="eastAsia"/>
          <w:rtl/>
        </w:rPr>
        <w:t>–</w:t>
      </w:r>
      <w:r w:rsidR="00C50062">
        <w:rPr>
          <w:rFonts w:hint="cs"/>
          <w:rtl/>
        </w:rPr>
        <w:t xml:space="preserve"> החוק)</w:t>
      </w:r>
      <w:r w:rsidRPr="00C50062">
        <w:rPr>
          <w:rFonts w:hint="cs"/>
          <w:rtl/>
        </w:rPr>
        <w:t>, היא מתן מענק לבעלי הכנסה נמוכה לשם עידודם להשתלב בשוק העבודה, כמו גם יצירת כלי נוסף לצמצום פערים חברתיים והקטנת תחולת העוני בישראל, תוך עידוד המעבר מהסתמכות על גמלאות ליציאה לעבודה.</w:t>
      </w:r>
    </w:p>
    <w:p w14:paraId="341429C0" w14:textId="5ECEF3D7" w:rsidR="00B608F0" w:rsidRPr="00C50062" w:rsidRDefault="00B608F0" w:rsidP="003B48B8">
      <w:pPr>
        <w:pStyle w:val="Hesber"/>
        <w:spacing w:line="276" w:lineRule="auto"/>
        <w:rPr>
          <w:rtl/>
        </w:rPr>
      </w:pPr>
      <w:r w:rsidRPr="00C50062">
        <w:rPr>
          <w:rFonts w:hint="cs"/>
          <w:rtl/>
        </w:rPr>
        <w:t>סעיף 3(1) לחוק קובע, כי הזכאות למענק לא תחול על עובד, אשר במועד כלשהו בשנת המס, יש לו, לבן זוגו או לילדו הסמוך על שולחנו, זכות במקרקעין, בין בישראל ובין מחוץ לישראל, שאינה דירת מגורים יחידה</w:t>
      </w:r>
      <w:r w:rsidR="00803B19">
        <w:rPr>
          <w:rFonts w:hint="cs"/>
          <w:rtl/>
        </w:rPr>
        <w:t>,</w:t>
      </w:r>
      <w:r w:rsidRPr="00C50062">
        <w:rPr>
          <w:rFonts w:hint="cs"/>
          <w:rtl/>
        </w:rPr>
        <w:t xml:space="preserve"> ובלבד שחלקם בזכות כאמור, יחד, עולה על 50%. </w:t>
      </w:r>
    </w:p>
    <w:p w14:paraId="0492838B" w14:textId="77777777" w:rsidR="00B608F0" w:rsidRPr="00C50062" w:rsidRDefault="00B608F0" w:rsidP="003B48B8">
      <w:pPr>
        <w:pStyle w:val="Hesber"/>
        <w:spacing w:line="276" w:lineRule="auto"/>
        <w:rPr>
          <w:rtl/>
        </w:rPr>
      </w:pPr>
      <w:r w:rsidRPr="00C50062">
        <w:rPr>
          <w:rFonts w:hint="cs"/>
          <w:rtl/>
        </w:rPr>
        <w:t xml:space="preserve">החוק איננו מתייחס באופן מפורש למצב בו רכש עובד כחלק 'מקבוצת רכישה' זכות במקרקעין על מנת לבנות דירת מגורים יחידה, כך שההתייחסות אליו הינה כבעלים בקרקע </w:t>
      </w:r>
      <w:r w:rsidRPr="00C50062">
        <w:rPr>
          <w:rtl/>
        </w:rPr>
        <w:t>–</w:t>
      </w:r>
      <w:r w:rsidRPr="00C50062">
        <w:rPr>
          <w:rFonts w:hint="cs"/>
          <w:rtl/>
        </w:rPr>
        <w:t xml:space="preserve"> במגרש אשר איננו זכאי למענק כאמור, ולא כבעלים של דירת מגורים יחידה אשר זכאי למענק זה.</w:t>
      </w:r>
    </w:p>
    <w:p w14:paraId="03CD2858" w14:textId="4AC51D1C" w:rsidR="00B608F0" w:rsidRPr="00C50062" w:rsidRDefault="00C50062" w:rsidP="003B48B8">
      <w:pPr>
        <w:pStyle w:val="Hesber"/>
        <w:spacing w:line="276" w:lineRule="auto"/>
        <w:rPr>
          <w:rtl/>
        </w:rPr>
      </w:pPr>
      <w:r>
        <w:rPr>
          <w:rFonts w:hint="cs"/>
          <w:rtl/>
        </w:rPr>
        <w:t xml:space="preserve">לפיכך, </w:t>
      </w:r>
      <w:r w:rsidR="00B608F0" w:rsidRPr="00C50062">
        <w:rPr>
          <w:rFonts w:hint="cs"/>
          <w:rtl/>
        </w:rPr>
        <w:t xml:space="preserve">מוצע להבהיר ולחדד את לשון החוק וליישם הרציונל שבו, תוך הגדרת בעל זכות במקרקעין בקבוצת רכישה כבעלים של דירת מגורים יחידה, כשזהו הנכס היחיד המצוי ברשותו.   </w:t>
      </w:r>
    </w:p>
    <w:p w14:paraId="709157F6" w14:textId="7146D57D" w:rsidR="00B608F0" w:rsidRDefault="00B608F0" w:rsidP="003B48B8">
      <w:pPr>
        <w:pStyle w:val="Hesber"/>
        <w:spacing w:line="276" w:lineRule="auto"/>
        <w:rPr>
          <w:rtl/>
        </w:rPr>
      </w:pPr>
      <w:r w:rsidRPr="00C50062">
        <w:rPr>
          <w:rFonts w:hint="cs"/>
          <w:rtl/>
        </w:rPr>
        <w:t>הצעת חוק זהה הונחה על שולחן הכנסת העשרים וארבע על ידי חבר הכנסת מיכאל מלכיאלי (פ/328/24)</w:t>
      </w:r>
      <w:r w:rsidR="00FF1061">
        <w:rPr>
          <w:rFonts w:hint="cs"/>
          <w:rtl/>
        </w:rPr>
        <w:t>.</w:t>
      </w:r>
    </w:p>
    <w:p w14:paraId="7F6961CB" w14:textId="5738F9FE" w:rsidR="00E13C27" w:rsidRDefault="00FF1061" w:rsidP="003B48B8">
      <w:pPr>
        <w:pStyle w:val="Hesber"/>
        <w:spacing w:line="276" w:lineRule="auto"/>
        <w:rPr>
          <w:rtl/>
        </w:rPr>
      </w:pPr>
      <w:r>
        <w:rPr>
          <w:rFonts w:hint="cs"/>
          <w:rtl/>
        </w:rPr>
        <w:t>הצעת החוק זהה לפ/328/24 ולפיכך לא נבדקה מחדש על ידי הלשכה המשפטית של הכנסת.</w:t>
      </w:r>
    </w:p>
    <w:p w14:paraId="1CE96B5D" w14:textId="77777777" w:rsidR="003B48B8" w:rsidRDefault="003B48B8" w:rsidP="003B48B8">
      <w:pPr>
        <w:spacing w:line="276" w:lineRule="auto"/>
        <w:jc w:val="left"/>
        <w:rPr>
          <w:rFonts w:eastAsia="David"/>
          <w:sz w:val="26"/>
          <w:szCs w:val="26"/>
          <w:rtl/>
        </w:rPr>
      </w:pPr>
      <w:bookmarkStart w:id="8" w:name="selectedDocDateB"/>
      <w:bookmarkEnd w:id="8"/>
    </w:p>
    <w:p w14:paraId="65D773FE" w14:textId="6923C92B" w:rsidR="00DD2CEA" w:rsidRDefault="003B48B8" w:rsidP="003B48B8">
      <w:pPr>
        <w:spacing w:line="276" w:lineRule="auto"/>
        <w:jc w:val="left"/>
      </w:pPr>
      <w:bookmarkStart w:id="9" w:name="_GoBack"/>
      <w:bookmarkEnd w:id="9"/>
      <w:r>
        <w:rPr>
          <w:rFonts w:eastAsia="David" w:hint="cs"/>
          <w:sz w:val="26"/>
          <w:szCs w:val="26"/>
          <w:rtl/>
        </w:rPr>
        <w:t>--------------------------------</w:t>
      </w:r>
    </w:p>
    <w:p w14:paraId="1589D468" w14:textId="77777777" w:rsidR="00DD2CEA" w:rsidRDefault="003B48B8" w:rsidP="003B48B8">
      <w:pPr>
        <w:spacing w:line="276" w:lineRule="auto"/>
        <w:jc w:val="left"/>
      </w:pPr>
      <w:r>
        <w:rPr>
          <w:rFonts w:eastAsia="David" w:hint="cs"/>
          <w:sz w:val="26"/>
          <w:szCs w:val="26"/>
          <w:rtl/>
        </w:rPr>
        <w:t xml:space="preserve">הוגשה ליו"ר הכנסת </w:t>
      </w:r>
      <w:r>
        <w:rPr>
          <w:rFonts w:eastAsia="David" w:hint="cs"/>
          <w:sz w:val="26"/>
          <w:szCs w:val="26"/>
          <w:rtl/>
        </w:rPr>
        <w:t>והסגנים</w:t>
      </w:r>
    </w:p>
    <w:p w14:paraId="63A65A4B" w14:textId="77777777" w:rsidR="00DD2CEA" w:rsidRDefault="003B48B8" w:rsidP="003B48B8">
      <w:pPr>
        <w:spacing w:line="276" w:lineRule="auto"/>
        <w:jc w:val="left"/>
      </w:pPr>
      <w:r>
        <w:rPr>
          <w:rFonts w:eastAsia="David" w:hint="cs"/>
          <w:sz w:val="26"/>
          <w:szCs w:val="26"/>
          <w:rtl/>
        </w:rPr>
        <w:t>והונחה על שולחן הכנסת ביום</w:t>
      </w:r>
    </w:p>
    <w:p w14:paraId="7FE2D824" w14:textId="77777777" w:rsidR="00DD2CEA" w:rsidRDefault="003B48B8" w:rsidP="003B48B8">
      <w:pPr>
        <w:spacing w:line="276" w:lineRule="auto"/>
        <w:jc w:val="left"/>
      </w:pPr>
      <w:r>
        <w:rPr>
          <w:rFonts w:eastAsia="David" w:hint="cs"/>
          <w:sz w:val="26"/>
          <w:szCs w:val="26"/>
          <w:rtl/>
        </w:rPr>
        <w:t xml:space="preserve">ב' בטבת התשפ"ג (26.12.2022) </w:t>
      </w:r>
    </w:p>
    <w:p w14:paraId="47460FC3" w14:textId="77777777" w:rsidR="00DD2CEA" w:rsidRDefault="00DD2CEA">
      <w:pPr>
        <w:spacing w:line="276" w:lineRule="auto"/>
        <w:jc w:val="left"/>
      </w:pPr>
    </w:p>
    <w:sectPr w:rsidR="00DD2CEA" w:rsidSect="003B48B8">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660F0445"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3B48B8">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3B48B8">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E925830" w14:textId="25E61A09" w:rsidR="00C50062" w:rsidRDefault="00C50062">
      <w:pPr>
        <w:pStyle w:val="a4"/>
      </w:pPr>
      <w:r>
        <w:rPr>
          <w:rStyle w:val="a5"/>
        </w:rPr>
        <w:footnoteRef/>
      </w:r>
      <w:r>
        <w:rPr>
          <w:rtl/>
        </w:rPr>
        <w:t xml:space="preserve"> </w:t>
      </w:r>
      <w:r>
        <w:rPr>
          <w:rFonts w:hint="cs"/>
          <w:rtl/>
        </w:rPr>
        <w:t>ס"ח התשס"ח, עמ' 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16447"/>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B48B8"/>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529F7"/>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03B1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608F0"/>
    <w:rsid w:val="00B733A7"/>
    <w:rsid w:val="00B75C91"/>
    <w:rsid w:val="00B975AD"/>
    <w:rsid w:val="00BC45FB"/>
    <w:rsid w:val="00BF148D"/>
    <w:rsid w:val="00C23B1A"/>
    <w:rsid w:val="00C310EB"/>
    <w:rsid w:val="00C50062"/>
    <w:rsid w:val="00C9176A"/>
    <w:rsid w:val="00CF1AA2"/>
    <w:rsid w:val="00D142D3"/>
    <w:rsid w:val="00D17774"/>
    <w:rsid w:val="00D63620"/>
    <w:rsid w:val="00D8410D"/>
    <w:rsid w:val="00D867D7"/>
    <w:rsid w:val="00DB7060"/>
    <w:rsid w:val="00DD2CEA"/>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1C0A"/>
    <w:rsid w:val="00ED4A6F"/>
    <w:rsid w:val="00EF3A3A"/>
    <w:rsid w:val="00F628D6"/>
    <w:rsid w:val="00F67051"/>
    <w:rsid w:val="00F86A1E"/>
    <w:rsid w:val="00FA5E88"/>
    <w:rsid w:val="00FF1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538560C-5C33-4C22-B5AA-D7474F31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8B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B48B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B48B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B48B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B48B8"/>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B48B8"/>
    <w:pPr>
      <w:spacing w:line="259" w:lineRule="auto"/>
      <w:outlineLvl w:val="4"/>
    </w:pPr>
    <w:rPr>
      <w:color w:val="000000" w:themeColor="text1"/>
    </w:rPr>
  </w:style>
  <w:style w:type="character" w:default="1" w:styleId="a0">
    <w:name w:val="Default Paragraph Font"/>
    <w:uiPriority w:val="1"/>
    <w:semiHidden/>
    <w:unhideWhenUsed/>
    <w:rsid w:val="003B48B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B48B8"/>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B48B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B48B8"/>
    <w:rPr>
      <w:sz w:val="36"/>
      <w:szCs w:val="52"/>
    </w:rPr>
  </w:style>
  <w:style w:type="paragraph" w:customStyle="1" w:styleId="Cover3-Haknesset">
    <w:name w:val="Cover 3-Haknesset"/>
    <w:basedOn w:val="Cover1-Reshumot"/>
    <w:rsid w:val="003B48B8"/>
    <w:rPr>
      <w:b/>
      <w:bCs/>
      <w:spacing w:val="60"/>
    </w:rPr>
  </w:style>
  <w:style w:type="paragraph" w:customStyle="1" w:styleId="Cover4-Date">
    <w:name w:val="Cover 4-Date"/>
    <w:basedOn w:val="a"/>
    <w:rsid w:val="003B48B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B48B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B48B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B48B8"/>
    <w:pPr>
      <w:spacing w:before="120" w:after="120"/>
    </w:pPr>
    <w:rPr>
      <w:color w:val="FF0000"/>
      <w:w w:val="80"/>
    </w:rPr>
  </w:style>
  <w:style w:type="paragraph" w:styleId="a3">
    <w:name w:val="endnote text"/>
    <w:basedOn w:val="a"/>
    <w:semiHidden/>
    <w:rsid w:val="003B48B8"/>
    <w:pPr>
      <w:ind w:left="227" w:hanging="227"/>
    </w:pPr>
    <w:rPr>
      <w:sz w:val="14"/>
      <w:szCs w:val="22"/>
    </w:rPr>
  </w:style>
  <w:style w:type="paragraph" w:customStyle="1" w:styleId="TableText">
    <w:name w:val="Table Text"/>
    <w:basedOn w:val="a"/>
    <w:rsid w:val="003B48B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B48B8"/>
    <w:pPr>
      <w:outlineLvl w:val="2"/>
    </w:pPr>
  </w:style>
  <w:style w:type="paragraph" w:customStyle="1" w:styleId="TableBlock">
    <w:name w:val="Table Block"/>
    <w:basedOn w:val="TableText"/>
    <w:rsid w:val="003B48B8"/>
    <w:pPr>
      <w:jc w:val="both"/>
    </w:pPr>
  </w:style>
  <w:style w:type="paragraph" w:customStyle="1" w:styleId="TableHead">
    <w:name w:val="Table Head"/>
    <w:basedOn w:val="TableText"/>
    <w:rsid w:val="003B48B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B48B8"/>
    <w:pPr>
      <w:outlineLvl w:val="9"/>
    </w:pPr>
  </w:style>
  <w:style w:type="paragraph" w:customStyle="1" w:styleId="Hesber">
    <w:name w:val="Hesber"/>
    <w:basedOn w:val="a"/>
    <w:rsid w:val="003B48B8"/>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3B48B8"/>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3B48B8"/>
    <w:rPr>
      <w:vertAlign w:val="superscript"/>
    </w:rPr>
  </w:style>
  <w:style w:type="paragraph" w:customStyle="1" w:styleId="HesberHeading">
    <w:name w:val="Hesber Heading"/>
    <w:basedOn w:val="Hesber"/>
    <w:rsid w:val="003B48B8"/>
    <w:pPr>
      <w:tabs>
        <w:tab w:val="left" w:pos="624"/>
        <w:tab w:val="left" w:pos="1247"/>
      </w:tabs>
    </w:pPr>
    <w:rPr>
      <w:b/>
      <w:bCs/>
    </w:rPr>
  </w:style>
  <w:style w:type="paragraph" w:customStyle="1" w:styleId="HesberWriters">
    <w:name w:val="Hesber Writers"/>
    <w:basedOn w:val="Hesber"/>
    <w:rsid w:val="003B48B8"/>
    <w:pPr>
      <w:spacing w:before="120" w:after="120"/>
      <w:ind w:left="1418"/>
      <w:jc w:val="right"/>
    </w:pPr>
    <w:rPr>
      <w:b/>
      <w:bCs/>
    </w:rPr>
  </w:style>
  <w:style w:type="paragraph" w:customStyle="1" w:styleId="Hesber1st">
    <w:name w:val="Hesber 1st"/>
    <w:basedOn w:val="Hesber"/>
    <w:rsid w:val="003B48B8"/>
    <w:pPr>
      <w:tabs>
        <w:tab w:val="left" w:pos="680"/>
        <w:tab w:val="left" w:pos="1020"/>
      </w:tabs>
      <w:ind w:firstLine="0"/>
    </w:pPr>
  </w:style>
  <w:style w:type="character" w:styleId="a6">
    <w:name w:val="endnote reference"/>
    <w:basedOn w:val="a0"/>
    <w:semiHidden/>
    <w:rsid w:val="003B48B8"/>
    <w:rPr>
      <w:vertAlign w:val="superscript"/>
    </w:rPr>
  </w:style>
  <w:style w:type="paragraph" w:customStyle="1" w:styleId="TableBlockOutdent">
    <w:name w:val="Table BlockOutdent"/>
    <w:basedOn w:val="TableBlock"/>
    <w:rsid w:val="003B48B8"/>
    <w:pPr>
      <w:ind w:left="624" w:hanging="624"/>
    </w:pPr>
  </w:style>
  <w:style w:type="paragraph" w:styleId="a7">
    <w:name w:val="header"/>
    <w:basedOn w:val="a"/>
    <w:rsid w:val="003B48B8"/>
    <w:pPr>
      <w:tabs>
        <w:tab w:val="center" w:pos="4153"/>
        <w:tab w:val="right" w:pos="8306"/>
      </w:tabs>
    </w:pPr>
  </w:style>
  <w:style w:type="paragraph" w:styleId="a8">
    <w:name w:val="footer"/>
    <w:basedOn w:val="a"/>
    <w:rsid w:val="003B48B8"/>
    <w:pPr>
      <w:tabs>
        <w:tab w:val="center" w:pos="4153"/>
        <w:tab w:val="right" w:pos="8306"/>
      </w:tabs>
    </w:pPr>
  </w:style>
  <w:style w:type="paragraph" w:customStyle="1" w:styleId="HeadDivreiHesber">
    <w:name w:val="Head DivreiHesber"/>
    <w:basedOn w:val="a"/>
    <w:rsid w:val="003B48B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3B48B8"/>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3B48B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default">
    <w:name w:val="default"/>
    <w:rsid w:val="00B608F0"/>
    <w:rPr>
      <w:rFonts w:ascii="Times New Roman" w:hAnsi="Times New Roman" w:cs="Times New Roman"/>
      <w:sz w:val="26"/>
      <w:szCs w:val="26"/>
    </w:rPr>
  </w:style>
  <w:style w:type="character" w:customStyle="1" w:styleId="10">
    <w:name w:val="כותרת 1 תו"/>
    <w:basedOn w:val="a0"/>
    <w:link w:val="1"/>
    <w:uiPriority w:val="9"/>
    <w:rsid w:val="003B48B8"/>
    <w:rPr>
      <w:rFonts w:asciiTheme="majorHAnsi" w:eastAsiaTheme="majorEastAsia" w:hAnsiTheme="majorHAnsi" w:cs="David"/>
      <w:bCs/>
      <w:sz w:val="32"/>
      <w:szCs w:val="36"/>
    </w:rPr>
  </w:style>
  <w:style w:type="character" w:customStyle="1" w:styleId="20">
    <w:name w:val="כותרת 2 תו"/>
    <w:basedOn w:val="a0"/>
    <w:link w:val="2"/>
    <w:rsid w:val="003B48B8"/>
    <w:rPr>
      <w:rFonts w:asciiTheme="majorHAnsi" w:eastAsiaTheme="majorEastAsia" w:hAnsiTheme="majorHAnsi" w:cs="David"/>
      <w:bCs/>
      <w:sz w:val="26"/>
      <w:szCs w:val="36"/>
      <w:u w:val="single"/>
    </w:rPr>
  </w:style>
  <w:style w:type="character" w:customStyle="1" w:styleId="30">
    <w:name w:val="כותרת 3 תו"/>
    <w:basedOn w:val="a0"/>
    <w:link w:val="3"/>
    <w:rsid w:val="003B48B8"/>
    <w:rPr>
      <w:rFonts w:asciiTheme="majorHAnsi" w:eastAsiaTheme="majorEastAsia" w:hAnsiTheme="majorHAnsi" w:cs="David"/>
      <w:sz w:val="24"/>
      <w:szCs w:val="28"/>
      <w:u w:val="double"/>
    </w:rPr>
  </w:style>
  <w:style w:type="character" w:customStyle="1" w:styleId="40">
    <w:name w:val="כותרת 4 תו"/>
    <w:basedOn w:val="a0"/>
    <w:link w:val="4"/>
    <w:uiPriority w:val="9"/>
    <w:rsid w:val="003B48B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B48B8"/>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3B48B8"/>
    <w:pPr>
      <w:widowControl/>
      <w:spacing w:before="120" w:after="120"/>
      <w:outlineLvl w:val="9"/>
    </w:pPr>
    <w:rPr>
      <w:rtl/>
      <w:cs/>
    </w:rPr>
  </w:style>
  <w:style w:type="paragraph" w:styleId="TOC1">
    <w:name w:val="toc 1"/>
    <w:basedOn w:val="a"/>
    <w:next w:val="a"/>
    <w:autoRedefine/>
    <w:uiPriority w:val="39"/>
    <w:unhideWhenUsed/>
    <w:rsid w:val="003B48B8"/>
    <w:pPr>
      <w:tabs>
        <w:tab w:val="right" w:leader="dot" w:pos="9629"/>
      </w:tabs>
      <w:spacing w:after="100"/>
    </w:pPr>
    <w:rPr>
      <w:bCs/>
      <w:szCs w:val="22"/>
    </w:rPr>
  </w:style>
  <w:style w:type="paragraph" w:styleId="TOC2">
    <w:name w:val="toc 2"/>
    <w:basedOn w:val="a"/>
    <w:next w:val="a"/>
    <w:uiPriority w:val="39"/>
    <w:unhideWhenUsed/>
    <w:rsid w:val="003B48B8"/>
    <w:pPr>
      <w:tabs>
        <w:tab w:val="right" w:leader="dot" w:pos="9628"/>
      </w:tabs>
      <w:spacing w:after="100"/>
    </w:pPr>
    <w:rPr>
      <w:szCs w:val="22"/>
    </w:rPr>
  </w:style>
  <w:style w:type="character" w:styleId="Hyperlink">
    <w:name w:val="Hyperlink"/>
    <w:basedOn w:val="a0"/>
    <w:uiPriority w:val="99"/>
    <w:unhideWhenUsed/>
    <w:rsid w:val="003B48B8"/>
    <w:rPr>
      <w:color w:val="0000FF" w:themeColor="hyperlink"/>
      <w:u w:val="single"/>
    </w:rPr>
  </w:style>
  <w:style w:type="paragraph" w:styleId="TOC3">
    <w:name w:val="toc 3"/>
    <w:basedOn w:val="a"/>
    <w:next w:val="a"/>
    <w:uiPriority w:val="39"/>
    <w:unhideWhenUsed/>
    <w:rsid w:val="003B48B8"/>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3B48B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B48B8"/>
    <w:pPr>
      <w:tabs>
        <w:tab w:val="right" w:leader="dot" w:pos="9628"/>
      </w:tabs>
      <w:spacing w:after="100"/>
      <w:ind w:left="567"/>
    </w:pPr>
    <w:rPr>
      <w:szCs w:val="22"/>
    </w:rPr>
  </w:style>
  <w:style w:type="paragraph" w:styleId="TOC6">
    <w:name w:val="toc 6"/>
    <w:basedOn w:val="a"/>
    <w:next w:val="a"/>
    <w:autoRedefine/>
    <w:semiHidden/>
    <w:unhideWhenUsed/>
    <w:rsid w:val="003B48B8"/>
    <w:pPr>
      <w:spacing w:after="100"/>
      <w:ind w:left="850"/>
    </w:pPr>
  </w:style>
  <w:style w:type="paragraph" w:styleId="TOC7">
    <w:name w:val="toc 7"/>
    <w:basedOn w:val="a"/>
    <w:next w:val="a"/>
    <w:autoRedefine/>
    <w:semiHidden/>
    <w:unhideWhenUsed/>
    <w:rsid w:val="003B48B8"/>
    <w:pPr>
      <w:spacing w:after="100"/>
      <w:ind w:left="1020"/>
    </w:pPr>
  </w:style>
  <w:style w:type="paragraph" w:styleId="TOC8">
    <w:name w:val="toc 8"/>
    <w:basedOn w:val="a"/>
    <w:next w:val="a"/>
    <w:autoRedefine/>
    <w:semiHidden/>
    <w:unhideWhenUsed/>
    <w:rsid w:val="003B48B8"/>
    <w:pPr>
      <w:spacing w:after="100"/>
      <w:ind w:left="1190"/>
    </w:pPr>
  </w:style>
  <w:style w:type="paragraph" w:styleId="TOC9">
    <w:name w:val="toc 9"/>
    <w:basedOn w:val="a"/>
    <w:next w:val="a"/>
    <w:autoRedefine/>
    <w:semiHidden/>
    <w:unhideWhenUsed/>
    <w:rsid w:val="003B48B8"/>
    <w:pPr>
      <w:spacing w:after="100"/>
      <w:ind w:left="1360"/>
    </w:pPr>
  </w:style>
  <w:style w:type="paragraph" w:customStyle="1" w:styleId="TableHead2">
    <w:name w:val="Table Head2"/>
    <w:basedOn w:val="TableHead"/>
    <w:qFormat/>
    <w:rsid w:val="003B48B8"/>
    <w:pPr>
      <w:outlineLvl w:val="9"/>
    </w:pPr>
  </w:style>
  <w:style w:type="paragraph" w:customStyle="1" w:styleId="TableSideHeading2">
    <w:name w:val="Table SideHeading2"/>
    <w:basedOn w:val="TableSideHeading"/>
    <w:autoRedefine/>
    <w:qFormat/>
    <w:rsid w:val="003B48B8"/>
    <w:pPr>
      <w:keepLines w:val="0"/>
      <w:outlineLvl w:val="9"/>
    </w:pPr>
  </w:style>
  <w:style w:type="paragraph" w:customStyle="1" w:styleId="0">
    <w:name w:val="סגנון שורה ראשונה:  0  ס''מ"/>
    <w:basedOn w:val="2"/>
    <w:rsid w:val="003B48B8"/>
    <w:rPr>
      <w:rFonts w:eastAsia="Times New Roman"/>
    </w:rPr>
  </w:style>
  <w:style w:type="paragraph" w:styleId="ae">
    <w:name w:val="List Paragraph"/>
    <w:basedOn w:val="a"/>
    <w:uiPriority w:val="34"/>
    <w:qFormat/>
    <w:rsid w:val="003B48B8"/>
    <w:pPr>
      <w:widowControl/>
      <w:spacing w:line="259" w:lineRule="auto"/>
    </w:pPr>
    <w:rPr>
      <w:rFonts w:asciiTheme="minorHAnsi" w:hAnsiTheme="minorHAnsi"/>
      <w:sz w:val="22"/>
    </w:rPr>
  </w:style>
  <w:style w:type="table" w:styleId="af">
    <w:name w:val="Table Grid"/>
    <w:basedOn w:val="a1"/>
    <w:rsid w:val="003B4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B48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B48B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3B48B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3B48B8"/>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290d5b49-c690-4c6f-bbb9-1e50dab33ee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586CCDCA-C969-4071-8FF6-ECE3B85E0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1CB2F-4965-436F-BD6F-294FBEBF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290</Words>
  <Characters>1452</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9</cp:revision>
  <cp:lastPrinted>2013-07-04T08:25:00Z</cp:lastPrinted>
  <dcterms:created xsi:type="dcterms:W3CDTF">2015-04-20T09:58:00Z</dcterms:created>
  <dcterms:modified xsi:type="dcterms:W3CDTF">2022-12-21T13:07:00Z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2197198</vt:r8>
  </property>
</Properties>
</file>