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2196948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אחמד טיבי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פ/827/25</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4FA9591D" w:rsidR="00E13C27" w:rsidRDefault="00A443CF" w:rsidP="00F92396">
      <w:pPr>
        <w:pStyle w:val="HeadHatzaotHok"/>
        <w:rPr>
          <w:rtl/>
        </w:rPr>
      </w:pPr>
      <w:bookmarkStart w:id="7" w:name="LGS_Subject"/>
      <w:r>
        <w:rPr>
          <w:rFonts w:hint="cs"/>
          <w:rtl/>
        </w:rPr>
        <w:t xml:space="preserve">הצעת חוק העונשין (תיקון – החמרת הענישה על עבירות כלפי אנשי צוות רפואי), </w:t>
      </w:r>
      <w:proofErr w:type="spellStart"/>
      <w:r>
        <w:rPr>
          <w:rFonts w:hint="cs"/>
          <w:rtl/>
        </w:rPr>
        <w:t>התשפ"ג</w:t>
      </w:r>
      <w:proofErr w:type="spellEnd"/>
      <w:r>
        <w:rPr>
          <w:rFonts w:hint="cs"/>
          <w:rtl/>
        </w:rPr>
        <w:t>–2022</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7A5A77" w14:paraId="2D45CD87" w14:textId="77777777" w:rsidTr="007A5A77">
        <w:trPr>
          <w:cantSplit/>
        </w:trPr>
        <w:tc>
          <w:tcPr>
            <w:tcW w:w="1871" w:type="dxa"/>
            <w:hideMark/>
          </w:tcPr>
          <w:p w14:paraId="034B3153" w14:textId="77777777" w:rsidR="007A5A77" w:rsidRDefault="007A5A77" w:rsidP="003E03FC">
            <w:pPr>
              <w:pStyle w:val="TableSideHeading"/>
            </w:pPr>
            <w:r>
              <w:rPr>
                <w:rtl/>
              </w:rPr>
              <w:t>תיקון סעיף 382א</w:t>
            </w:r>
          </w:p>
        </w:tc>
        <w:tc>
          <w:tcPr>
            <w:tcW w:w="624" w:type="dxa"/>
            <w:hideMark/>
          </w:tcPr>
          <w:p w14:paraId="76AFF5F2" w14:textId="77777777" w:rsidR="007A5A77" w:rsidRDefault="007A5A77" w:rsidP="003E03FC">
            <w:pPr>
              <w:pStyle w:val="TableText"/>
              <w:rPr>
                <w:rtl/>
              </w:rPr>
            </w:pPr>
            <w:r>
              <w:rPr>
                <w:rtl/>
              </w:rPr>
              <w:t>1.</w:t>
            </w:r>
          </w:p>
        </w:tc>
        <w:tc>
          <w:tcPr>
            <w:tcW w:w="7146" w:type="dxa"/>
            <w:hideMark/>
          </w:tcPr>
          <w:p w14:paraId="577B38FB" w14:textId="77777777" w:rsidR="007A5A77" w:rsidRDefault="007A5A77" w:rsidP="003E03FC">
            <w:pPr>
              <w:pStyle w:val="TableBlock"/>
              <w:rPr>
                <w:rtl/>
              </w:rPr>
            </w:pPr>
            <w:r>
              <w:rPr>
                <w:rtl/>
              </w:rPr>
              <w:t xml:space="preserve">בחוק העונשין, </w:t>
            </w:r>
            <w:proofErr w:type="spellStart"/>
            <w:r>
              <w:rPr>
                <w:rtl/>
              </w:rPr>
              <w:t>התשל"ז</w:t>
            </w:r>
            <w:proofErr w:type="spellEnd"/>
            <w:r>
              <w:rPr>
                <w:rtl/>
              </w:rPr>
              <w:t>–1977</w:t>
            </w:r>
            <w:r w:rsidRPr="006E6056">
              <w:rPr>
                <w:rStyle w:val="a6"/>
                <w:rFonts w:ascii="David" w:hAnsi="David"/>
                <w:sz w:val="26"/>
                <w:szCs w:val="28"/>
              </w:rPr>
              <w:footnoteReference w:id="2"/>
            </w:r>
            <w:r>
              <w:rPr>
                <w:rtl/>
              </w:rPr>
              <w:t>, בסעיף 382א, במקום סעיף קטן (ג) יבוא:</w:t>
            </w:r>
          </w:p>
        </w:tc>
      </w:tr>
      <w:tr w:rsidR="007A5A77" w14:paraId="1BCCE938" w14:textId="77777777" w:rsidTr="007A5A77">
        <w:trPr>
          <w:cantSplit/>
        </w:trPr>
        <w:tc>
          <w:tcPr>
            <w:tcW w:w="1871" w:type="dxa"/>
          </w:tcPr>
          <w:p w14:paraId="69EA6D70" w14:textId="77777777" w:rsidR="007A5A77" w:rsidRDefault="007A5A77" w:rsidP="003E03FC">
            <w:pPr>
              <w:pStyle w:val="TableSideHeading"/>
              <w:rPr>
                <w:rtl/>
              </w:rPr>
            </w:pPr>
          </w:p>
        </w:tc>
        <w:tc>
          <w:tcPr>
            <w:tcW w:w="624" w:type="dxa"/>
          </w:tcPr>
          <w:p w14:paraId="617540C5" w14:textId="77777777" w:rsidR="007A5A77" w:rsidRDefault="007A5A77" w:rsidP="003E03FC">
            <w:pPr>
              <w:pStyle w:val="TableText"/>
            </w:pPr>
          </w:p>
        </w:tc>
        <w:tc>
          <w:tcPr>
            <w:tcW w:w="7146" w:type="dxa"/>
            <w:hideMark/>
          </w:tcPr>
          <w:p w14:paraId="6A42B2A9" w14:textId="77777777" w:rsidR="007A5A77" w:rsidRDefault="007A5A77" w:rsidP="003E03FC">
            <w:pPr>
              <w:pStyle w:val="TableBlock"/>
            </w:pPr>
            <w:r>
              <w:rPr>
                <w:rtl/>
              </w:rPr>
              <w:t>"(ג)</w:t>
            </w:r>
            <w:r>
              <w:rPr>
                <w:rtl/>
              </w:rPr>
              <w:tab/>
              <w:t xml:space="preserve">התוקף מטפל, כהגדרתו בחוק זכויות החולה, </w:t>
            </w:r>
            <w:proofErr w:type="spellStart"/>
            <w:r>
              <w:rPr>
                <w:rtl/>
              </w:rPr>
              <w:t>התשנ"ו</w:t>
            </w:r>
            <w:proofErr w:type="spellEnd"/>
            <w:r>
              <w:rPr>
                <w:rtl/>
              </w:rPr>
              <w:t>–1996</w:t>
            </w:r>
            <w:r w:rsidRPr="006E6056">
              <w:rPr>
                <w:rStyle w:val="a6"/>
                <w:rFonts w:ascii="David" w:hAnsi="David"/>
                <w:sz w:val="26"/>
                <w:szCs w:val="28"/>
                <w:rtl/>
              </w:rPr>
              <w:footnoteReference w:id="3"/>
            </w:r>
            <w:r>
              <w:rPr>
                <w:rtl/>
              </w:rPr>
              <w:t>, והתקיפה קשורה למילוי חובתו או תפקידו של הנתקף, דינו – מאסר שש שנים ולא פחות משישה חודשי מאסר, אלא אם כן החליט בית המשפט, מטעמים מיוחדים שיירשמו, להקל בעונשו."</w:t>
            </w:r>
          </w:p>
        </w:tc>
      </w:tr>
    </w:tbl>
    <w:p w14:paraId="7F6961CA" w14:textId="77777777" w:rsidR="002D1EE3" w:rsidRDefault="002D1EE3" w:rsidP="00F92396">
      <w:pPr>
        <w:pStyle w:val="HeadDivreiHesber"/>
        <w:spacing w:line="276" w:lineRule="auto"/>
        <w:rPr>
          <w:rtl/>
        </w:rPr>
      </w:pPr>
      <w:r w:rsidRPr="0027450A">
        <w:rPr>
          <w:rFonts w:hint="cs"/>
          <w:rtl/>
        </w:rPr>
        <w:t>דברי הסבר</w:t>
      </w:r>
    </w:p>
    <w:p w14:paraId="490FD3BA" w14:textId="77777777" w:rsidR="007A5A77" w:rsidRPr="006E0156" w:rsidRDefault="007A5A77" w:rsidP="00F92396">
      <w:pPr>
        <w:pStyle w:val="Hesber"/>
        <w:spacing w:line="276" w:lineRule="auto"/>
      </w:pPr>
      <w:r w:rsidRPr="006E0156">
        <w:rPr>
          <w:rtl/>
        </w:rPr>
        <w:t xml:space="preserve">בתקופה האחרונה הולכים וגוברים גילויי אלימות מצד מטופלים ובני משפחותיהם כלפי סגל בתי החולים ומרפאות החולים, על רקע החלטותיהם המקצועיות. תופעה מדאיגה זו מחייבת התייחסות מיוחדת ומחייבת את החמרת הענישה כלפי התוקפים. </w:t>
      </w:r>
    </w:p>
    <w:p w14:paraId="7F3A662D" w14:textId="77777777" w:rsidR="007A5A77" w:rsidRPr="006E0156" w:rsidRDefault="007A5A77" w:rsidP="00F92396">
      <w:pPr>
        <w:pStyle w:val="Hesber"/>
        <w:spacing w:line="276" w:lineRule="auto"/>
        <w:rPr>
          <w:rtl/>
        </w:rPr>
      </w:pPr>
      <w:r w:rsidRPr="006E0156">
        <w:rPr>
          <w:rtl/>
        </w:rPr>
        <w:t xml:space="preserve">הצעת החוק באה להגן על מטפלים – לפי ההגדרה המצויה בחוק זכויות החולה, וכוללת, בין היתר, רופאים, רופאי שיניים, סטז'רים, אחים או אחיות, מיילדות, פסיכולוגים, וכן כל בעל מקצוע שהכיר בו המנהל הכללי של משרד הבריאות, בהודעה ברשומות, כמטפל בשירותי הבריאות – בבואם לעשות את מלאכתם, שהיא מלאכת קודש. </w:t>
      </w:r>
    </w:p>
    <w:p w14:paraId="7E6EC3DB" w14:textId="77777777" w:rsidR="007A5A77" w:rsidRPr="006E0156" w:rsidRDefault="007A5A77" w:rsidP="00F92396">
      <w:pPr>
        <w:pStyle w:val="Hesber"/>
        <w:spacing w:line="276" w:lineRule="auto"/>
        <w:rPr>
          <w:rtl/>
        </w:rPr>
      </w:pPr>
      <w:r w:rsidRPr="006E0156">
        <w:rPr>
          <w:rtl/>
        </w:rPr>
        <w:t xml:space="preserve">אומנם קיימת בחוק העונשין הוראה האוסרת על תקיפת עובד הציבור "או מי שממלא חובה או תפקיד המוטלים עליו על פי דין או מי שנותן שירות לציבור מטעם גוף המספק שירות לציבור, והתקיפה קשורה למילוי חובתו או תפקידו של הנתקף" – ומי שעובר על הוראה זו, דינו – מאסר חמש שנים (סעיף 381(ב)), אך לנוכח האמור לעיל, נראה כי אין מנוס זולת הגברת המאבק למיגור האלימות כלפי אנשי הצוות הרפואי, כאשר האמצעי להשגת המטרה הוא החמרת הענישה עד לשש שנות מאסר וכן קביעת רף מינימלי של ענישה העומד על שישה חודשי מאסר, מתוך גישה של אפס סובלנות כלפי תופעה נלוזה זו. הרתעת התוקף הפוטנציאלי, על ידי החמרת הענישה, תביא לצמצום תופעת האלימות כלפי מטפלים. </w:t>
      </w:r>
    </w:p>
    <w:p w14:paraId="38B47358" w14:textId="40825B07" w:rsidR="007F3C8F" w:rsidRPr="003B0AD4" w:rsidRDefault="007F3C8F" w:rsidP="003B0AD4">
      <w:pPr>
        <w:pStyle w:val="Hesber"/>
        <w:spacing w:line="240" w:lineRule="auto"/>
        <w:rPr>
          <w:rtl/>
        </w:rPr>
      </w:pPr>
      <w:r w:rsidRPr="003B0AD4">
        <w:rPr>
          <w:rFonts w:hint="cs"/>
          <w:rtl/>
        </w:rPr>
        <w:t>הצע</w:t>
      </w:r>
      <w:r w:rsidR="0080435D" w:rsidRPr="003B0AD4">
        <w:rPr>
          <w:rFonts w:hint="cs"/>
          <w:rtl/>
        </w:rPr>
        <w:t>ו</w:t>
      </w:r>
      <w:r w:rsidRPr="003B0AD4">
        <w:rPr>
          <w:rFonts w:hint="cs"/>
          <w:rtl/>
        </w:rPr>
        <w:t xml:space="preserve">ת </w:t>
      </w:r>
      <w:r w:rsidRPr="003B0AD4">
        <w:rPr>
          <w:rtl/>
        </w:rPr>
        <w:t>חוק זה</w:t>
      </w:r>
      <w:r w:rsidR="0080435D" w:rsidRPr="003B0AD4">
        <w:rPr>
          <w:rFonts w:hint="cs"/>
          <w:rtl/>
        </w:rPr>
        <w:t>ות</w:t>
      </w:r>
      <w:r w:rsidRPr="003B0AD4">
        <w:rPr>
          <w:rtl/>
        </w:rPr>
        <w:t xml:space="preserve"> הונח</w:t>
      </w:r>
      <w:r w:rsidR="0080435D" w:rsidRPr="003B0AD4">
        <w:rPr>
          <w:rFonts w:hint="cs"/>
          <w:rtl/>
        </w:rPr>
        <w:t>ו</w:t>
      </w:r>
      <w:r w:rsidRPr="003B0AD4">
        <w:rPr>
          <w:rtl/>
        </w:rPr>
        <w:t xml:space="preserve"> על שולחן הכנסת העשרים וארבע על ידי </w:t>
      </w:r>
      <w:r w:rsidRPr="003B0AD4">
        <w:rPr>
          <w:rFonts w:hint="cs"/>
          <w:rtl/>
        </w:rPr>
        <w:t>חבר הכנסת אחמד טיבי וקבוצת חברי הכנסת</w:t>
      </w:r>
      <w:r w:rsidRPr="003B0AD4">
        <w:rPr>
          <w:rtl/>
        </w:rPr>
        <w:t xml:space="preserve"> (</w:t>
      </w:r>
      <w:r w:rsidR="0080435D" w:rsidRPr="003B0AD4">
        <w:rPr>
          <w:rFonts w:hint="cs"/>
          <w:rtl/>
        </w:rPr>
        <w:t>פ/74/24), על ידי חבר הכנסת יוסף שיין וקבוצת חברי הכנסת (פ/3454/24) ועל ידי חברת הכנסת מירב בן ארי (פ/3965/24).</w:t>
      </w:r>
    </w:p>
    <w:p w14:paraId="021154AC" w14:textId="6CDC360B" w:rsidR="007A5A77" w:rsidRDefault="007A5A77" w:rsidP="003B0AD4">
      <w:pPr>
        <w:pStyle w:val="Hesber"/>
        <w:spacing w:line="240" w:lineRule="auto"/>
        <w:rPr>
          <w:rtl/>
        </w:rPr>
      </w:pPr>
      <w:r w:rsidRPr="003B0AD4">
        <w:rPr>
          <w:rtl/>
        </w:rPr>
        <w:t>הצע</w:t>
      </w:r>
      <w:r w:rsidRPr="003B0AD4">
        <w:rPr>
          <w:rFonts w:hint="cs"/>
          <w:rtl/>
        </w:rPr>
        <w:t>ת חוק</w:t>
      </w:r>
      <w:r w:rsidRPr="003B0AD4">
        <w:rPr>
          <w:rtl/>
        </w:rPr>
        <w:t xml:space="preserve"> זהה </w:t>
      </w:r>
      <w:proofErr w:type="spellStart"/>
      <w:r w:rsidRPr="003B0AD4">
        <w:rPr>
          <w:rtl/>
        </w:rPr>
        <w:t>לפ</w:t>
      </w:r>
      <w:proofErr w:type="spellEnd"/>
      <w:r w:rsidRPr="003B0AD4">
        <w:rPr>
          <w:rtl/>
        </w:rPr>
        <w:t>/</w:t>
      </w:r>
      <w:r w:rsidR="007F3C8F" w:rsidRPr="003B0AD4">
        <w:rPr>
          <w:rFonts w:hint="cs"/>
          <w:rtl/>
        </w:rPr>
        <w:t>74/24</w:t>
      </w:r>
      <w:r w:rsidRPr="003B0AD4">
        <w:rPr>
          <w:rtl/>
        </w:rPr>
        <w:t xml:space="preserve"> ולפיכך לא נבדקה מחדש על ידי הלשכה המשפטית של הכנסת</w:t>
      </w:r>
      <w:r w:rsidRPr="003B0AD4">
        <w:rPr>
          <w:rFonts w:hint="cs"/>
          <w:rtl/>
        </w:rPr>
        <w:t>.</w:t>
      </w:r>
    </w:p>
    <w:p w14:paraId="65E40E96" w14:textId="77777777" w:rsidR="003B0AD4" w:rsidRPr="006E0156" w:rsidRDefault="003B0AD4" w:rsidP="003B0AD4">
      <w:pPr>
        <w:pStyle w:val="Hesber"/>
        <w:spacing w:line="240" w:lineRule="auto"/>
      </w:pPr>
    </w:p>
    <w:p w14:paraId="18BE7E75" w14:textId="77777777" w:rsidR="007B455B" w:rsidRDefault="003B0AD4" w:rsidP="003B0AD4">
      <w:pPr>
        <w:spacing w:before="0" w:line="240" w:lineRule="auto"/>
        <w:jc w:val="left"/>
      </w:pPr>
      <w:bookmarkStart w:id="8" w:name="selectedDocDateB"/>
      <w:bookmarkEnd w:id="8"/>
      <w:r>
        <w:rPr>
          <w:rFonts w:ascii="David" w:eastAsia="David" w:hAnsi="David" w:cs="David" w:hint="cs"/>
          <w:sz w:val="26"/>
          <w:szCs w:val="26"/>
          <w:rtl/>
        </w:rPr>
        <w:t>--------------------------------</w:t>
      </w:r>
    </w:p>
    <w:p w14:paraId="5F0617B5" w14:textId="77777777" w:rsidR="007B455B" w:rsidRDefault="003B0AD4" w:rsidP="003B0AD4">
      <w:pPr>
        <w:spacing w:before="0" w:line="240" w:lineRule="auto"/>
        <w:jc w:val="left"/>
      </w:pPr>
      <w:r>
        <w:rPr>
          <w:rFonts w:ascii="David" w:eastAsia="David" w:hAnsi="David" w:cs="David" w:hint="cs"/>
          <w:sz w:val="26"/>
          <w:szCs w:val="26"/>
          <w:rtl/>
        </w:rPr>
        <w:t>הוגשה ליו"ר הכנסת והסגנים</w:t>
      </w:r>
    </w:p>
    <w:p w14:paraId="07C8665B" w14:textId="77777777" w:rsidR="007B455B" w:rsidRDefault="003B0AD4" w:rsidP="003B0AD4">
      <w:pPr>
        <w:spacing w:before="0" w:line="240" w:lineRule="auto"/>
        <w:jc w:val="left"/>
      </w:pPr>
      <w:r>
        <w:rPr>
          <w:rFonts w:ascii="David" w:eastAsia="David" w:hAnsi="David" w:cs="David" w:hint="cs"/>
          <w:sz w:val="26"/>
          <w:szCs w:val="26"/>
          <w:rtl/>
        </w:rPr>
        <w:t>והונחה על שולחן הכנסת ביום</w:t>
      </w:r>
    </w:p>
    <w:p w14:paraId="097997BA" w14:textId="79108CF2" w:rsidR="007B455B" w:rsidRDefault="003B0AD4" w:rsidP="003B0AD4">
      <w:pPr>
        <w:spacing w:before="0" w:line="240" w:lineRule="auto"/>
        <w:jc w:val="left"/>
      </w:pPr>
      <w:r>
        <w:rPr>
          <w:rFonts w:ascii="David" w:eastAsia="David" w:hAnsi="David" w:cs="David" w:hint="cs"/>
          <w:sz w:val="26"/>
          <w:szCs w:val="26"/>
          <w:rtl/>
        </w:rPr>
        <w:t xml:space="preserve">ב' בטבת התשפ"ג (26.12.2022) </w:t>
      </w:r>
      <w:bookmarkStart w:id="9" w:name="_GoBack"/>
      <w:bookmarkEnd w:id="9"/>
    </w:p>
    <w:sectPr w:rsidR="007B455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B0AD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F1BCB6F" w14:textId="77777777" w:rsidR="007A5A77" w:rsidRDefault="007A5A77" w:rsidP="007A5A77">
      <w:pPr>
        <w:pStyle w:val="a4"/>
      </w:pPr>
      <w:r>
        <w:rPr>
          <w:rStyle w:val="a6"/>
        </w:rPr>
        <w:footnoteRef/>
      </w:r>
      <w:r>
        <w:t xml:space="preserve"> </w:t>
      </w:r>
      <w:r>
        <w:rPr>
          <w:rtl/>
        </w:rPr>
        <w:t xml:space="preserve">ס"ח </w:t>
      </w:r>
      <w:proofErr w:type="spellStart"/>
      <w:r>
        <w:rPr>
          <w:rtl/>
        </w:rPr>
        <w:t>התשל"ז</w:t>
      </w:r>
      <w:proofErr w:type="spellEnd"/>
      <w:r>
        <w:rPr>
          <w:rtl/>
        </w:rPr>
        <w:t>, עמ' 226.</w:t>
      </w:r>
    </w:p>
  </w:footnote>
  <w:footnote w:id="3">
    <w:p w14:paraId="08581CBF" w14:textId="77777777" w:rsidR="007A5A77" w:rsidRDefault="007A5A77" w:rsidP="007A5A77">
      <w:pPr>
        <w:pStyle w:val="a4"/>
        <w:rPr>
          <w:rtl/>
        </w:rPr>
      </w:pPr>
      <w:r>
        <w:rPr>
          <w:rStyle w:val="a6"/>
        </w:rPr>
        <w:footnoteRef/>
      </w:r>
      <w:r>
        <w:rPr>
          <w:rtl/>
        </w:rPr>
        <w:t xml:space="preserve"> </w:t>
      </w:r>
      <w:r>
        <w:rPr>
          <w:rFonts w:hint="cs"/>
          <w:rtl/>
        </w:rPr>
        <w:t xml:space="preserve">ס"ח </w:t>
      </w:r>
      <w:proofErr w:type="spellStart"/>
      <w:r>
        <w:rPr>
          <w:rFonts w:hint="cs"/>
          <w:rtl/>
        </w:rPr>
        <w:t>התשנ"ו</w:t>
      </w:r>
      <w:proofErr w:type="spellEnd"/>
      <w:r>
        <w:rPr>
          <w:rFonts w:hint="cs"/>
          <w:rtl/>
        </w:rPr>
        <w:t>, עמ'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4475"/>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B0AD4"/>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E0156"/>
    <w:rsid w:val="0070601E"/>
    <w:rsid w:val="00712C72"/>
    <w:rsid w:val="00735FE9"/>
    <w:rsid w:val="00763CAA"/>
    <w:rsid w:val="00765F66"/>
    <w:rsid w:val="0078664F"/>
    <w:rsid w:val="007A27CE"/>
    <w:rsid w:val="007A5A77"/>
    <w:rsid w:val="007B455B"/>
    <w:rsid w:val="007C3FA6"/>
    <w:rsid w:val="007D585A"/>
    <w:rsid w:val="007D5A12"/>
    <w:rsid w:val="007E59F9"/>
    <w:rsid w:val="007F3C8F"/>
    <w:rsid w:val="0080435D"/>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2396"/>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2A9F2CC-5504-46CE-A0CF-9894A8A3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7A5A77"/>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dcmitype/"/>
    <ds:schemaRef ds:uri="http://purl.org/dc/terms/"/>
    <ds:schemaRef ds:uri="290d5b49-c690-4c6f-bbb9-1e50dab33ee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7A44640-F24A-4DA0-971B-FE6A8D597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415F-7A33-4083-8799-286C4974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313</Words>
  <Characters>1786</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2022-12-19T13:43:00Z</cp:lastPrinted>
  <dcterms:created xsi:type="dcterms:W3CDTF">2015-04-20T09:58:00Z</dcterms:created>
  <dcterms:modified xsi:type="dcterms:W3CDTF">2022-12-19T13:43:00Z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2196948</vt:r8>
  </property>
</Properties>
</file>