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2196158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048C21F3" w:rsidR="00E13C27" w:rsidRPr="00CF1AA2" w:rsidRDefault="008F6665" w:rsidP="00A34549">
      <w:pPr>
        <w:pStyle w:val="David"/>
        <w:spacing w:before="102"/>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proofErr w:type="spellStart"/>
      <w:r>
        <w:rPr>
          <w:rFonts w:hint="cs"/>
          <w:b/>
          <w:bCs/>
          <w:rtl/>
        </w:rPr>
        <w:t>מכלוף</w:t>
      </w:r>
      <w:proofErr w:type="spellEnd"/>
      <w:r>
        <w:rPr>
          <w:rFonts w:hint="cs"/>
          <w:b/>
          <w:bCs/>
          <w:rtl/>
        </w:rPr>
        <w:t xml:space="preserve"> מיקי זוהר</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46D1A873" w:rsidR="00E13C27" w:rsidRPr="00E06736" w:rsidRDefault="00904591" w:rsidP="00A34549">
      <w:pPr>
        <w:pStyle w:val="David"/>
        <w:spacing w:line="240" w:lineRule="auto"/>
        <w:ind w:left="6424" w:firstLine="56"/>
        <w:rPr>
          <w:rtl/>
        </w:rPr>
      </w:pPr>
      <w:bookmarkStart w:id="6" w:name="Private_Number"/>
      <w:r>
        <w:rPr>
          <w:rFonts w:hint="cs"/>
          <w:rtl/>
        </w:rPr>
        <w:t>פ/1032/25</w:t>
      </w:r>
      <w:bookmarkEnd w:id="6"/>
    </w:p>
    <w:p w14:paraId="7F6961AD" w14:textId="6EC63A72" w:rsidR="00E13C27" w:rsidRPr="00F67051" w:rsidRDefault="00A443CF" w:rsidP="00862BCD">
      <w:pPr>
        <w:pStyle w:val="HeadHatzaotHok"/>
        <w:rPr>
          <w:rtl/>
        </w:rPr>
      </w:pPr>
      <w:bookmarkStart w:id="7" w:name="LGS_Subject"/>
      <w:r>
        <w:rPr>
          <w:rFonts w:hint="cs"/>
          <w:rtl/>
        </w:rPr>
        <w:t xml:space="preserve">הצעת חוק הפיקוח על שירותים פיננסיים (ביטוח) (תיקון – הוספת רישיון הנפקה), </w:t>
      </w:r>
      <w:r w:rsidR="00CB6336">
        <w:rPr>
          <w:rtl/>
        </w:rPr>
        <w:br/>
      </w:r>
      <w:bookmarkStart w:id="8" w:name="_GoBack"/>
      <w:bookmarkEnd w:id="8"/>
      <w:proofErr w:type="spellStart"/>
      <w:r>
        <w:rPr>
          <w:rFonts w:hint="cs"/>
          <w:rtl/>
        </w:rPr>
        <w:t>התשפ"ג</w:t>
      </w:r>
      <w:proofErr w:type="spellEnd"/>
      <w:r>
        <w:rPr>
          <w:rFonts w:hint="cs"/>
          <w:rtl/>
        </w:rPr>
        <w:t>–2022</w:t>
      </w:r>
      <w:bookmarkEnd w:id="7"/>
    </w:p>
    <w:p w14:paraId="7F6961AE" w14:textId="77777777" w:rsidR="00E13C27" w:rsidRDefault="00E13C27" w:rsidP="00395248">
      <w:pPr>
        <w:pStyle w:val="HeadDivreiHesber"/>
        <w:spacing w:before="0" w:after="0"/>
        <w:jc w:val="left"/>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395248" w:rsidRPr="00C34DE2" w14:paraId="6A96E6A1" w14:textId="77777777" w:rsidTr="00A34549">
        <w:trPr>
          <w:cantSplit/>
        </w:trPr>
        <w:tc>
          <w:tcPr>
            <w:tcW w:w="1871" w:type="dxa"/>
          </w:tcPr>
          <w:p w14:paraId="1BBD418E" w14:textId="77777777" w:rsidR="00395248" w:rsidRDefault="00395248" w:rsidP="00B41B8A">
            <w:pPr>
              <w:pStyle w:val="TableSideHeading"/>
              <w:keepLines w:val="0"/>
            </w:pPr>
            <w:r>
              <w:rPr>
                <w:rFonts w:hint="cs"/>
                <w:sz w:val="26"/>
                <w:rtl/>
              </w:rPr>
              <w:t>תיקון סעיף 26</w:t>
            </w:r>
          </w:p>
        </w:tc>
        <w:tc>
          <w:tcPr>
            <w:tcW w:w="624" w:type="dxa"/>
          </w:tcPr>
          <w:p w14:paraId="4688A4F3" w14:textId="6211521E" w:rsidR="00395248" w:rsidRDefault="00A34549" w:rsidP="00A34549">
            <w:pPr>
              <w:pStyle w:val="TableText"/>
              <w:keepLines w:val="0"/>
              <w:tabs>
                <w:tab w:val="clear" w:pos="624"/>
              </w:tabs>
            </w:pPr>
            <w:r>
              <w:rPr>
                <w:rFonts w:hint="cs"/>
                <w:rtl/>
              </w:rPr>
              <w:t>1.</w:t>
            </w:r>
          </w:p>
        </w:tc>
        <w:tc>
          <w:tcPr>
            <w:tcW w:w="7143" w:type="dxa"/>
          </w:tcPr>
          <w:p w14:paraId="032CD93F" w14:textId="77777777" w:rsidR="00395248" w:rsidRPr="00C34DE2" w:rsidRDefault="00395248" w:rsidP="00A34549">
            <w:pPr>
              <w:pStyle w:val="TableBlock"/>
            </w:pPr>
            <w:r>
              <w:rPr>
                <w:rFonts w:hint="cs"/>
                <w:sz w:val="26"/>
                <w:rtl/>
              </w:rPr>
              <w:t xml:space="preserve">בחוק הפיקוח על שירותים פיננסיים (ביטוח), </w:t>
            </w:r>
            <w:proofErr w:type="spellStart"/>
            <w:r>
              <w:rPr>
                <w:rFonts w:hint="cs"/>
                <w:sz w:val="26"/>
                <w:rtl/>
              </w:rPr>
              <w:t>התשמ"א</w:t>
            </w:r>
            <w:proofErr w:type="spellEnd"/>
            <w:r>
              <w:rPr>
                <w:rFonts w:hint="eastAsia"/>
                <w:rtl/>
              </w:rPr>
              <w:t>–</w:t>
            </w:r>
            <w:r>
              <w:rPr>
                <w:rFonts w:hint="cs"/>
                <w:sz w:val="26"/>
                <w:rtl/>
              </w:rPr>
              <w:t>1981</w:t>
            </w:r>
            <w:r w:rsidRPr="00A34549">
              <w:rPr>
                <w:rStyle w:val="a6"/>
                <w:rFonts w:ascii="David" w:hAnsi="David"/>
                <w:sz w:val="26"/>
                <w:rtl/>
              </w:rPr>
              <w:footnoteReference w:id="2"/>
            </w:r>
            <w:r>
              <w:rPr>
                <w:rFonts w:hint="cs"/>
                <w:sz w:val="26"/>
                <w:rtl/>
              </w:rPr>
              <w:t xml:space="preserve">, בסעיף 26(ג), בסופו יבוא "או שניתן לו רישיון הנפקה לפי סעיף 25יג לחוק הפיקוח על שירותים פיננסיים (שירותים פיננסיים מוסדרים), </w:t>
            </w:r>
            <w:proofErr w:type="spellStart"/>
            <w:r>
              <w:rPr>
                <w:rFonts w:hint="cs"/>
                <w:sz w:val="26"/>
                <w:rtl/>
              </w:rPr>
              <w:t>התשע"ו</w:t>
            </w:r>
            <w:proofErr w:type="spellEnd"/>
            <w:r>
              <w:rPr>
                <w:rFonts w:hint="eastAsia"/>
                <w:sz w:val="26"/>
                <w:rtl/>
              </w:rPr>
              <w:t>–</w:t>
            </w:r>
            <w:r>
              <w:rPr>
                <w:rFonts w:hint="cs"/>
                <w:sz w:val="26"/>
                <w:rtl/>
              </w:rPr>
              <w:t>2016</w:t>
            </w:r>
            <w:r w:rsidRPr="00A34549">
              <w:rPr>
                <w:rStyle w:val="a6"/>
                <w:rFonts w:ascii="David" w:hAnsi="David"/>
                <w:sz w:val="26"/>
                <w:rtl/>
              </w:rPr>
              <w:footnoteReference w:id="3"/>
            </w:r>
            <w:r>
              <w:rPr>
                <w:rFonts w:hint="cs"/>
                <w:sz w:val="26"/>
                <w:rtl/>
              </w:rPr>
              <w:t xml:space="preserve">." </w:t>
            </w:r>
          </w:p>
        </w:tc>
      </w:tr>
    </w:tbl>
    <w:p w14:paraId="55B045D6" w14:textId="77777777" w:rsidR="00395248" w:rsidRDefault="00395248" w:rsidP="00395248">
      <w:pPr>
        <w:pStyle w:val="HeadDivreiHesber"/>
        <w:spacing w:before="0" w:after="0"/>
        <w:jc w:val="left"/>
        <w:rPr>
          <w:rtl/>
        </w:rPr>
      </w:pPr>
    </w:p>
    <w:p w14:paraId="7F6961CA" w14:textId="77777777" w:rsidR="002D1EE3" w:rsidRDefault="002D1EE3" w:rsidP="002D1EE3">
      <w:pPr>
        <w:pStyle w:val="HeadDivreiHesber"/>
        <w:rPr>
          <w:rtl/>
        </w:rPr>
      </w:pPr>
      <w:r w:rsidRPr="0027450A">
        <w:rPr>
          <w:rFonts w:hint="cs"/>
          <w:rtl/>
        </w:rPr>
        <w:t>דברי הסבר</w:t>
      </w:r>
    </w:p>
    <w:p w14:paraId="663A6886" w14:textId="77777777" w:rsidR="00395248" w:rsidRPr="00160CE8" w:rsidRDefault="00395248" w:rsidP="00A34549">
      <w:pPr>
        <w:pStyle w:val="Hesber"/>
        <w:spacing w:line="240" w:lineRule="auto"/>
        <w:rPr>
          <w:rtl/>
        </w:rPr>
      </w:pPr>
      <w:r w:rsidRPr="00160CE8">
        <w:rPr>
          <w:rFonts w:hint="cs"/>
          <w:rtl/>
        </w:rPr>
        <w:t>חוק הפיקוח על שירותים פיננסיים (ביטוח)</w:t>
      </w:r>
      <w:r w:rsidRPr="00160CE8">
        <w:t xml:space="preserve"> </w:t>
      </w:r>
      <w:proofErr w:type="spellStart"/>
      <w:r w:rsidRPr="00160CE8">
        <w:rPr>
          <w:rFonts w:hint="cs"/>
          <w:rtl/>
        </w:rPr>
        <w:t>התשמ"א</w:t>
      </w:r>
      <w:proofErr w:type="spellEnd"/>
      <w:r w:rsidRPr="00160CE8">
        <w:rPr>
          <w:rFonts w:hint="eastAsia"/>
          <w:rtl/>
        </w:rPr>
        <w:t>–</w:t>
      </w:r>
      <w:r w:rsidRPr="00160CE8">
        <w:rPr>
          <w:rFonts w:hint="cs"/>
          <w:rtl/>
        </w:rPr>
        <w:t>1981</w:t>
      </w:r>
      <w:r w:rsidRPr="00160CE8">
        <w:rPr>
          <w:rtl/>
        </w:rPr>
        <w:t xml:space="preserve">, מסדיר את הוראות הדין לצורך רישוי סוכני ביטוח וסוכנויות הביטוח. החוק קובע את אופן הרישוי הנדרש וכן את הגורמים אשר אינם זכאים לאחוז </w:t>
      </w:r>
      <w:r w:rsidRPr="00160CE8">
        <w:rPr>
          <w:rFonts w:hint="cs"/>
          <w:rtl/>
        </w:rPr>
        <w:t>ברישיון</w:t>
      </w:r>
      <w:r w:rsidRPr="00160CE8">
        <w:rPr>
          <w:rtl/>
        </w:rPr>
        <w:t xml:space="preserve"> סוכן ביטוח.</w:t>
      </w:r>
    </w:p>
    <w:p w14:paraId="69C8B8D7" w14:textId="695B9E5C" w:rsidR="00395248" w:rsidRPr="00160CE8" w:rsidRDefault="00395248" w:rsidP="00A34549">
      <w:pPr>
        <w:pStyle w:val="Hesber"/>
        <w:spacing w:line="240" w:lineRule="auto"/>
        <w:rPr>
          <w:rtl/>
        </w:rPr>
      </w:pPr>
      <w:r w:rsidRPr="00160CE8">
        <w:rPr>
          <w:rtl/>
        </w:rPr>
        <w:t>בהתאם ל</w:t>
      </w:r>
      <w:r w:rsidR="001D7F57">
        <w:rPr>
          <w:rFonts w:hint="cs"/>
          <w:rtl/>
        </w:rPr>
        <w:t>המלצות "</w:t>
      </w:r>
      <w:r w:rsidRPr="00160CE8">
        <w:rPr>
          <w:rtl/>
        </w:rPr>
        <w:t xml:space="preserve">ועדת שטרום" נדרשו הבנקים לוותר על חברות כרטיסי האשראי בבעלותם. </w:t>
      </w:r>
      <w:r w:rsidRPr="00160CE8">
        <w:rPr>
          <w:rFonts w:hint="cs"/>
          <w:rtl/>
        </w:rPr>
        <w:t>בעלי</w:t>
      </w:r>
      <w:r w:rsidRPr="00160CE8">
        <w:rPr>
          <w:rtl/>
        </w:rPr>
        <w:t xml:space="preserve"> חברות האשראי החדשים, אשר מחפשים להרחיב את הכנסותיהם תוך מינוף </w:t>
      </w:r>
      <w:r w:rsidRPr="00160CE8">
        <w:rPr>
          <w:rFonts w:hint="cs"/>
          <w:rtl/>
        </w:rPr>
        <w:t>המידע</w:t>
      </w:r>
      <w:r w:rsidRPr="00160CE8">
        <w:rPr>
          <w:rtl/>
        </w:rPr>
        <w:t xml:space="preserve"> אשר </w:t>
      </w:r>
      <w:r w:rsidR="004076B7" w:rsidRPr="00160CE8">
        <w:rPr>
          <w:rtl/>
        </w:rPr>
        <w:t>נאס</w:t>
      </w:r>
      <w:r w:rsidR="004076B7">
        <w:rPr>
          <w:rFonts w:hint="cs"/>
          <w:rtl/>
        </w:rPr>
        <w:t>ף</w:t>
      </w:r>
      <w:r w:rsidR="004076B7" w:rsidRPr="00160CE8">
        <w:rPr>
          <w:rtl/>
        </w:rPr>
        <w:t xml:space="preserve"> </w:t>
      </w:r>
      <w:r w:rsidRPr="00160CE8">
        <w:rPr>
          <w:rtl/>
        </w:rPr>
        <w:t xml:space="preserve">על הציבור בישראל, שוקלים להתרחב </w:t>
      </w:r>
      <w:r w:rsidRPr="00160CE8">
        <w:rPr>
          <w:rFonts w:hint="cs"/>
          <w:rtl/>
        </w:rPr>
        <w:t>ולהיכנס</w:t>
      </w:r>
      <w:r w:rsidRPr="00160CE8">
        <w:rPr>
          <w:rtl/>
        </w:rPr>
        <w:t xml:space="preserve"> לענף הביטוח.</w:t>
      </w:r>
    </w:p>
    <w:p w14:paraId="5467F9FA" w14:textId="77777777" w:rsidR="00395248" w:rsidRPr="00160CE8" w:rsidRDefault="00395248" w:rsidP="00A34549">
      <w:pPr>
        <w:pStyle w:val="Hesber"/>
        <w:spacing w:line="240" w:lineRule="auto"/>
        <w:rPr>
          <w:rtl/>
        </w:rPr>
      </w:pPr>
      <w:r w:rsidRPr="00160CE8">
        <w:rPr>
          <w:rFonts w:hint="cs"/>
          <w:rtl/>
        </w:rPr>
        <w:t>המחוקק</w:t>
      </w:r>
      <w:r w:rsidRPr="00160CE8">
        <w:rPr>
          <w:rtl/>
        </w:rPr>
        <w:t xml:space="preserve"> </w:t>
      </w:r>
      <w:r w:rsidRPr="00160CE8">
        <w:rPr>
          <w:rFonts w:hint="cs"/>
          <w:rtl/>
        </w:rPr>
        <w:t>מנע</w:t>
      </w:r>
      <w:r w:rsidRPr="00160CE8">
        <w:rPr>
          <w:rtl/>
        </w:rPr>
        <w:t xml:space="preserve"> </w:t>
      </w:r>
      <w:r w:rsidRPr="00160CE8">
        <w:rPr>
          <w:rFonts w:hint="cs"/>
          <w:rtl/>
        </w:rPr>
        <w:t>מיועץ</w:t>
      </w:r>
      <w:r w:rsidRPr="00160CE8">
        <w:rPr>
          <w:rtl/>
        </w:rPr>
        <w:t xml:space="preserve"> </w:t>
      </w:r>
      <w:r w:rsidRPr="00160CE8">
        <w:rPr>
          <w:rFonts w:hint="cs"/>
          <w:rtl/>
        </w:rPr>
        <w:t>פנסיוני</w:t>
      </w:r>
      <w:r w:rsidRPr="00160CE8">
        <w:rPr>
          <w:rtl/>
        </w:rPr>
        <w:t xml:space="preserve"> </w:t>
      </w:r>
      <w:r w:rsidRPr="00160CE8">
        <w:rPr>
          <w:rFonts w:hint="cs"/>
          <w:rtl/>
        </w:rPr>
        <w:t>או</w:t>
      </w:r>
      <w:r w:rsidRPr="00160CE8">
        <w:rPr>
          <w:rtl/>
        </w:rPr>
        <w:t xml:space="preserve"> </w:t>
      </w:r>
      <w:r w:rsidRPr="00160CE8">
        <w:rPr>
          <w:rFonts w:hint="cs"/>
          <w:rtl/>
        </w:rPr>
        <w:t>יועץ</w:t>
      </w:r>
      <w:r w:rsidRPr="00160CE8">
        <w:rPr>
          <w:rtl/>
        </w:rPr>
        <w:t xml:space="preserve"> </w:t>
      </w:r>
      <w:r w:rsidRPr="00160CE8">
        <w:rPr>
          <w:rFonts w:hint="cs"/>
          <w:rtl/>
        </w:rPr>
        <w:t>השקעות</w:t>
      </w:r>
      <w:r w:rsidRPr="00160CE8">
        <w:rPr>
          <w:rtl/>
        </w:rPr>
        <w:t xml:space="preserve">, </w:t>
      </w:r>
      <w:r w:rsidRPr="00160CE8">
        <w:rPr>
          <w:rFonts w:hint="cs"/>
          <w:rtl/>
        </w:rPr>
        <w:t>להקים</w:t>
      </w:r>
      <w:r w:rsidRPr="00160CE8">
        <w:rPr>
          <w:rtl/>
        </w:rPr>
        <w:t xml:space="preserve"> </w:t>
      </w:r>
      <w:r w:rsidRPr="00160CE8">
        <w:rPr>
          <w:rFonts w:hint="cs"/>
          <w:rtl/>
        </w:rPr>
        <w:t>סוכנויות</w:t>
      </w:r>
      <w:r w:rsidRPr="00160CE8">
        <w:rPr>
          <w:rtl/>
        </w:rPr>
        <w:t xml:space="preserve"> </w:t>
      </w:r>
      <w:r w:rsidRPr="00160CE8">
        <w:rPr>
          <w:rFonts w:hint="cs"/>
          <w:rtl/>
        </w:rPr>
        <w:t>ביטוח</w:t>
      </w:r>
      <w:r w:rsidRPr="00160CE8">
        <w:rPr>
          <w:rtl/>
        </w:rPr>
        <w:t xml:space="preserve"> </w:t>
      </w:r>
      <w:r w:rsidRPr="00160CE8">
        <w:rPr>
          <w:rFonts w:hint="cs"/>
          <w:rtl/>
        </w:rPr>
        <w:t>על</w:t>
      </w:r>
      <w:r w:rsidRPr="00160CE8">
        <w:rPr>
          <w:rtl/>
        </w:rPr>
        <w:t xml:space="preserve"> </w:t>
      </w:r>
      <w:r w:rsidRPr="00160CE8">
        <w:rPr>
          <w:rFonts w:hint="cs"/>
          <w:rtl/>
        </w:rPr>
        <w:t>מנת</w:t>
      </w:r>
      <w:r w:rsidRPr="00160CE8">
        <w:rPr>
          <w:rtl/>
        </w:rPr>
        <w:t xml:space="preserve"> </w:t>
      </w:r>
      <w:r w:rsidRPr="00160CE8">
        <w:rPr>
          <w:rFonts w:hint="cs"/>
          <w:rtl/>
        </w:rPr>
        <w:t>לשמור</w:t>
      </w:r>
      <w:r w:rsidRPr="00160CE8">
        <w:rPr>
          <w:rtl/>
        </w:rPr>
        <w:t xml:space="preserve"> </w:t>
      </w:r>
      <w:r w:rsidRPr="00160CE8">
        <w:rPr>
          <w:rFonts w:hint="cs"/>
          <w:rtl/>
        </w:rPr>
        <w:t>על</w:t>
      </w:r>
      <w:r w:rsidRPr="00160CE8">
        <w:rPr>
          <w:rtl/>
        </w:rPr>
        <w:t xml:space="preserve"> </w:t>
      </w:r>
      <w:r w:rsidRPr="00160CE8">
        <w:rPr>
          <w:rFonts w:hint="cs"/>
          <w:rtl/>
        </w:rPr>
        <w:t>אובייקטיביות</w:t>
      </w:r>
      <w:r w:rsidRPr="00160CE8">
        <w:rPr>
          <w:rtl/>
        </w:rPr>
        <w:t>.</w:t>
      </w:r>
      <w:r w:rsidRPr="00160CE8">
        <w:rPr>
          <w:rFonts w:hint="cs"/>
          <w:rtl/>
        </w:rPr>
        <w:t xml:space="preserve"> הממונה</w:t>
      </w:r>
      <w:r w:rsidRPr="00160CE8">
        <w:rPr>
          <w:rtl/>
        </w:rPr>
        <w:t xml:space="preserve"> על רשות שוק ההון, ציין בטיוטה שהוציא תחת ידיו, כי בין יתר השיקולים למתן היתר שליטה ואחזקה בסוכנות ביטוח יש לבחון את תרומת מתן </w:t>
      </w:r>
      <w:r w:rsidRPr="00160CE8">
        <w:rPr>
          <w:rFonts w:hint="cs"/>
          <w:rtl/>
        </w:rPr>
        <w:t>הרישיון</w:t>
      </w:r>
      <w:r w:rsidRPr="00160CE8">
        <w:rPr>
          <w:rtl/>
        </w:rPr>
        <w:t xml:space="preserve"> לתחרות בשוק ההון, ובמיוחד לתחרות במשק הביטוח ולרמת השירות בו, המדיניות הכלכלית של הממשלה, </w:t>
      </w:r>
      <w:r w:rsidRPr="00160CE8">
        <w:rPr>
          <w:rFonts w:hint="cs"/>
          <w:rtl/>
        </w:rPr>
        <w:t>ו</w:t>
      </w:r>
      <w:r w:rsidRPr="00160CE8">
        <w:rPr>
          <w:rtl/>
        </w:rPr>
        <w:t>טעמים שבטובת הציבור.</w:t>
      </w:r>
    </w:p>
    <w:p w14:paraId="33EDDEE9" w14:textId="7AD71B51" w:rsidR="00395248" w:rsidRPr="00160CE8" w:rsidRDefault="00395248" w:rsidP="00A34549">
      <w:pPr>
        <w:pStyle w:val="Hesber"/>
        <w:spacing w:line="240" w:lineRule="auto"/>
      </w:pPr>
      <w:r w:rsidRPr="00160CE8">
        <w:rPr>
          <w:rtl/>
        </w:rPr>
        <w:t xml:space="preserve"> כפי שאנו למדים, לאור מדיניותה הכלכלית של הממשלה ומטעמים של טובת הציבור ועל מנת לשמור על איכות השירות בתחום הביטוח שהינו ענף מקצועי המצריך ידע ומיומנות, ומתוך מקום למנוע ריכוזיות אחת באחרת, מוגשת הצעה זו</w:t>
      </w:r>
      <w:r w:rsidRPr="00160CE8">
        <w:rPr>
          <w:rFonts w:hint="cs"/>
          <w:rtl/>
        </w:rPr>
        <w:t xml:space="preserve"> במטרה</w:t>
      </w:r>
      <w:r w:rsidRPr="00160CE8">
        <w:rPr>
          <w:rtl/>
        </w:rPr>
        <w:t xml:space="preserve"> להרחיב את ההגבלות האמורות לעניין רישוי סוכנות ביטוח ולקבוע כי חברות האשראי אשר הינן גורמים דומיננטיים בעלי שליטה על תחום הסליקה לא יהיו רשאים להקים סוכנות לביטוח. </w:t>
      </w:r>
    </w:p>
    <w:p w14:paraId="478D6A7C" w14:textId="1CB022A6" w:rsidR="00395248" w:rsidRPr="00160CE8" w:rsidRDefault="00395248" w:rsidP="00A34549">
      <w:pPr>
        <w:pStyle w:val="Hesber"/>
        <w:spacing w:line="240" w:lineRule="auto"/>
        <w:rPr>
          <w:rtl/>
        </w:rPr>
      </w:pPr>
      <w:r w:rsidRPr="00160CE8">
        <w:rPr>
          <w:rFonts w:hint="cs"/>
          <w:rtl/>
        </w:rPr>
        <w:t>הצע</w:t>
      </w:r>
      <w:r w:rsidR="004076B7">
        <w:rPr>
          <w:rFonts w:hint="cs"/>
          <w:rtl/>
        </w:rPr>
        <w:t>ו</w:t>
      </w:r>
      <w:r w:rsidRPr="00160CE8">
        <w:rPr>
          <w:rFonts w:hint="cs"/>
          <w:rtl/>
        </w:rPr>
        <w:t xml:space="preserve">ת חוק </w:t>
      </w:r>
      <w:r w:rsidR="004076B7" w:rsidRPr="00160CE8">
        <w:rPr>
          <w:rFonts w:hint="cs"/>
          <w:rtl/>
        </w:rPr>
        <w:t>זה</w:t>
      </w:r>
      <w:r w:rsidR="004076B7">
        <w:rPr>
          <w:rFonts w:hint="cs"/>
          <w:rtl/>
        </w:rPr>
        <w:t>ות</w:t>
      </w:r>
      <w:r w:rsidR="004076B7" w:rsidRPr="00160CE8">
        <w:rPr>
          <w:rFonts w:hint="cs"/>
          <w:rtl/>
        </w:rPr>
        <w:t xml:space="preserve"> הונח</w:t>
      </w:r>
      <w:r w:rsidR="004076B7">
        <w:rPr>
          <w:rFonts w:hint="cs"/>
          <w:rtl/>
        </w:rPr>
        <w:t>ו</w:t>
      </w:r>
      <w:r w:rsidR="004076B7" w:rsidRPr="00160CE8">
        <w:rPr>
          <w:rFonts w:hint="cs"/>
          <w:rtl/>
        </w:rPr>
        <w:t xml:space="preserve"> </w:t>
      </w:r>
      <w:r w:rsidRPr="00160CE8">
        <w:rPr>
          <w:rFonts w:hint="cs"/>
          <w:rtl/>
        </w:rPr>
        <w:t xml:space="preserve">על שולחן הכנסת העשרים ושלוש </w:t>
      </w:r>
      <w:r w:rsidR="00160CE8">
        <w:rPr>
          <w:rFonts w:hint="cs"/>
          <w:rtl/>
        </w:rPr>
        <w:t xml:space="preserve">ועל שולחן הכנסת העשרים וארבע </w:t>
      </w:r>
      <w:r w:rsidRPr="00160CE8">
        <w:rPr>
          <w:rFonts w:hint="cs"/>
          <w:rtl/>
        </w:rPr>
        <w:t xml:space="preserve">על ידי חבר הכנסת </w:t>
      </w:r>
      <w:proofErr w:type="spellStart"/>
      <w:r w:rsidRPr="00160CE8">
        <w:rPr>
          <w:rFonts w:hint="cs"/>
          <w:rtl/>
        </w:rPr>
        <w:t>מכלוף</w:t>
      </w:r>
      <w:proofErr w:type="spellEnd"/>
      <w:r w:rsidRPr="00160CE8">
        <w:rPr>
          <w:rFonts w:hint="cs"/>
          <w:rtl/>
        </w:rPr>
        <w:t xml:space="preserve"> מיקי זוהר (פ/818/23</w:t>
      </w:r>
      <w:r w:rsidR="00160CE8">
        <w:rPr>
          <w:rFonts w:hint="cs"/>
          <w:rtl/>
        </w:rPr>
        <w:t>;</w:t>
      </w:r>
      <w:r w:rsidR="00160CE8">
        <w:rPr>
          <w:rFonts w:hint="cs"/>
        </w:rPr>
        <w:t xml:space="preserve"> </w:t>
      </w:r>
      <w:r w:rsidR="00160CE8">
        <w:rPr>
          <w:rFonts w:hint="cs"/>
          <w:rtl/>
        </w:rPr>
        <w:t xml:space="preserve">פ/1641/24). </w:t>
      </w:r>
    </w:p>
    <w:p w14:paraId="173AE8B9" w14:textId="7B5808AF" w:rsidR="00395248" w:rsidRPr="00160CE8" w:rsidRDefault="00395248" w:rsidP="00A34549">
      <w:pPr>
        <w:pStyle w:val="Hesber"/>
        <w:spacing w:line="240" w:lineRule="auto"/>
        <w:rPr>
          <w:rtl/>
        </w:rPr>
      </w:pPr>
      <w:r w:rsidRPr="00160CE8">
        <w:rPr>
          <w:rFonts w:hint="cs"/>
          <w:rtl/>
        </w:rPr>
        <w:t xml:space="preserve">הצעת החוק זהה </w:t>
      </w:r>
      <w:proofErr w:type="spellStart"/>
      <w:r w:rsidRPr="00160CE8">
        <w:rPr>
          <w:rFonts w:hint="cs"/>
          <w:rtl/>
        </w:rPr>
        <w:t>לפ</w:t>
      </w:r>
      <w:proofErr w:type="spellEnd"/>
      <w:r w:rsidRPr="00160CE8">
        <w:rPr>
          <w:rFonts w:hint="cs"/>
          <w:rtl/>
        </w:rPr>
        <w:t>/</w:t>
      </w:r>
      <w:r w:rsidR="00160CE8">
        <w:rPr>
          <w:rFonts w:hint="cs"/>
          <w:rtl/>
        </w:rPr>
        <w:t>1641</w:t>
      </w:r>
      <w:r w:rsidRPr="00160CE8">
        <w:rPr>
          <w:rFonts w:hint="cs"/>
          <w:rtl/>
        </w:rPr>
        <w:t>/</w:t>
      </w:r>
      <w:r w:rsidR="00160CE8" w:rsidRPr="00160CE8">
        <w:rPr>
          <w:rFonts w:hint="cs"/>
          <w:rtl/>
        </w:rPr>
        <w:t>2</w:t>
      </w:r>
      <w:r w:rsidR="00160CE8">
        <w:rPr>
          <w:rFonts w:hint="cs"/>
          <w:rtl/>
        </w:rPr>
        <w:t>4</w:t>
      </w:r>
      <w:r w:rsidR="00160CE8" w:rsidRPr="00160CE8">
        <w:rPr>
          <w:rFonts w:hint="cs"/>
          <w:rtl/>
        </w:rPr>
        <w:t xml:space="preserve"> </w:t>
      </w:r>
      <w:r w:rsidRPr="00160CE8">
        <w:rPr>
          <w:rFonts w:hint="cs"/>
          <w:rtl/>
        </w:rPr>
        <w:t>ולפיכך לא נבדקה מחדש על ידי הלשכה המשפטית של הכנסת.</w:t>
      </w:r>
    </w:p>
    <w:p w14:paraId="7F6961CB" w14:textId="7B521C61" w:rsidR="00E13C27" w:rsidRPr="00160CE8" w:rsidRDefault="00E13C27" w:rsidP="00A34549">
      <w:pPr>
        <w:pStyle w:val="Hesber"/>
        <w:spacing w:line="240" w:lineRule="auto"/>
        <w:rPr>
          <w:rtl/>
        </w:rPr>
      </w:pPr>
    </w:p>
    <w:p w14:paraId="6CFF3F2C" w14:textId="77777777" w:rsidR="00CB1443" w:rsidRDefault="00A34549" w:rsidP="00A34549">
      <w:pPr>
        <w:spacing w:line="240" w:lineRule="auto"/>
        <w:jc w:val="left"/>
      </w:pPr>
      <w:bookmarkStart w:id="9" w:name="selectedDocDateB"/>
      <w:bookmarkEnd w:id="9"/>
      <w:r>
        <w:rPr>
          <w:rFonts w:eastAsia="David" w:hint="cs"/>
          <w:sz w:val="26"/>
          <w:szCs w:val="26"/>
          <w:rtl/>
        </w:rPr>
        <w:t>--------------------------------</w:t>
      </w:r>
    </w:p>
    <w:p w14:paraId="172762EA" w14:textId="77777777" w:rsidR="00CB1443" w:rsidRDefault="00A34549" w:rsidP="00A34549">
      <w:pPr>
        <w:spacing w:line="240" w:lineRule="auto"/>
        <w:jc w:val="left"/>
      </w:pPr>
      <w:r>
        <w:rPr>
          <w:rFonts w:eastAsia="David" w:hint="cs"/>
          <w:sz w:val="26"/>
          <w:szCs w:val="26"/>
          <w:rtl/>
        </w:rPr>
        <w:t>הוגשה ליו"ר הכנסת והסגנים</w:t>
      </w:r>
    </w:p>
    <w:p w14:paraId="5D0A5C16" w14:textId="77777777" w:rsidR="00CB1443" w:rsidRDefault="00A34549" w:rsidP="00A34549">
      <w:pPr>
        <w:spacing w:line="240" w:lineRule="auto"/>
        <w:jc w:val="left"/>
      </w:pPr>
      <w:r>
        <w:rPr>
          <w:rFonts w:eastAsia="David" w:hint="cs"/>
          <w:sz w:val="26"/>
          <w:szCs w:val="26"/>
          <w:rtl/>
        </w:rPr>
        <w:t>והונחה על שולחן הכנסת ביום</w:t>
      </w:r>
    </w:p>
    <w:p w14:paraId="717B90DB" w14:textId="77777777" w:rsidR="00CB1443" w:rsidRDefault="00A34549" w:rsidP="00A34549">
      <w:pPr>
        <w:spacing w:line="240" w:lineRule="auto"/>
        <w:jc w:val="left"/>
      </w:pPr>
      <w:r>
        <w:rPr>
          <w:rFonts w:eastAsia="David" w:hint="cs"/>
          <w:sz w:val="26"/>
          <w:szCs w:val="26"/>
          <w:rtl/>
        </w:rPr>
        <w:t xml:space="preserve">ב' בטבת </w:t>
      </w:r>
      <w:proofErr w:type="spellStart"/>
      <w:r>
        <w:rPr>
          <w:rFonts w:eastAsia="David" w:hint="cs"/>
          <w:sz w:val="26"/>
          <w:szCs w:val="26"/>
          <w:rtl/>
        </w:rPr>
        <w:t>התשפ"ג</w:t>
      </w:r>
      <w:proofErr w:type="spellEnd"/>
      <w:r>
        <w:rPr>
          <w:rFonts w:eastAsia="David" w:hint="cs"/>
          <w:sz w:val="26"/>
          <w:szCs w:val="26"/>
          <w:rtl/>
        </w:rPr>
        <w:t xml:space="preserve"> (26.12.2022) </w:t>
      </w:r>
    </w:p>
    <w:p w14:paraId="75A8EFAA" w14:textId="77777777" w:rsidR="00CB1443" w:rsidRDefault="00CB1443">
      <w:pPr>
        <w:spacing w:line="276" w:lineRule="auto"/>
        <w:jc w:val="left"/>
      </w:pPr>
    </w:p>
    <w:sectPr w:rsidR="00CB1443" w:rsidSect="00A34549">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32CFEEB"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34549">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A34549">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A1A96CB" w14:textId="77777777" w:rsidR="00395248" w:rsidRPr="00127F2D" w:rsidRDefault="00395248" w:rsidP="00395248">
      <w:pPr>
        <w:pStyle w:val="a4"/>
        <w:rPr>
          <w:rtl/>
        </w:rPr>
      </w:pPr>
      <w:r w:rsidRPr="00127F2D">
        <w:rPr>
          <w:rFonts w:hint="cs"/>
          <w:vertAlign w:val="superscript"/>
          <w:rtl/>
        </w:rPr>
        <w:t>1</w:t>
      </w:r>
      <w:r w:rsidRPr="001B18D4">
        <w:rPr>
          <w:rtl/>
        </w:rPr>
        <w:t xml:space="preserve"> </w:t>
      </w:r>
      <w:r w:rsidRPr="00127F2D">
        <w:rPr>
          <w:rFonts w:hint="cs"/>
          <w:rtl/>
        </w:rPr>
        <w:t xml:space="preserve">ס"ח </w:t>
      </w:r>
      <w:proofErr w:type="spellStart"/>
      <w:r w:rsidRPr="00127F2D">
        <w:rPr>
          <w:rFonts w:hint="cs"/>
          <w:rtl/>
        </w:rPr>
        <w:t>התשמ"א</w:t>
      </w:r>
      <w:proofErr w:type="spellEnd"/>
      <w:r w:rsidRPr="00127F2D">
        <w:rPr>
          <w:rFonts w:hint="cs"/>
          <w:rtl/>
        </w:rPr>
        <w:t xml:space="preserve">, עמ' </w:t>
      </w:r>
      <w:r>
        <w:rPr>
          <w:rFonts w:hint="cs"/>
          <w:rtl/>
        </w:rPr>
        <w:t>208</w:t>
      </w:r>
      <w:r w:rsidRPr="00127F2D">
        <w:rPr>
          <w:rFonts w:hint="cs"/>
          <w:rtl/>
        </w:rPr>
        <w:t>.</w:t>
      </w:r>
    </w:p>
  </w:footnote>
  <w:footnote w:id="3">
    <w:p w14:paraId="2917AE3B" w14:textId="77777777" w:rsidR="00395248" w:rsidRDefault="00395248" w:rsidP="00395248">
      <w:pPr>
        <w:pStyle w:val="a4"/>
      </w:pPr>
      <w:r>
        <w:rPr>
          <w:rStyle w:val="a6"/>
        </w:rPr>
        <w:footnoteRef/>
      </w:r>
      <w:r>
        <w:rPr>
          <w:rtl/>
        </w:rPr>
        <w:t xml:space="preserve"> </w:t>
      </w:r>
      <w:r>
        <w:rPr>
          <w:rFonts w:hint="cs"/>
          <w:rtl/>
        </w:rPr>
        <w:t xml:space="preserve">ס"ח </w:t>
      </w:r>
      <w:proofErr w:type="spellStart"/>
      <w:r>
        <w:rPr>
          <w:rFonts w:hint="cs"/>
          <w:rtl/>
        </w:rPr>
        <w:t>התשע"ו</w:t>
      </w:r>
      <w:proofErr w:type="spellEnd"/>
      <w:r>
        <w:rPr>
          <w:rFonts w:hint="cs"/>
          <w:rtl/>
        </w:rPr>
        <w:t>, עמ' 1098.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32AE"/>
    <w:rsid w:val="00063A3E"/>
    <w:rsid w:val="00072CAC"/>
    <w:rsid w:val="0007681A"/>
    <w:rsid w:val="000A542E"/>
    <w:rsid w:val="00102B6B"/>
    <w:rsid w:val="001052D4"/>
    <w:rsid w:val="0010644B"/>
    <w:rsid w:val="001207F8"/>
    <w:rsid w:val="00121924"/>
    <w:rsid w:val="00125E64"/>
    <w:rsid w:val="001279A8"/>
    <w:rsid w:val="0014195F"/>
    <w:rsid w:val="00152609"/>
    <w:rsid w:val="00153E1B"/>
    <w:rsid w:val="00160CE8"/>
    <w:rsid w:val="001A0623"/>
    <w:rsid w:val="001C23B0"/>
    <w:rsid w:val="001D7AAF"/>
    <w:rsid w:val="001D7F57"/>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15776"/>
    <w:rsid w:val="003232A2"/>
    <w:rsid w:val="00325C14"/>
    <w:rsid w:val="0036422C"/>
    <w:rsid w:val="003710F6"/>
    <w:rsid w:val="00386E88"/>
    <w:rsid w:val="00395248"/>
    <w:rsid w:val="00396585"/>
    <w:rsid w:val="003D6E38"/>
    <w:rsid w:val="003D74A0"/>
    <w:rsid w:val="004033D8"/>
    <w:rsid w:val="004073F0"/>
    <w:rsid w:val="004076B7"/>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2BCD"/>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34549"/>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B1443"/>
    <w:rsid w:val="00CB6336"/>
    <w:rsid w:val="00CF1AA2"/>
    <w:rsid w:val="00D142D3"/>
    <w:rsid w:val="00D17774"/>
    <w:rsid w:val="00D63620"/>
    <w:rsid w:val="00D8410D"/>
    <w:rsid w:val="00D867D7"/>
    <w:rsid w:val="00DB6D06"/>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C226535-FBA2-48A7-8902-72A5D453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549"/>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A34549"/>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A34549"/>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A34549"/>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A34549"/>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A34549"/>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A3454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A34549"/>
    <w:rPr>
      <w:sz w:val="36"/>
      <w:szCs w:val="52"/>
    </w:rPr>
  </w:style>
  <w:style w:type="paragraph" w:customStyle="1" w:styleId="Cover3-Haknesset">
    <w:name w:val="Cover 3-Haknesset"/>
    <w:basedOn w:val="Cover1-Reshumot"/>
    <w:rsid w:val="00A34549"/>
    <w:rPr>
      <w:b/>
      <w:bCs/>
      <w:spacing w:val="60"/>
    </w:rPr>
  </w:style>
  <w:style w:type="paragraph" w:customStyle="1" w:styleId="Cover4-Date">
    <w:name w:val="Cover 4-Date"/>
    <w:basedOn w:val="a"/>
    <w:rsid w:val="00A3454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A34549"/>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A34549"/>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A34549"/>
    <w:pPr>
      <w:spacing w:before="120" w:after="120"/>
    </w:pPr>
    <w:rPr>
      <w:color w:val="FF0000"/>
      <w:w w:val="80"/>
    </w:rPr>
  </w:style>
  <w:style w:type="paragraph" w:styleId="a3">
    <w:name w:val="endnote text"/>
    <w:basedOn w:val="a"/>
    <w:semiHidden/>
    <w:rsid w:val="00A34549"/>
    <w:pPr>
      <w:ind w:left="227" w:hanging="227"/>
    </w:pPr>
    <w:rPr>
      <w:sz w:val="14"/>
      <w:szCs w:val="22"/>
    </w:rPr>
  </w:style>
  <w:style w:type="paragraph" w:customStyle="1" w:styleId="TableText">
    <w:name w:val="Table Text"/>
    <w:basedOn w:val="a"/>
    <w:rsid w:val="00A34549"/>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A34549"/>
    <w:pPr>
      <w:outlineLvl w:val="2"/>
    </w:pPr>
  </w:style>
  <w:style w:type="paragraph" w:customStyle="1" w:styleId="TableBlock">
    <w:name w:val="Table Block"/>
    <w:basedOn w:val="TableText"/>
    <w:rsid w:val="00A34549"/>
    <w:pPr>
      <w:jc w:val="both"/>
    </w:pPr>
  </w:style>
  <w:style w:type="paragraph" w:customStyle="1" w:styleId="TableHead">
    <w:name w:val="Table Head"/>
    <w:basedOn w:val="TableText"/>
    <w:rsid w:val="00A34549"/>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A34549"/>
    <w:pPr>
      <w:outlineLvl w:val="9"/>
    </w:pPr>
  </w:style>
  <w:style w:type="paragraph" w:customStyle="1" w:styleId="Hesber">
    <w:name w:val="Hesber"/>
    <w:basedOn w:val="a"/>
    <w:rsid w:val="00A34549"/>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A34549"/>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A34549"/>
    <w:rPr>
      <w:vertAlign w:val="superscript"/>
    </w:rPr>
  </w:style>
  <w:style w:type="paragraph" w:customStyle="1" w:styleId="HesberHeading">
    <w:name w:val="Hesber Heading"/>
    <w:basedOn w:val="Hesber"/>
    <w:rsid w:val="00A34549"/>
    <w:pPr>
      <w:tabs>
        <w:tab w:val="left" w:pos="624"/>
        <w:tab w:val="left" w:pos="1247"/>
      </w:tabs>
    </w:pPr>
    <w:rPr>
      <w:b/>
      <w:bCs/>
    </w:rPr>
  </w:style>
  <w:style w:type="paragraph" w:customStyle="1" w:styleId="HesberWriters">
    <w:name w:val="Hesber Writers"/>
    <w:basedOn w:val="Hesber"/>
    <w:rsid w:val="00A34549"/>
    <w:pPr>
      <w:spacing w:before="120" w:after="120"/>
      <w:ind w:left="1418"/>
      <w:jc w:val="right"/>
    </w:pPr>
    <w:rPr>
      <w:b/>
      <w:bCs/>
    </w:rPr>
  </w:style>
  <w:style w:type="paragraph" w:customStyle="1" w:styleId="Hesber1st">
    <w:name w:val="Hesber 1st"/>
    <w:basedOn w:val="Hesber"/>
    <w:rsid w:val="00A34549"/>
    <w:pPr>
      <w:tabs>
        <w:tab w:val="left" w:pos="680"/>
        <w:tab w:val="left" w:pos="1020"/>
      </w:tabs>
      <w:ind w:firstLine="0"/>
    </w:pPr>
  </w:style>
  <w:style w:type="character" w:styleId="a7">
    <w:name w:val="endnote reference"/>
    <w:basedOn w:val="a0"/>
    <w:semiHidden/>
    <w:rsid w:val="00A34549"/>
    <w:rPr>
      <w:vertAlign w:val="superscript"/>
    </w:rPr>
  </w:style>
  <w:style w:type="paragraph" w:customStyle="1" w:styleId="TableBlockOutdent">
    <w:name w:val="Table BlockOutdent"/>
    <w:basedOn w:val="TableBlock"/>
    <w:rsid w:val="00A34549"/>
    <w:pPr>
      <w:ind w:left="624" w:hanging="624"/>
    </w:pPr>
  </w:style>
  <w:style w:type="paragraph" w:styleId="a8">
    <w:name w:val="header"/>
    <w:basedOn w:val="a"/>
    <w:rsid w:val="00A34549"/>
    <w:pPr>
      <w:tabs>
        <w:tab w:val="center" w:pos="4153"/>
        <w:tab w:val="right" w:pos="8306"/>
      </w:tabs>
    </w:pPr>
  </w:style>
  <w:style w:type="paragraph" w:styleId="a9">
    <w:name w:val="footer"/>
    <w:basedOn w:val="a"/>
    <w:rsid w:val="00A34549"/>
    <w:pPr>
      <w:tabs>
        <w:tab w:val="center" w:pos="4153"/>
        <w:tab w:val="right" w:pos="8306"/>
      </w:tabs>
    </w:pPr>
  </w:style>
  <w:style w:type="paragraph" w:customStyle="1" w:styleId="HeadDivreiHesber">
    <w:name w:val="Head DivreiHesber"/>
    <w:basedOn w:val="a"/>
    <w:rsid w:val="00A34549"/>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A34549"/>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A34549"/>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95248"/>
    <w:rPr>
      <w:rFonts w:ascii="Arial" w:eastAsia="Arial Unicode MS" w:hAnsi="Arial" w:cs="David"/>
      <w:snapToGrid w:val="0"/>
      <w:sz w:val="14"/>
    </w:rPr>
  </w:style>
  <w:style w:type="character" w:styleId="ae">
    <w:name w:val="annotation reference"/>
    <w:basedOn w:val="a0"/>
    <w:semiHidden/>
    <w:unhideWhenUsed/>
    <w:rsid w:val="00315776"/>
    <w:rPr>
      <w:sz w:val="16"/>
      <w:szCs w:val="16"/>
    </w:rPr>
  </w:style>
  <w:style w:type="paragraph" w:styleId="af">
    <w:name w:val="annotation text"/>
    <w:basedOn w:val="a"/>
    <w:link w:val="af0"/>
    <w:semiHidden/>
    <w:unhideWhenUsed/>
    <w:rsid w:val="00315776"/>
    <w:pPr>
      <w:spacing w:line="240" w:lineRule="auto"/>
    </w:pPr>
    <w:rPr>
      <w:sz w:val="20"/>
      <w:szCs w:val="20"/>
    </w:rPr>
  </w:style>
  <w:style w:type="character" w:customStyle="1" w:styleId="af0">
    <w:name w:val="טקסט הערה תו"/>
    <w:basedOn w:val="a0"/>
    <w:link w:val="af"/>
    <w:semiHidden/>
    <w:rsid w:val="00315776"/>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315776"/>
    <w:rPr>
      <w:b/>
      <w:bCs/>
    </w:rPr>
  </w:style>
  <w:style w:type="character" w:customStyle="1" w:styleId="af2">
    <w:name w:val="נושא הערה תו"/>
    <w:basedOn w:val="af0"/>
    <w:link w:val="af1"/>
    <w:semiHidden/>
    <w:rsid w:val="00315776"/>
    <w:rPr>
      <w:rFonts w:ascii="Hadasa Roso SL" w:hAnsi="Hadasa Roso SL" w:cs="Hadasa Roso SL"/>
      <w:b/>
      <w:bCs/>
      <w:color w:val="000000"/>
      <w:spacing w:val="1"/>
      <w:lang w:eastAsia="ja-JP"/>
    </w:rPr>
  </w:style>
  <w:style w:type="character" w:customStyle="1" w:styleId="10">
    <w:name w:val="כותרת 1 תו"/>
    <w:basedOn w:val="a0"/>
    <w:link w:val="1"/>
    <w:uiPriority w:val="9"/>
    <w:rsid w:val="00A34549"/>
    <w:rPr>
      <w:rFonts w:asciiTheme="majorHAnsi" w:eastAsiaTheme="majorEastAsia" w:hAnsiTheme="majorHAnsi" w:cs="David"/>
      <w:bCs/>
      <w:sz w:val="32"/>
      <w:szCs w:val="36"/>
    </w:rPr>
  </w:style>
  <w:style w:type="character" w:customStyle="1" w:styleId="20">
    <w:name w:val="כותרת 2 תו"/>
    <w:basedOn w:val="a0"/>
    <w:link w:val="2"/>
    <w:rsid w:val="00A34549"/>
    <w:rPr>
      <w:rFonts w:asciiTheme="majorHAnsi" w:eastAsiaTheme="majorEastAsia" w:hAnsiTheme="majorHAnsi" w:cs="David"/>
      <w:bCs/>
      <w:sz w:val="26"/>
      <w:szCs w:val="36"/>
      <w:u w:val="single"/>
    </w:rPr>
  </w:style>
  <w:style w:type="character" w:customStyle="1" w:styleId="30">
    <w:name w:val="כותרת 3 תו"/>
    <w:basedOn w:val="a0"/>
    <w:link w:val="3"/>
    <w:rsid w:val="00A34549"/>
    <w:rPr>
      <w:rFonts w:asciiTheme="majorHAnsi" w:eastAsiaTheme="majorEastAsia" w:hAnsiTheme="majorHAnsi" w:cs="David"/>
      <w:sz w:val="24"/>
      <w:szCs w:val="28"/>
      <w:u w:val="double"/>
    </w:rPr>
  </w:style>
  <w:style w:type="character" w:customStyle="1" w:styleId="40">
    <w:name w:val="כותרת 4 תו"/>
    <w:basedOn w:val="a0"/>
    <w:link w:val="4"/>
    <w:uiPriority w:val="9"/>
    <w:rsid w:val="00A34549"/>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A34549"/>
    <w:rPr>
      <w:rFonts w:ascii="David" w:eastAsiaTheme="minorHAnsi" w:hAnsi="David" w:cs="David"/>
      <w:color w:val="000000" w:themeColor="text1"/>
      <w:sz w:val="24"/>
      <w:szCs w:val="24"/>
    </w:rPr>
  </w:style>
  <w:style w:type="paragraph" w:styleId="af3">
    <w:name w:val="TOC Heading"/>
    <w:basedOn w:val="1"/>
    <w:next w:val="a"/>
    <w:uiPriority w:val="39"/>
    <w:unhideWhenUsed/>
    <w:qFormat/>
    <w:rsid w:val="00A34549"/>
    <w:pPr>
      <w:widowControl/>
      <w:spacing w:before="120" w:after="120"/>
      <w:outlineLvl w:val="9"/>
    </w:pPr>
    <w:rPr>
      <w:rtl/>
      <w:cs/>
    </w:rPr>
  </w:style>
  <w:style w:type="paragraph" w:styleId="TOC1">
    <w:name w:val="toc 1"/>
    <w:basedOn w:val="a"/>
    <w:next w:val="a"/>
    <w:autoRedefine/>
    <w:uiPriority w:val="39"/>
    <w:unhideWhenUsed/>
    <w:rsid w:val="00A34549"/>
    <w:pPr>
      <w:tabs>
        <w:tab w:val="right" w:leader="dot" w:pos="9629"/>
      </w:tabs>
      <w:spacing w:after="100"/>
    </w:pPr>
    <w:rPr>
      <w:bCs/>
      <w:szCs w:val="22"/>
    </w:rPr>
  </w:style>
  <w:style w:type="paragraph" w:styleId="TOC2">
    <w:name w:val="toc 2"/>
    <w:basedOn w:val="a"/>
    <w:next w:val="a"/>
    <w:uiPriority w:val="39"/>
    <w:unhideWhenUsed/>
    <w:rsid w:val="00A34549"/>
    <w:pPr>
      <w:tabs>
        <w:tab w:val="right" w:leader="dot" w:pos="9628"/>
      </w:tabs>
      <w:spacing w:after="100"/>
    </w:pPr>
    <w:rPr>
      <w:szCs w:val="22"/>
    </w:rPr>
  </w:style>
  <w:style w:type="character" w:styleId="Hyperlink">
    <w:name w:val="Hyperlink"/>
    <w:basedOn w:val="a0"/>
    <w:uiPriority w:val="99"/>
    <w:unhideWhenUsed/>
    <w:rsid w:val="00A34549"/>
    <w:rPr>
      <w:color w:val="0000FF" w:themeColor="hyperlink"/>
      <w:u w:val="single"/>
    </w:rPr>
  </w:style>
  <w:style w:type="paragraph" w:styleId="TOC3">
    <w:name w:val="toc 3"/>
    <w:basedOn w:val="a"/>
    <w:next w:val="a"/>
    <w:uiPriority w:val="39"/>
    <w:unhideWhenUsed/>
    <w:rsid w:val="00A34549"/>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A3454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A34549"/>
    <w:pPr>
      <w:tabs>
        <w:tab w:val="right" w:leader="dot" w:pos="9628"/>
      </w:tabs>
      <w:spacing w:after="100"/>
      <w:ind w:left="567"/>
    </w:pPr>
    <w:rPr>
      <w:szCs w:val="22"/>
    </w:rPr>
  </w:style>
  <w:style w:type="paragraph" w:styleId="TOC6">
    <w:name w:val="toc 6"/>
    <w:basedOn w:val="a"/>
    <w:next w:val="a"/>
    <w:autoRedefine/>
    <w:semiHidden/>
    <w:unhideWhenUsed/>
    <w:rsid w:val="00A34549"/>
    <w:pPr>
      <w:spacing w:after="100"/>
      <w:ind w:left="850"/>
    </w:pPr>
  </w:style>
  <w:style w:type="paragraph" w:styleId="TOC7">
    <w:name w:val="toc 7"/>
    <w:basedOn w:val="a"/>
    <w:next w:val="a"/>
    <w:autoRedefine/>
    <w:semiHidden/>
    <w:unhideWhenUsed/>
    <w:rsid w:val="00A34549"/>
    <w:pPr>
      <w:spacing w:after="100"/>
      <w:ind w:left="1020"/>
    </w:pPr>
  </w:style>
  <w:style w:type="paragraph" w:styleId="TOC8">
    <w:name w:val="toc 8"/>
    <w:basedOn w:val="a"/>
    <w:next w:val="a"/>
    <w:autoRedefine/>
    <w:semiHidden/>
    <w:unhideWhenUsed/>
    <w:rsid w:val="00A34549"/>
    <w:pPr>
      <w:spacing w:after="100"/>
      <w:ind w:left="1190"/>
    </w:pPr>
  </w:style>
  <w:style w:type="paragraph" w:styleId="TOC9">
    <w:name w:val="toc 9"/>
    <w:basedOn w:val="a"/>
    <w:next w:val="a"/>
    <w:autoRedefine/>
    <w:semiHidden/>
    <w:unhideWhenUsed/>
    <w:rsid w:val="00A34549"/>
    <w:pPr>
      <w:spacing w:after="100"/>
      <w:ind w:left="1360"/>
    </w:pPr>
  </w:style>
  <w:style w:type="paragraph" w:customStyle="1" w:styleId="TableHead2">
    <w:name w:val="Table Head2"/>
    <w:basedOn w:val="TableHead"/>
    <w:qFormat/>
    <w:rsid w:val="00A34549"/>
    <w:pPr>
      <w:outlineLvl w:val="9"/>
    </w:pPr>
  </w:style>
  <w:style w:type="paragraph" w:customStyle="1" w:styleId="TableSideHeading2">
    <w:name w:val="Table SideHeading2"/>
    <w:basedOn w:val="TableSideHeading"/>
    <w:autoRedefine/>
    <w:qFormat/>
    <w:rsid w:val="00A34549"/>
    <w:pPr>
      <w:keepLines w:val="0"/>
      <w:outlineLvl w:val="9"/>
    </w:pPr>
  </w:style>
  <w:style w:type="paragraph" w:customStyle="1" w:styleId="0">
    <w:name w:val="סגנון שורה ראשונה:  0  ס''מ"/>
    <w:basedOn w:val="2"/>
    <w:rsid w:val="00A34549"/>
    <w:rPr>
      <w:rFonts w:eastAsia="Times New Roman"/>
    </w:rPr>
  </w:style>
  <w:style w:type="paragraph" w:styleId="af4">
    <w:name w:val="List Paragraph"/>
    <w:basedOn w:val="a"/>
    <w:uiPriority w:val="34"/>
    <w:qFormat/>
    <w:rsid w:val="00A34549"/>
    <w:pPr>
      <w:widowControl/>
      <w:spacing w:line="259" w:lineRule="auto"/>
    </w:pPr>
    <w:rPr>
      <w:rFonts w:asciiTheme="minorHAnsi" w:hAnsiTheme="minorHAnsi"/>
      <w:sz w:val="22"/>
    </w:rPr>
  </w:style>
  <w:style w:type="table" w:styleId="af5">
    <w:name w:val="Table Grid"/>
    <w:basedOn w:val="a1"/>
    <w:rsid w:val="00A34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A345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A345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6">
    <w:name w:val="טבלת חקיקה"/>
    <w:basedOn w:val="a1"/>
    <w:uiPriority w:val="99"/>
    <w:rsid w:val="00A34549"/>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A34549"/>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290d5b49-c690-4c6f-bbb9-1e50dab33ee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630C63B-82A9-40CF-8B98-3717F00A5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A70D2-CA2B-474A-8437-2A2FECAD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287</Words>
  <Characters>1640</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14</cp:revision>
  <cp:lastPrinted>2022-12-07T09:39:00Z</cp:lastPrinted>
  <dcterms:created xsi:type="dcterms:W3CDTF">2015-04-20T09:58:00Z</dcterms:created>
  <dcterms:modified xsi:type="dcterms:W3CDTF">2022-12-22T09:47:00Z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2196158</vt:r8>
  </property>
</Properties>
</file>