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35A2" w:rsidR="002C2E29" w:rsidP="00E635A2" w:rsidRDefault="004033D8" w14:paraId="7F6961A1" w14:textId="77777777">
      <w:pPr>
        <w:jc w:val="right"/>
        <w:rPr>
          <w:rFonts w:cs="David"/>
          <w:b/>
          <w:bCs/>
          <w:sz w:val="20"/>
          <w:szCs w:val="20"/>
        </w:rPr>
      </w:pPr>
      <w:r w:rsidRPr="00E635A2">
        <w:rPr>
          <w:rFonts w:hint="cs" w:cs="David"/>
          <w:sz w:val="20"/>
          <w:szCs w:val="20"/>
          <w:rtl/>
        </w:rPr>
        <w:t xml:space="preserve">מספר פנימי: </w:t>
      </w:r>
      <w:bookmarkStart w:name="LGS_Internal_ID" w:id="0"/>
      <w:r>
        <w:rPr>
          <w:rFonts w:hint="cs" w:cs="David"/>
          <w:sz w:val="20"/>
          <w:szCs w:val="20"/>
          <w:rtl/>
        </w:rPr>
        <w:t>2196981</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וחמש</w:t>
      </w:r>
      <w:bookmarkEnd w:id="1"/>
    </w:p>
    <w:p w:rsidRPr="00F67051" w:rsidR="00E13C27" w:rsidP="00E13C27" w:rsidRDefault="00E13C27" w14:paraId="7F6961A3" w14:textId="77777777">
      <w:pPr>
        <w:rPr>
          <w:rFonts w:cs="David"/>
          <w:b/>
          <w:bCs/>
          <w:sz w:val="26"/>
          <w:szCs w:val="26"/>
          <w:rtl/>
        </w:rPr>
      </w:pPr>
    </w:p>
    <w:p w:rsidRPr="00CF1AA2" w:rsidR="00E13C27" w:rsidP="00E62A03" w:rsidRDefault="008F6665" w14:paraId="7F6961AA" w14:textId="5885D472">
      <w:pPr>
        <w:pStyle w:val="David"/>
        <w:spacing w:line="360" w:lineRule="auto"/>
        <w:ind w:left="3544"/>
        <w:rPr>
          <w:b/>
          <w:bCs/>
          <w:sz w:val="16"/>
          <w:szCs w:val="16"/>
          <w:rtl/>
        </w:rPr>
      </w:pPr>
      <w:bookmarkStart w:name="LGS_Initiators_List" w:id="2"/>
      <w:r>
        <w:rPr>
          <w:b/>
          <w:bCs/>
          <w:rtl/>
        </w:rPr>
        <w:t>יוזמת:</w:t>
      </w:r>
      <w:r>
        <w:tab/>
      </w:r>
      <w:r>
        <w:rPr>
          <w:b/>
          <w:bCs/>
          <w:rtl/>
        </w:rPr>
        <w:t xml:space="preserve">      חברת הכנסת</w:t>
      </w:r>
      <w:bookmarkEnd w:id="2"/>
      <w:r w:rsidRPr="00F67051" w:rsidR="00B35784">
        <w:rPr>
          <w:b/>
          <w:bCs/>
        </w:rPr>
        <w:tab/>
      </w:r>
      <w:bookmarkStart w:name="LGS_PM_Names" w:id="3"/>
      <w:r>
        <w:rPr>
          <w:rFonts w:hint="cs"/>
          <w:b/>
          <w:bCs/>
          <w:rtl/>
        </w:rPr>
        <w:t>נעמה לזימי</w:t>
      </w:r>
      <w:bookmarkStart w:name="LGS_Join_List" w:id="4"/>
      <w:bookmarkEnd w:id="3"/>
      <w:r w:rsidR="007D585A">
        <w:rPr>
          <w:rtl/>
        </w:rPr>
        <w:t xml:space="preserve"> </w:t>
      </w:r>
      <w:bookmarkEnd w:id="4"/>
      <w:r w:rsidRPr="00CF1AA2" w:rsidR="002200A1">
        <w:rPr>
          <w:rFonts w:hint="cs"/>
          <w:rtl/>
        </w:rPr>
        <w:tab/>
      </w:r>
      <w:bookmarkStart w:name="LGS_PM_NamesJoin" w:id="5"/>
      <w:r w:rsidR="007D585A">
        <w:rPr>
          <w:rFonts w:hint="cs"/>
          <w:rtl/>
        </w:rPr>
        <w:t xml:space="preserve"> </w:t>
      </w:r>
      <w:bookmarkEnd w:id="5"/>
    </w:p>
    <w:p w:rsidRPr="00904591" w:rsidR="00904591" w:rsidP="0036422C" w:rsidRDefault="00266D86" w14:paraId="34DB4103" w14:textId="77777777">
      <w:pPr>
        <w:pStyle w:val="David"/>
        <w:spacing w:before="0" w:line="360" w:lineRule="auto"/>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E62A03" w:rsidRDefault="00904591" w14:paraId="7F6961AB" w14:textId="2AEB6557">
      <w:pPr>
        <w:pStyle w:val="David"/>
        <w:spacing w:before="0" w:line="240" w:lineRule="auto"/>
        <w:ind w:left="6424" w:firstLine="56"/>
        <w:rPr>
          <w:rtl/>
        </w:rPr>
      </w:pPr>
      <w:bookmarkStart w:name="Private_Number" w:id="6"/>
      <w:r>
        <w:rPr>
          <w:rFonts w:hint="cs"/>
          <w:rtl/>
        </w:rPr>
        <w:t>פ/334/25</w:t>
      </w:r>
      <w:bookmarkEnd w:id="6"/>
    </w:p>
    <w:p w:rsidRPr="00F67051" w:rsidR="00E13C27" w:rsidP="00E62A03" w:rsidRDefault="00A443CF" w14:paraId="7F6961AD" w14:textId="3909EDA8">
      <w:pPr>
        <w:pStyle w:val="HeadHatzaotHok"/>
        <w:rPr>
          <w:rtl/>
        </w:rPr>
      </w:pPr>
      <w:bookmarkStart w:name="LGS_Subject" w:id="7"/>
      <w:r>
        <w:rPr>
          <w:rFonts w:hint="cs"/>
          <w:rtl/>
        </w:rPr>
        <w:t>הצעת חוק למניעת התעמרות בעבודה, התשפ"ג</w:t>
      </w:r>
      <w:r w:rsidRPr="0035752C" w:rsidR="00E62A03">
        <w:rPr>
          <w:sz w:val="26"/>
          <w:rtl/>
        </w:rPr>
        <w:t>–</w:t>
      </w:r>
      <w:r>
        <w:rPr>
          <w:rFonts w:hint="cs"/>
          <w:rtl/>
        </w:rPr>
        <w:t>2022</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Pr="0035752C" w:rsidR="00B64640" w:rsidTr="006D6595" w14:paraId="1D821733" w14:textId="77777777">
        <w:trPr>
          <w:cantSplit/>
        </w:trPr>
        <w:tc>
          <w:tcPr>
            <w:tcW w:w="1871" w:type="dxa"/>
          </w:tcPr>
          <w:p w:rsidRPr="0035752C" w:rsidR="00B64640" w:rsidP="006D6595" w:rsidRDefault="00B64640" w14:paraId="11DA13BA" w14:textId="77777777">
            <w:pPr>
              <w:pStyle w:val="TableSideHeading"/>
              <w:keepLines w:val="0"/>
              <w:rPr>
                <w:sz w:val="26"/>
              </w:rPr>
            </w:pPr>
            <w:r w:rsidRPr="0035752C">
              <w:rPr>
                <w:sz w:val="26"/>
                <w:rtl/>
              </w:rPr>
              <w:t>מטרת החוק</w:t>
            </w:r>
          </w:p>
        </w:tc>
        <w:tc>
          <w:tcPr>
            <w:tcW w:w="624" w:type="dxa"/>
          </w:tcPr>
          <w:p w:rsidRPr="0035752C" w:rsidR="00B64640" w:rsidP="006D6595" w:rsidRDefault="00B64640" w14:paraId="76337DA4" w14:textId="77777777">
            <w:pPr>
              <w:pStyle w:val="TableText"/>
              <w:keepLines w:val="0"/>
              <w:rPr>
                <w:sz w:val="26"/>
              </w:rPr>
            </w:pPr>
            <w:r w:rsidRPr="0035752C">
              <w:rPr>
                <w:sz w:val="26"/>
                <w:rtl/>
              </w:rPr>
              <w:t>1.</w:t>
            </w:r>
          </w:p>
        </w:tc>
        <w:tc>
          <w:tcPr>
            <w:tcW w:w="7143" w:type="dxa"/>
            <w:gridSpan w:val="2"/>
          </w:tcPr>
          <w:p w:rsidRPr="0035752C" w:rsidR="00B64640" w:rsidP="006D6595" w:rsidRDefault="00B64640" w14:paraId="3067E9D3" w14:textId="77777777">
            <w:pPr>
              <w:pStyle w:val="TableBlock"/>
              <w:rPr>
                <w:sz w:val="26"/>
              </w:rPr>
            </w:pPr>
            <w:r w:rsidRPr="0035752C">
              <w:rPr>
                <w:sz w:val="26"/>
                <w:rtl/>
              </w:rPr>
              <w:t>חוק זה מטרתו לאסור התעמרות בעבודה, כדי להגן על כבוד האדם וחירותו, על רווחתו</w:t>
            </w:r>
            <w:r w:rsidRPr="0035752C">
              <w:rPr>
                <w:rFonts w:hint="cs"/>
                <w:sz w:val="26"/>
                <w:rtl/>
              </w:rPr>
              <w:t>, על פרטיותו</w:t>
            </w:r>
            <w:r w:rsidRPr="0035752C">
              <w:rPr>
                <w:sz w:val="26"/>
                <w:rtl/>
              </w:rPr>
              <w:t xml:space="preserve"> ועל חופש העיסוק. </w:t>
            </w:r>
          </w:p>
        </w:tc>
      </w:tr>
      <w:tr w:rsidRPr="0035752C" w:rsidR="00B64640" w:rsidTr="006D6595" w14:paraId="23656992" w14:textId="77777777">
        <w:trPr>
          <w:cantSplit/>
        </w:trPr>
        <w:tc>
          <w:tcPr>
            <w:tcW w:w="1871" w:type="dxa"/>
          </w:tcPr>
          <w:p w:rsidRPr="0035752C" w:rsidR="00B64640" w:rsidP="006D6595" w:rsidRDefault="00B64640" w14:paraId="22C0C750" w14:textId="77777777">
            <w:pPr>
              <w:pStyle w:val="TableSideHeading"/>
              <w:keepLines w:val="0"/>
              <w:rPr>
                <w:sz w:val="26"/>
              </w:rPr>
            </w:pPr>
            <w:r w:rsidRPr="0035752C">
              <w:rPr>
                <w:sz w:val="26"/>
                <w:rtl/>
              </w:rPr>
              <w:t>הגדרות</w:t>
            </w:r>
          </w:p>
        </w:tc>
        <w:tc>
          <w:tcPr>
            <w:tcW w:w="624" w:type="dxa"/>
          </w:tcPr>
          <w:p w:rsidRPr="0035752C" w:rsidR="00B64640" w:rsidP="006D6595" w:rsidRDefault="00B64640" w14:paraId="58AAFBFD" w14:textId="77777777">
            <w:pPr>
              <w:pStyle w:val="TableText"/>
              <w:keepLines w:val="0"/>
              <w:rPr>
                <w:sz w:val="26"/>
              </w:rPr>
            </w:pPr>
            <w:r w:rsidRPr="0035752C">
              <w:rPr>
                <w:sz w:val="26"/>
                <w:rtl/>
              </w:rPr>
              <w:t>2.</w:t>
            </w:r>
          </w:p>
        </w:tc>
        <w:tc>
          <w:tcPr>
            <w:tcW w:w="7143" w:type="dxa"/>
            <w:gridSpan w:val="2"/>
          </w:tcPr>
          <w:p w:rsidRPr="0035752C" w:rsidR="00B64640" w:rsidP="006D6595" w:rsidRDefault="00B64640" w14:paraId="3291EE08" w14:textId="77777777">
            <w:pPr>
              <w:pStyle w:val="TableBlock"/>
              <w:rPr>
                <w:sz w:val="26"/>
              </w:rPr>
            </w:pPr>
            <w:r w:rsidRPr="0035752C">
              <w:rPr>
                <w:sz w:val="26"/>
                <w:rtl/>
              </w:rPr>
              <w:t>בחוק זה –</w:t>
            </w:r>
          </w:p>
        </w:tc>
      </w:tr>
      <w:tr w:rsidRPr="0035752C" w:rsidR="00B64640" w:rsidTr="006D6595" w14:paraId="4A1439A6" w14:textId="77777777">
        <w:trPr>
          <w:cantSplit/>
        </w:trPr>
        <w:tc>
          <w:tcPr>
            <w:tcW w:w="1871" w:type="dxa"/>
          </w:tcPr>
          <w:p w:rsidRPr="0035752C" w:rsidR="00B64640" w:rsidP="006D6595" w:rsidRDefault="00B64640" w14:paraId="048FD684" w14:textId="77777777">
            <w:pPr>
              <w:pStyle w:val="TableSideHeading"/>
              <w:keepLines w:val="0"/>
              <w:rPr>
                <w:sz w:val="26"/>
              </w:rPr>
            </w:pPr>
          </w:p>
        </w:tc>
        <w:tc>
          <w:tcPr>
            <w:tcW w:w="624" w:type="dxa"/>
          </w:tcPr>
          <w:p w:rsidRPr="0035752C" w:rsidR="00B64640" w:rsidP="006D6595" w:rsidRDefault="00B64640" w14:paraId="1D253C94" w14:textId="77777777">
            <w:pPr>
              <w:pStyle w:val="TableText"/>
              <w:keepLines w:val="0"/>
              <w:rPr>
                <w:sz w:val="26"/>
              </w:rPr>
            </w:pPr>
          </w:p>
        </w:tc>
        <w:tc>
          <w:tcPr>
            <w:tcW w:w="7143" w:type="dxa"/>
            <w:gridSpan w:val="2"/>
          </w:tcPr>
          <w:p w:rsidRPr="0035752C" w:rsidR="00B64640" w:rsidP="006D6595" w:rsidRDefault="00B64640" w14:paraId="3891BD34" w14:textId="77777777">
            <w:pPr>
              <w:pStyle w:val="TableBlockOutdent"/>
              <w:rPr>
                <w:sz w:val="26"/>
              </w:rPr>
            </w:pPr>
            <w:r w:rsidRPr="0035752C">
              <w:rPr>
                <w:sz w:val="26"/>
                <w:rtl/>
              </w:rPr>
              <w:t xml:space="preserve">"התייחסות" – בכתב, בעל פה, באמצעות מוצג חזותי או שמיעתי, לרבות באמצעות מחשב או חומר מחשב, או בהתנהגות; </w:t>
            </w:r>
          </w:p>
        </w:tc>
      </w:tr>
      <w:tr w:rsidRPr="0035752C" w:rsidR="00B64640" w:rsidTr="006D6595" w14:paraId="72AC8A79" w14:textId="77777777">
        <w:trPr>
          <w:cantSplit/>
        </w:trPr>
        <w:tc>
          <w:tcPr>
            <w:tcW w:w="1871" w:type="dxa"/>
          </w:tcPr>
          <w:p w:rsidRPr="0035752C" w:rsidR="00B64640" w:rsidP="006D6595" w:rsidRDefault="00B64640" w14:paraId="04F47345" w14:textId="77777777">
            <w:pPr>
              <w:pStyle w:val="TableSideHeading"/>
              <w:keepLines w:val="0"/>
              <w:rPr>
                <w:sz w:val="26"/>
              </w:rPr>
            </w:pPr>
          </w:p>
        </w:tc>
        <w:tc>
          <w:tcPr>
            <w:tcW w:w="624" w:type="dxa"/>
          </w:tcPr>
          <w:p w:rsidRPr="0035752C" w:rsidR="00B64640" w:rsidP="006D6595" w:rsidRDefault="00B64640" w14:paraId="30F6C900" w14:textId="77777777">
            <w:pPr>
              <w:pStyle w:val="TableText"/>
              <w:keepLines w:val="0"/>
              <w:rPr>
                <w:sz w:val="26"/>
              </w:rPr>
            </w:pPr>
          </w:p>
        </w:tc>
        <w:tc>
          <w:tcPr>
            <w:tcW w:w="7143" w:type="dxa"/>
            <w:gridSpan w:val="2"/>
          </w:tcPr>
          <w:p w:rsidRPr="0035752C" w:rsidR="00B64640" w:rsidP="006D6595" w:rsidRDefault="00B64640" w14:paraId="0689E1EA" w14:textId="77777777">
            <w:pPr>
              <w:pStyle w:val="TableBlockOutdent"/>
              <w:rPr>
                <w:sz w:val="26"/>
              </w:rPr>
            </w:pPr>
            <w:r w:rsidRPr="0035752C">
              <w:rPr>
                <w:sz w:val="26"/>
                <w:rtl/>
              </w:rPr>
              <w:t xml:space="preserve">"כוחות הביטחון" – צבא הגנה לישראל, משטרת ישראל, שירות בתי הסוהר וארגוני הביטחון האחרים של המדינה; </w:t>
            </w:r>
          </w:p>
        </w:tc>
      </w:tr>
      <w:tr w:rsidRPr="0035752C" w:rsidR="00B64640" w:rsidTr="006D6595" w14:paraId="2CB4B125" w14:textId="77777777">
        <w:trPr>
          <w:cantSplit/>
        </w:trPr>
        <w:tc>
          <w:tcPr>
            <w:tcW w:w="1871" w:type="dxa"/>
          </w:tcPr>
          <w:p w:rsidRPr="0035752C" w:rsidR="00B64640" w:rsidP="006D6595" w:rsidRDefault="00B64640" w14:paraId="60493433" w14:textId="77777777">
            <w:pPr>
              <w:pStyle w:val="TableSideHeading"/>
              <w:keepLines w:val="0"/>
              <w:rPr>
                <w:sz w:val="26"/>
              </w:rPr>
            </w:pPr>
          </w:p>
        </w:tc>
        <w:tc>
          <w:tcPr>
            <w:tcW w:w="624" w:type="dxa"/>
          </w:tcPr>
          <w:p w:rsidRPr="0035752C" w:rsidR="00B64640" w:rsidP="006D6595" w:rsidRDefault="00B64640" w14:paraId="73646643" w14:textId="77777777">
            <w:pPr>
              <w:pStyle w:val="TableText"/>
              <w:keepLines w:val="0"/>
              <w:rPr>
                <w:sz w:val="26"/>
              </w:rPr>
            </w:pPr>
          </w:p>
        </w:tc>
        <w:tc>
          <w:tcPr>
            <w:tcW w:w="7143" w:type="dxa"/>
            <w:gridSpan w:val="2"/>
          </w:tcPr>
          <w:p w:rsidRPr="0035752C" w:rsidR="00B64640" w:rsidP="006D6595" w:rsidRDefault="00B64640" w14:paraId="6DB3FB18" w14:textId="77777777">
            <w:pPr>
              <w:pStyle w:val="TableBlockOutdent"/>
              <w:rPr>
                <w:sz w:val="26"/>
                <w:rtl/>
              </w:rPr>
            </w:pPr>
            <w:r w:rsidRPr="0035752C">
              <w:rPr>
                <w:sz w:val="26"/>
                <w:rtl/>
              </w:rPr>
              <w:t>"מזמין שירות" ו"קבלן שירות" – כהגדרתם בסעיף 20א(ד) לחוק שעות עבודה ומנוחה, התשי"א–1951</w:t>
            </w:r>
            <w:r w:rsidRPr="0035752C">
              <w:rPr>
                <w:rFonts w:ascii="David" w:hAnsi="David"/>
                <w:sz w:val="26"/>
                <w:vertAlign w:val="superscript"/>
                <w:rtl/>
              </w:rPr>
              <w:footnoteReference w:id="2"/>
            </w:r>
            <w:r w:rsidRPr="0035752C">
              <w:rPr>
                <w:sz w:val="26"/>
                <w:rtl/>
              </w:rPr>
              <w:t>;</w:t>
            </w:r>
          </w:p>
        </w:tc>
      </w:tr>
      <w:tr w:rsidRPr="0035752C" w:rsidR="00B64640" w:rsidTr="006D6595" w14:paraId="14280A67" w14:textId="77777777">
        <w:trPr>
          <w:cantSplit/>
        </w:trPr>
        <w:tc>
          <w:tcPr>
            <w:tcW w:w="1871" w:type="dxa"/>
          </w:tcPr>
          <w:p w:rsidRPr="0035752C" w:rsidR="00B64640" w:rsidP="006D6595" w:rsidRDefault="00B64640" w14:paraId="2AFCA1CC" w14:textId="77777777">
            <w:pPr>
              <w:pStyle w:val="TableSideHeading"/>
              <w:keepLines w:val="0"/>
              <w:rPr>
                <w:sz w:val="26"/>
              </w:rPr>
            </w:pPr>
          </w:p>
        </w:tc>
        <w:tc>
          <w:tcPr>
            <w:tcW w:w="624" w:type="dxa"/>
          </w:tcPr>
          <w:p w:rsidRPr="0035752C" w:rsidR="00B64640" w:rsidP="006D6595" w:rsidRDefault="00B64640" w14:paraId="38D7E248" w14:textId="77777777">
            <w:pPr>
              <w:pStyle w:val="TableText"/>
              <w:keepLines w:val="0"/>
              <w:rPr>
                <w:sz w:val="26"/>
              </w:rPr>
            </w:pPr>
          </w:p>
        </w:tc>
        <w:tc>
          <w:tcPr>
            <w:tcW w:w="7143" w:type="dxa"/>
            <w:gridSpan w:val="2"/>
          </w:tcPr>
          <w:p w:rsidRPr="0035752C" w:rsidR="00B64640" w:rsidP="006D6595" w:rsidRDefault="00B64640" w14:paraId="4D10AF75" w14:textId="77777777">
            <w:pPr>
              <w:pStyle w:val="TableBlockOutdent"/>
              <w:rPr>
                <w:sz w:val="26"/>
                <w:rtl/>
              </w:rPr>
            </w:pPr>
            <w:r w:rsidRPr="0035752C">
              <w:rPr>
                <w:sz w:val="26"/>
                <w:rtl/>
              </w:rPr>
              <w:t>"מחשב" ו"חומר מחשב" – כהגדרתם בחוק המחשבים, התשנ"ה–1995</w:t>
            </w:r>
            <w:r w:rsidRPr="0035752C">
              <w:rPr>
                <w:rFonts w:ascii="David" w:hAnsi="David"/>
                <w:sz w:val="26"/>
                <w:vertAlign w:val="superscript"/>
                <w:rtl/>
              </w:rPr>
              <w:footnoteReference w:id="3"/>
            </w:r>
            <w:r w:rsidRPr="0035752C">
              <w:rPr>
                <w:sz w:val="26"/>
                <w:rtl/>
              </w:rPr>
              <w:t xml:space="preserve">; </w:t>
            </w:r>
          </w:p>
        </w:tc>
      </w:tr>
      <w:tr w:rsidRPr="0035752C" w:rsidR="00B64640" w:rsidTr="006D6595" w14:paraId="06366A4F" w14:textId="77777777">
        <w:trPr>
          <w:cantSplit/>
        </w:trPr>
        <w:tc>
          <w:tcPr>
            <w:tcW w:w="1871" w:type="dxa"/>
          </w:tcPr>
          <w:p w:rsidRPr="0035752C" w:rsidR="00B64640" w:rsidP="006D6595" w:rsidRDefault="00B64640" w14:paraId="5F23BE4C" w14:textId="77777777">
            <w:pPr>
              <w:pStyle w:val="TableSideHeading"/>
              <w:keepLines w:val="0"/>
              <w:rPr>
                <w:sz w:val="26"/>
              </w:rPr>
            </w:pPr>
          </w:p>
        </w:tc>
        <w:tc>
          <w:tcPr>
            <w:tcW w:w="624" w:type="dxa"/>
          </w:tcPr>
          <w:p w:rsidRPr="0035752C" w:rsidR="00B64640" w:rsidP="006D6595" w:rsidRDefault="00B64640" w14:paraId="7948623E" w14:textId="77777777">
            <w:pPr>
              <w:pStyle w:val="TableText"/>
              <w:keepLines w:val="0"/>
              <w:rPr>
                <w:sz w:val="26"/>
              </w:rPr>
            </w:pPr>
          </w:p>
        </w:tc>
        <w:tc>
          <w:tcPr>
            <w:tcW w:w="7143" w:type="dxa"/>
            <w:gridSpan w:val="2"/>
          </w:tcPr>
          <w:p w:rsidRPr="0035752C" w:rsidR="00B64640" w:rsidP="006D6595" w:rsidRDefault="00B64640" w14:paraId="68EDCF4B" w14:textId="77777777">
            <w:pPr>
              <w:pStyle w:val="TableBlockOutdent"/>
              <w:rPr>
                <w:sz w:val="26"/>
                <w:rtl/>
              </w:rPr>
            </w:pPr>
            <w:r w:rsidRPr="0035752C">
              <w:rPr>
                <w:sz w:val="26"/>
                <w:rtl/>
              </w:rPr>
              <w:t>"</w:t>
            </w:r>
            <w:r w:rsidRPr="0035752C">
              <w:rPr>
                <w:rFonts w:hint="cs"/>
                <w:sz w:val="26"/>
                <w:rtl/>
              </w:rPr>
              <w:t xml:space="preserve">מסגרת </w:t>
            </w:r>
            <w:r w:rsidRPr="0035752C">
              <w:rPr>
                <w:sz w:val="26"/>
                <w:rtl/>
              </w:rPr>
              <w:t>עבודה" – מקום העבודה, מקום אחר שבו מתנהלת פעילות מטעם המעסיק</w:t>
            </w:r>
            <w:r w:rsidRPr="0035752C">
              <w:rPr>
                <w:rFonts w:hint="cs"/>
                <w:sz w:val="26"/>
                <w:rtl/>
              </w:rPr>
              <w:t xml:space="preserve"> או פעילות אחרת הקשורה לעבודה</w:t>
            </w:r>
            <w:r w:rsidRPr="0035752C">
              <w:rPr>
                <w:sz w:val="26"/>
                <w:rtl/>
              </w:rPr>
              <w:t>, תוך כדי העבודה, או תוך ניצול יחסי העבודה בכל מקום שהוא;</w:t>
            </w:r>
          </w:p>
        </w:tc>
      </w:tr>
      <w:tr w:rsidRPr="0035752C" w:rsidR="00B64640" w:rsidTr="006D6595" w14:paraId="0A624533" w14:textId="77777777">
        <w:trPr>
          <w:cantSplit/>
        </w:trPr>
        <w:tc>
          <w:tcPr>
            <w:tcW w:w="1871" w:type="dxa"/>
          </w:tcPr>
          <w:p w:rsidRPr="0035752C" w:rsidR="00B64640" w:rsidP="006D6595" w:rsidRDefault="00B64640" w14:paraId="7099080D" w14:textId="77777777">
            <w:pPr>
              <w:pStyle w:val="TableSideHeading"/>
              <w:keepLines w:val="0"/>
              <w:rPr>
                <w:sz w:val="26"/>
              </w:rPr>
            </w:pPr>
          </w:p>
        </w:tc>
        <w:tc>
          <w:tcPr>
            <w:tcW w:w="624" w:type="dxa"/>
          </w:tcPr>
          <w:p w:rsidRPr="0035752C" w:rsidR="00B64640" w:rsidP="006D6595" w:rsidRDefault="00B64640" w14:paraId="39D6D322" w14:textId="77777777">
            <w:pPr>
              <w:pStyle w:val="TableText"/>
              <w:keepLines w:val="0"/>
              <w:rPr>
                <w:sz w:val="26"/>
              </w:rPr>
            </w:pPr>
          </w:p>
        </w:tc>
        <w:tc>
          <w:tcPr>
            <w:tcW w:w="7143" w:type="dxa"/>
            <w:gridSpan w:val="2"/>
          </w:tcPr>
          <w:p w:rsidRPr="0035752C" w:rsidR="00B64640" w:rsidP="006D6595" w:rsidRDefault="00B64640" w14:paraId="016E954C" w14:textId="77777777">
            <w:pPr>
              <w:pStyle w:val="TableBlockOutdent"/>
              <w:rPr>
                <w:sz w:val="26"/>
                <w:rtl/>
              </w:rPr>
            </w:pPr>
            <w:r w:rsidRPr="0035752C">
              <w:rPr>
                <w:sz w:val="26"/>
                <w:rtl/>
              </w:rPr>
              <w:t>"מעסיק" – לרבות מפעיל במפעל מוגן כמשמעותו בסעיף 17 לחוק שכר מינימום, התשמ"ז–1987</w:t>
            </w:r>
            <w:r w:rsidRPr="0035752C">
              <w:rPr>
                <w:rFonts w:ascii="David" w:hAnsi="David"/>
                <w:sz w:val="26"/>
                <w:vertAlign w:val="superscript"/>
                <w:rtl/>
              </w:rPr>
              <w:footnoteReference w:id="4"/>
            </w:r>
            <w:r w:rsidRPr="0035752C">
              <w:rPr>
                <w:sz w:val="26"/>
                <w:rtl/>
              </w:rPr>
              <w:t>;</w:t>
            </w:r>
          </w:p>
        </w:tc>
      </w:tr>
      <w:tr w:rsidRPr="0035752C" w:rsidR="00B64640" w:rsidTr="006D6595" w14:paraId="64021A62" w14:textId="77777777">
        <w:trPr>
          <w:cantSplit/>
        </w:trPr>
        <w:tc>
          <w:tcPr>
            <w:tcW w:w="1871" w:type="dxa"/>
          </w:tcPr>
          <w:p w:rsidRPr="0035752C" w:rsidR="00B64640" w:rsidP="006D6595" w:rsidRDefault="00B64640" w14:paraId="77057F08" w14:textId="77777777">
            <w:pPr>
              <w:pStyle w:val="TableSideHeading"/>
              <w:keepLines w:val="0"/>
              <w:rPr>
                <w:sz w:val="26"/>
              </w:rPr>
            </w:pPr>
          </w:p>
        </w:tc>
        <w:tc>
          <w:tcPr>
            <w:tcW w:w="624" w:type="dxa"/>
          </w:tcPr>
          <w:p w:rsidRPr="0035752C" w:rsidR="00B64640" w:rsidP="006D6595" w:rsidRDefault="00B64640" w14:paraId="28E74284" w14:textId="77777777">
            <w:pPr>
              <w:pStyle w:val="TableText"/>
              <w:keepLines w:val="0"/>
              <w:rPr>
                <w:sz w:val="26"/>
              </w:rPr>
            </w:pPr>
          </w:p>
        </w:tc>
        <w:tc>
          <w:tcPr>
            <w:tcW w:w="7143" w:type="dxa"/>
            <w:gridSpan w:val="2"/>
          </w:tcPr>
          <w:p w:rsidRPr="0035752C" w:rsidR="00B64640" w:rsidP="006D6595" w:rsidRDefault="00B64640" w14:paraId="4AEF93B3" w14:textId="77777777">
            <w:pPr>
              <w:pStyle w:val="TableBlockOutdent"/>
              <w:rPr>
                <w:sz w:val="26"/>
                <w:rtl/>
              </w:rPr>
            </w:pPr>
            <w:r w:rsidRPr="0035752C">
              <w:rPr>
                <w:sz w:val="26"/>
                <w:rtl/>
              </w:rPr>
              <w:t>"מעסיק בפועל" ו"קבלן כוח אדם" – כהגדרתם בסעיף 1 לחוק העסקת עובדים על ידי קבלני כוח אדם, התשנ"ו–1996</w:t>
            </w:r>
            <w:r w:rsidRPr="0035752C">
              <w:rPr>
                <w:rFonts w:ascii="David" w:hAnsi="David"/>
                <w:sz w:val="26"/>
                <w:vertAlign w:val="superscript"/>
                <w:rtl/>
              </w:rPr>
              <w:footnoteReference w:id="5"/>
            </w:r>
            <w:r w:rsidRPr="0035752C">
              <w:rPr>
                <w:sz w:val="26"/>
                <w:rtl/>
              </w:rPr>
              <w:t xml:space="preserve">; </w:t>
            </w:r>
          </w:p>
        </w:tc>
      </w:tr>
      <w:tr w:rsidRPr="0035752C" w:rsidR="00B64640" w:rsidTr="006D6595" w14:paraId="176E0A0C" w14:textId="77777777">
        <w:trPr>
          <w:cantSplit/>
        </w:trPr>
        <w:tc>
          <w:tcPr>
            <w:tcW w:w="1871" w:type="dxa"/>
          </w:tcPr>
          <w:p w:rsidRPr="0035752C" w:rsidR="00B64640" w:rsidP="006D6595" w:rsidRDefault="00B64640" w14:paraId="3FBB1212" w14:textId="77777777">
            <w:pPr>
              <w:pStyle w:val="TableSideHeading"/>
              <w:keepLines w:val="0"/>
              <w:rPr>
                <w:sz w:val="26"/>
              </w:rPr>
            </w:pPr>
          </w:p>
        </w:tc>
        <w:tc>
          <w:tcPr>
            <w:tcW w:w="624" w:type="dxa"/>
          </w:tcPr>
          <w:p w:rsidRPr="0035752C" w:rsidR="00B64640" w:rsidP="006D6595" w:rsidRDefault="00B64640" w14:paraId="06B108AC" w14:textId="77777777">
            <w:pPr>
              <w:pStyle w:val="TableText"/>
              <w:keepLines w:val="0"/>
              <w:rPr>
                <w:sz w:val="26"/>
              </w:rPr>
            </w:pPr>
          </w:p>
        </w:tc>
        <w:tc>
          <w:tcPr>
            <w:tcW w:w="7143" w:type="dxa"/>
            <w:gridSpan w:val="2"/>
          </w:tcPr>
          <w:p w:rsidRPr="0035752C" w:rsidR="00B64640" w:rsidP="006D6595" w:rsidRDefault="00B64640" w14:paraId="50A65093" w14:textId="77777777">
            <w:pPr>
              <w:pStyle w:val="TableBlockOutdent"/>
              <w:rPr>
                <w:sz w:val="26"/>
                <w:rtl/>
              </w:rPr>
            </w:pPr>
            <w:r w:rsidRPr="0035752C">
              <w:rPr>
                <w:sz w:val="26"/>
                <w:rtl/>
              </w:rPr>
              <w:t>"מפעיל שירות" –  כוחות הביטחון לעניין שירות בכוחות הביטחון, ולעניין שירות לאומי או שירות לאומי-אזרחי – הגוף המפעיל;</w:t>
            </w:r>
          </w:p>
        </w:tc>
      </w:tr>
      <w:tr w:rsidRPr="0035752C" w:rsidR="00B64640" w:rsidTr="006D6595" w14:paraId="25DCAB74" w14:textId="77777777">
        <w:trPr>
          <w:cantSplit/>
        </w:trPr>
        <w:tc>
          <w:tcPr>
            <w:tcW w:w="1871" w:type="dxa"/>
          </w:tcPr>
          <w:p w:rsidRPr="0035752C" w:rsidR="00B64640" w:rsidP="006D6595" w:rsidRDefault="00B64640" w14:paraId="73841E63" w14:textId="77777777">
            <w:pPr>
              <w:pStyle w:val="TableSideHeading"/>
              <w:keepLines w:val="0"/>
              <w:rPr>
                <w:sz w:val="26"/>
              </w:rPr>
            </w:pPr>
          </w:p>
        </w:tc>
        <w:tc>
          <w:tcPr>
            <w:tcW w:w="624" w:type="dxa"/>
          </w:tcPr>
          <w:p w:rsidRPr="0035752C" w:rsidR="00B64640" w:rsidP="006D6595" w:rsidRDefault="00B64640" w14:paraId="2E8EA65D" w14:textId="77777777">
            <w:pPr>
              <w:pStyle w:val="TableText"/>
              <w:keepLines w:val="0"/>
              <w:rPr>
                <w:sz w:val="26"/>
              </w:rPr>
            </w:pPr>
          </w:p>
        </w:tc>
        <w:tc>
          <w:tcPr>
            <w:tcW w:w="7143" w:type="dxa"/>
            <w:gridSpan w:val="2"/>
          </w:tcPr>
          <w:p w:rsidRPr="0035752C" w:rsidR="00B64640" w:rsidP="006D6595" w:rsidRDefault="00B64640" w14:paraId="319114EE" w14:textId="77777777">
            <w:pPr>
              <w:pStyle w:val="TableBlockOutdent"/>
              <w:rPr>
                <w:sz w:val="26"/>
                <w:rtl/>
              </w:rPr>
            </w:pPr>
            <w:r w:rsidRPr="0035752C">
              <w:rPr>
                <w:sz w:val="26"/>
                <w:rtl/>
              </w:rPr>
              <w:t>"שירות" – שירות בכוחות הביטחון, מקום שאין בינם לבין המשרת בהם יחסי עבודה, או שירות בשירות לאומי או בשירות לאומי-אזרחי;</w:t>
            </w:r>
          </w:p>
        </w:tc>
      </w:tr>
      <w:tr w:rsidRPr="0035752C" w:rsidR="00B64640" w:rsidTr="006D6595" w14:paraId="4E66EB7F" w14:textId="77777777">
        <w:trPr>
          <w:cantSplit/>
        </w:trPr>
        <w:tc>
          <w:tcPr>
            <w:tcW w:w="1871" w:type="dxa"/>
          </w:tcPr>
          <w:p w:rsidRPr="0035752C" w:rsidR="00B64640" w:rsidP="006D6595" w:rsidRDefault="00B64640" w14:paraId="1DAA5570" w14:textId="77777777">
            <w:pPr>
              <w:pStyle w:val="TableSideHeading"/>
              <w:keepLines w:val="0"/>
              <w:rPr>
                <w:sz w:val="26"/>
              </w:rPr>
            </w:pPr>
          </w:p>
        </w:tc>
        <w:tc>
          <w:tcPr>
            <w:tcW w:w="624" w:type="dxa"/>
          </w:tcPr>
          <w:p w:rsidRPr="0035752C" w:rsidR="00B64640" w:rsidP="006D6595" w:rsidRDefault="00B64640" w14:paraId="2A9C6A6D" w14:textId="77777777">
            <w:pPr>
              <w:pStyle w:val="TableText"/>
              <w:keepLines w:val="0"/>
              <w:rPr>
                <w:sz w:val="26"/>
              </w:rPr>
            </w:pPr>
          </w:p>
        </w:tc>
        <w:tc>
          <w:tcPr>
            <w:tcW w:w="7143" w:type="dxa"/>
            <w:gridSpan w:val="2"/>
          </w:tcPr>
          <w:p w:rsidRPr="0035752C" w:rsidR="00B64640" w:rsidP="006D6595" w:rsidRDefault="00B64640" w14:paraId="4DABAF0A" w14:textId="77777777">
            <w:pPr>
              <w:pStyle w:val="TableBlockOutdent"/>
              <w:rPr>
                <w:sz w:val="26"/>
                <w:rtl/>
              </w:rPr>
            </w:pPr>
            <w:r w:rsidRPr="0035752C">
              <w:rPr>
                <w:sz w:val="26"/>
                <w:rtl/>
              </w:rPr>
              <w:t>"שירות לאומי" – שירות לאומי או התנדבות קהילתית כמשמעותם בחוק שירות אזרחי, התשע"ז–2017</w:t>
            </w:r>
            <w:r w:rsidRPr="0035752C">
              <w:rPr>
                <w:rFonts w:ascii="David" w:hAnsi="David"/>
                <w:sz w:val="26"/>
                <w:vertAlign w:val="superscript"/>
                <w:rtl/>
              </w:rPr>
              <w:footnoteReference w:id="6"/>
            </w:r>
            <w:r w:rsidRPr="0035752C">
              <w:rPr>
                <w:sz w:val="26"/>
                <w:rtl/>
              </w:rPr>
              <w:t>;</w:t>
            </w:r>
          </w:p>
        </w:tc>
      </w:tr>
      <w:tr w:rsidRPr="0035752C" w:rsidR="00B64640" w:rsidTr="006D6595" w14:paraId="58F51CAF" w14:textId="77777777">
        <w:trPr>
          <w:cantSplit/>
        </w:trPr>
        <w:tc>
          <w:tcPr>
            <w:tcW w:w="1871" w:type="dxa"/>
          </w:tcPr>
          <w:p w:rsidRPr="0035752C" w:rsidR="00B64640" w:rsidP="006D6595" w:rsidRDefault="00B64640" w14:paraId="5D65514F" w14:textId="77777777">
            <w:pPr>
              <w:pStyle w:val="TableSideHeading"/>
              <w:keepLines w:val="0"/>
              <w:rPr>
                <w:sz w:val="26"/>
              </w:rPr>
            </w:pPr>
          </w:p>
        </w:tc>
        <w:tc>
          <w:tcPr>
            <w:tcW w:w="624" w:type="dxa"/>
          </w:tcPr>
          <w:p w:rsidRPr="0035752C" w:rsidR="00B64640" w:rsidP="006D6595" w:rsidRDefault="00B64640" w14:paraId="12ED2C4D" w14:textId="77777777">
            <w:pPr>
              <w:pStyle w:val="TableText"/>
              <w:keepLines w:val="0"/>
              <w:rPr>
                <w:sz w:val="26"/>
              </w:rPr>
            </w:pPr>
          </w:p>
        </w:tc>
        <w:tc>
          <w:tcPr>
            <w:tcW w:w="7143" w:type="dxa"/>
            <w:gridSpan w:val="2"/>
          </w:tcPr>
          <w:p w:rsidRPr="0035752C" w:rsidR="00B64640" w:rsidP="006D6595" w:rsidRDefault="00B64640" w14:paraId="2FC94F54" w14:textId="77777777">
            <w:pPr>
              <w:pStyle w:val="TableBlockOutdent"/>
              <w:rPr>
                <w:sz w:val="26"/>
                <w:rtl/>
              </w:rPr>
            </w:pPr>
            <w:r w:rsidRPr="0035752C">
              <w:rPr>
                <w:sz w:val="26"/>
                <w:rtl/>
              </w:rPr>
              <w:t>"שירות לאומי-אזרחי" – כמשמעותו בחוק שירות לאומי-אזרחי, התשע"ד–2014</w:t>
            </w:r>
            <w:r w:rsidRPr="0035752C">
              <w:rPr>
                <w:rFonts w:ascii="David" w:hAnsi="David"/>
                <w:sz w:val="26"/>
                <w:vertAlign w:val="superscript"/>
                <w:rtl/>
              </w:rPr>
              <w:footnoteReference w:id="7"/>
            </w:r>
            <w:r w:rsidRPr="0035752C">
              <w:rPr>
                <w:sz w:val="26"/>
                <w:rtl/>
              </w:rPr>
              <w:t>;</w:t>
            </w:r>
          </w:p>
        </w:tc>
      </w:tr>
      <w:tr w:rsidRPr="0035752C" w:rsidR="00B64640" w:rsidTr="006D6595" w14:paraId="34A4E93A" w14:textId="77777777">
        <w:trPr>
          <w:cantSplit/>
        </w:trPr>
        <w:tc>
          <w:tcPr>
            <w:tcW w:w="1871" w:type="dxa"/>
          </w:tcPr>
          <w:p w:rsidRPr="0035752C" w:rsidR="00B64640" w:rsidP="006D6595" w:rsidRDefault="00B64640" w14:paraId="4E5A573D" w14:textId="77777777">
            <w:pPr>
              <w:pStyle w:val="TableSideHeading"/>
              <w:keepLines w:val="0"/>
              <w:rPr>
                <w:sz w:val="26"/>
              </w:rPr>
            </w:pPr>
          </w:p>
        </w:tc>
        <w:tc>
          <w:tcPr>
            <w:tcW w:w="624" w:type="dxa"/>
          </w:tcPr>
          <w:p w:rsidRPr="0035752C" w:rsidR="00B64640" w:rsidP="006D6595" w:rsidRDefault="00B64640" w14:paraId="7AD1AE0D" w14:textId="77777777">
            <w:pPr>
              <w:pStyle w:val="TableText"/>
              <w:keepLines w:val="0"/>
              <w:rPr>
                <w:sz w:val="26"/>
              </w:rPr>
            </w:pPr>
          </w:p>
        </w:tc>
        <w:tc>
          <w:tcPr>
            <w:tcW w:w="7143" w:type="dxa"/>
            <w:gridSpan w:val="2"/>
          </w:tcPr>
          <w:p w:rsidRPr="0035752C" w:rsidR="00B64640" w:rsidP="006D6595" w:rsidRDefault="00B64640" w14:paraId="590F2254" w14:textId="77777777">
            <w:pPr>
              <w:pStyle w:val="TableBlockOutdent"/>
              <w:rPr>
                <w:sz w:val="26"/>
                <w:rtl/>
              </w:rPr>
            </w:pPr>
            <w:r w:rsidRPr="0035752C">
              <w:rPr>
                <w:sz w:val="26"/>
                <w:rtl/>
              </w:rPr>
              <w:t xml:space="preserve">"השר" – שר </w:t>
            </w:r>
            <w:r w:rsidRPr="0035752C">
              <w:rPr>
                <w:rFonts w:hint="cs"/>
                <w:sz w:val="26"/>
                <w:rtl/>
              </w:rPr>
              <w:t>הכלכלה והתעשייה</w:t>
            </w:r>
            <w:r w:rsidRPr="0035752C">
              <w:rPr>
                <w:sz w:val="26"/>
                <w:rtl/>
              </w:rPr>
              <w:t>.</w:t>
            </w:r>
          </w:p>
        </w:tc>
      </w:tr>
      <w:tr w:rsidRPr="0035752C" w:rsidR="00B64640" w:rsidTr="006D6595" w14:paraId="1402BC05" w14:textId="77777777">
        <w:trPr>
          <w:cantSplit/>
        </w:trPr>
        <w:tc>
          <w:tcPr>
            <w:tcW w:w="1871" w:type="dxa"/>
          </w:tcPr>
          <w:p w:rsidRPr="0035752C" w:rsidR="00B64640" w:rsidP="006D6595" w:rsidRDefault="00B64640" w14:paraId="35942173" w14:textId="77777777">
            <w:pPr>
              <w:pStyle w:val="TableSideHeading"/>
              <w:keepLines w:val="0"/>
              <w:rPr>
                <w:sz w:val="26"/>
              </w:rPr>
            </w:pPr>
            <w:r w:rsidRPr="0035752C">
              <w:rPr>
                <w:sz w:val="26"/>
                <w:rtl/>
              </w:rPr>
              <w:t>התעמרות ב</w:t>
            </w:r>
            <w:r w:rsidRPr="0035752C">
              <w:rPr>
                <w:rFonts w:hint="cs"/>
                <w:sz w:val="26"/>
                <w:rtl/>
              </w:rPr>
              <w:t>עבודה</w:t>
            </w:r>
            <w:r w:rsidRPr="0035752C">
              <w:rPr>
                <w:sz w:val="26"/>
                <w:rtl/>
              </w:rPr>
              <w:t xml:space="preserve">  </w:t>
            </w:r>
          </w:p>
        </w:tc>
        <w:tc>
          <w:tcPr>
            <w:tcW w:w="624" w:type="dxa"/>
          </w:tcPr>
          <w:p w:rsidRPr="0035752C" w:rsidR="00B64640" w:rsidP="006D6595" w:rsidRDefault="00B64640" w14:paraId="0ED40848" w14:textId="77777777">
            <w:pPr>
              <w:pStyle w:val="TableText"/>
              <w:keepLines w:val="0"/>
              <w:rPr>
                <w:sz w:val="26"/>
              </w:rPr>
            </w:pPr>
            <w:r w:rsidRPr="0035752C">
              <w:rPr>
                <w:sz w:val="26"/>
                <w:rtl/>
              </w:rPr>
              <w:t>3.</w:t>
            </w:r>
          </w:p>
        </w:tc>
        <w:tc>
          <w:tcPr>
            <w:tcW w:w="7143" w:type="dxa"/>
            <w:gridSpan w:val="2"/>
          </w:tcPr>
          <w:p w:rsidRPr="0035752C" w:rsidR="00B64640" w:rsidP="006D6595" w:rsidRDefault="00B64640" w14:paraId="774E5AEA" w14:textId="77777777">
            <w:pPr>
              <w:pStyle w:val="TableBlock"/>
              <w:rPr>
                <w:sz w:val="26"/>
                <w:rtl/>
              </w:rPr>
            </w:pPr>
            <w:r w:rsidRPr="0035752C">
              <w:rPr>
                <w:sz w:val="26"/>
                <w:rtl/>
              </w:rPr>
              <w:t xml:space="preserve">התעמרות בעבודה היא התנהגות חוזרת כלפי אדם, במספר אירועים נפרדים, שיש בה כדי ליצור עבורו סביבה עוינת בעבודה, לרבות אחת או יותר מהתנהגויות אלה: </w:t>
            </w:r>
          </w:p>
        </w:tc>
      </w:tr>
      <w:tr w:rsidRPr="0035752C" w:rsidR="00B64640" w:rsidTr="006D6595" w14:paraId="2BDBF4A4" w14:textId="77777777">
        <w:trPr>
          <w:cantSplit/>
        </w:trPr>
        <w:tc>
          <w:tcPr>
            <w:tcW w:w="1871" w:type="dxa"/>
          </w:tcPr>
          <w:p w:rsidRPr="0035752C" w:rsidR="00B64640" w:rsidP="006D6595" w:rsidRDefault="00B64640" w14:paraId="47F3CCC7" w14:textId="77777777">
            <w:pPr>
              <w:pStyle w:val="TableSideHeading"/>
              <w:keepLines w:val="0"/>
              <w:rPr>
                <w:sz w:val="26"/>
              </w:rPr>
            </w:pPr>
          </w:p>
        </w:tc>
        <w:tc>
          <w:tcPr>
            <w:tcW w:w="624" w:type="dxa"/>
          </w:tcPr>
          <w:p w:rsidRPr="0035752C" w:rsidR="00B64640" w:rsidP="006D6595" w:rsidRDefault="00B64640" w14:paraId="6F03DAA3" w14:textId="77777777">
            <w:pPr>
              <w:pStyle w:val="TableText"/>
              <w:keepLines w:val="0"/>
              <w:rPr>
                <w:sz w:val="26"/>
              </w:rPr>
            </w:pPr>
          </w:p>
        </w:tc>
        <w:tc>
          <w:tcPr>
            <w:tcW w:w="7143" w:type="dxa"/>
            <w:gridSpan w:val="2"/>
          </w:tcPr>
          <w:p w:rsidRPr="0035752C" w:rsidR="00B64640" w:rsidP="006D6595" w:rsidRDefault="00B64640" w14:paraId="01E79216" w14:textId="77777777">
            <w:pPr>
              <w:pStyle w:val="TableBlock"/>
              <w:rPr>
                <w:sz w:val="26"/>
                <w:rtl/>
              </w:rPr>
            </w:pPr>
            <w:r w:rsidRPr="0035752C">
              <w:rPr>
                <w:sz w:val="26"/>
                <w:rtl/>
              </w:rPr>
              <w:t>(1)</w:t>
            </w:r>
            <w:r w:rsidRPr="0035752C">
              <w:rPr>
                <w:sz w:val="26"/>
                <w:rtl/>
              </w:rPr>
              <w:tab/>
              <w:t>התייחסות מבזה או משפילה או מזיקה</w:t>
            </w:r>
            <w:r w:rsidRPr="0035752C">
              <w:rPr>
                <w:rFonts w:hint="cs"/>
                <w:sz w:val="26"/>
                <w:rtl/>
              </w:rPr>
              <w:t>,</w:t>
            </w:r>
            <w:r w:rsidRPr="0035752C">
              <w:rPr>
                <w:sz w:val="26"/>
                <w:rtl/>
              </w:rPr>
              <w:t xml:space="preserve"> כלפי אדם</w:t>
            </w:r>
            <w:r w:rsidRPr="0035752C">
              <w:rPr>
                <w:rFonts w:hint="cs"/>
                <w:sz w:val="26"/>
                <w:rtl/>
              </w:rPr>
              <w:t xml:space="preserve"> לרבות פגיעה בתנאי העסקה בשל עילות שלא מן העניין</w:t>
            </w:r>
            <w:r w:rsidRPr="0035752C">
              <w:rPr>
                <w:sz w:val="26"/>
                <w:rtl/>
              </w:rPr>
              <w:t xml:space="preserve">; </w:t>
            </w:r>
          </w:p>
        </w:tc>
      </w:tr>
      <w:tr w:rsidRPr="0035752C" w:rsidR="00B64640" w:rsidTr="006D6595" w14:paraId="2D8E6D85" w14:textId="77777777">
        <w:trPr>
          <w:cantSplit/>
        </w:trPr>
        <w:tc>
          <w:tcPr>
            <w:tcW w:w="1871" w:type="dxa"/>
          </w:tcPr>
          <w:p w:rsidRPr="0035752C" w:rsidR="00B64640" w:rsidP="006D6595" w:rsidRDefault="00B64640" w14:paraId="3044F639" w14:textId="77777777">
            <w:pPr>
              <w:pStyle w:val="TableSideHeading"/>
              <w:keepLines w:val="0"/>
              <w:rPr>
                <w:sz w:val="26"/>
              </w:rPr>
            </w:pPr>
          </w:p>
        </w:tc>
        <w:tc>
          <w:tcPr>
            <w:tcW w:w="624" w:type="dxa"/>
          </w:tcPr>
          <w:p w:rsidRPr="0035752C" w:rsidR="00B64640" w:rsidP="006D6595" w:rsidRDefault="00B64640" w14:paraId="60A6AD7D" w14:textId="77777777">
            <w:pPr>
              <w:pStyle w:val="TableText"/>
              <w:keepLines w:val="0"/>
              <w:rPr>
                <w:sz w:val="26"/>
              </w:rPr>
            </w:pPr>
          </w:p>
        </w:tc>
        <w:tc>
          <w:tcPr>
            <w:tcW w:w="7143" w:type="dxa"/>
            <w:gridSpan w:val="2"/>
          </w:tcPr>
          <w:p w:rsidRPr="0035752C" w:rsidR="00B64640" w:rsidP="006D6595" w:rsidRDefault="00B64640" w14:paraId="755A8ADE" w14:textId="77777777">
            <w:pPr>
              <w:pStyle w:val="TableBlock"/>
              <w:rPr>
                <w:sz w:val="26"/>
                <w:rtl/>
              </w:rPr>
            </w:pPr>
            <w:r w:rsidRPr="0035752C">
              <w:rPr>
                <w:sz w:val="26"/>
                <w:rtl/>
              </w:rPr>
              <w:t>(2)</w:t>
            </w:r>
            <w:r w:rsidRPr="0035752C">
              <w:rPr>
                <w:sz w:val="26"/>
                <w:rtl/>
              </w:rPr>
              <w:tab/>
              <w:t xml:space="preserve">שיבוש יכולתו של אדם לבצע את תפקידו, לרבות באמצעות הצבת דרישות בלתי סבירות או יצירת תנאים בלתי סבירים לביצועו; </w:t>
            </w:r>
          </w:p>
        </w:tc>
      </w:tr>
      <w:tr w:rsidRPr="0035752C" w:rsidR="00B64640" w:rsidTr="006D6595" w14:paraId="2322DC84" w14:textId="77777777">
        <w:trPr>
          <w:cantSplit/>
        </w:trPr>
        <w:tc>
          <w:tcPr>
            <w:tcW w:w="1871" w:type="dxa"/>
          </w:tcPr>
          <w:p w:rsidRPr="0035752C" w:rsidR="00B64640" w:rsidP="006D6595" w:rsidRDefault="00B64640" w14:paraId="4C0C5F5B" w14:textId="77777777">
            <w:pPr>
              <w:pStyle w:val="TableSideHeading"/>
              <w:keepLines w:val="0"/>
              <w:rPr>
                <w:sz w:val="26"/>
              </w:rPr>
            </w:pPr>
          </w:p>
        </w:tc>
        <w:tc>
          <w:tcPr>
            <w:tcW w:w="624" w:type="dxa"/>
          </w:tcPr>
          <w:p w:rsidRPr="0035752C" w:rsidR="00B64640" w:rsidP="006D6595" w:rsidRDefault="00B64640" w14:paraId="11B3104F" w14:textId="77777777">
            <w:pPr>
              <w:pStyle w:val="TableText"/>
              <w:keepLines w:val="0"/>
              <w:rPr>
                <w:sz w:val="26"/>
              </w:rPr>
            </w:pPr>
          </w:p>
        </w:tc>
        <w:tc>
          <w:tcPr>
            <w:tcW w:w="7143" w:type="dxa"/>
            <w:gridSpan w:val="2"/>
          </w:tcPr>
          <w:p w:rsidRPr="0035752C" w:rsidR="00B64640" w:rsidP="006D6595" w:rsidRDefault="00B64640" w14:paraId="1D856FE8" w14:textId="77777777">
            <w:pPr>
              <w:pStyle w:val="TableBlock"/>
              <w:rPr>
                <w:sz w:val="26"/>
                <w:rtl/>
              </w:rPr>
            </w:pPr>
            <w:r w:rsidRPr="0035752C">
              <w:rPr>
                <w:sz w:val="26"/>
                <w:rtl/>
              </w:rPr>
              <w:t>(</w:t>
            </w:r>
            <w:r w:rsidRPr="0035752C">
              <w:rPr>
                <w:rFonts w:hint="cs"/>
                <w:sz w:val="26"/>
                <w:rtl/>
              </w:rPr>
              <w:t>3</w:t>
            </w:r>
            <w:r w:rsidRPr="0035752C">
              <w:rPr>
                <w:sz w:val="26"/>
                <w:rtl/>
              </w:rPr>
              <w:t>)</w:t>
            </w:r>
            <w:r w:rsidRPr="0035752C">
              <w:rPr>
                <w:sz w:val="26"/>
                <w:rtl/>
              </w:rPr>
              <w:tab/>
              <w:t>הכפפתו של אדם לאווירה של פחד ואיומים</w:t>
            </w:r>
            <w:r w:rsidRPr="0035752C">
              <w:rPr>
                <w:rFonts w:hint="cs"/>
                <w:sz w:val="26"/>
                <w:rtl/>
              </w:rPr>
              <w:t xml:space="preserve"> לרבות </w:t>
            </w:r>
            <w:r w:rsidRPr="0035752C">
              <w:rPr>
                <w:sz w:val="26"/>
                <w:rtl/>
              </w:rPr>
              <w:t>באמצעות צעקות, קללות, האשמות שווא, או הפצת שמועות מזיקות;</w:t>
            </w:r>
          </w:p>
        </w:tc>
      </w:tr>
      <w:tr w:rsidRPr="0035752C" w:rsidR="00B64640" w:rsidTr="006D6595" w14:paraId="5B774788" w14:textId="77777777">
        <w:trPr>
          <w:cantSplit/>
        </w:trPr>
        <w:tc>
          <w:tcPr>
            <w:tcW w:w="1871" w:type="dxa"/>
          </w:tcPr>
          <w:p w:rsidRPr="0035752C" w:rsidR="00B64640" w:rsidP="006D6595" w:rsidRDefault="00B64640" w14:paraId="0B728780" w14:textId="77777777">
            <w:pPr>
              <w:pStyle w:val="TableSideHeading"/>
              <w:keepLines w:val="0"/>
              <w:rPr>
                <w:sz w:val="26"/>
              </w:rPr>
            </w:pPr>
          </w:p>
        </w:tc>
        <w:tc>
          <w:tcPr>
            <w:tcW w:w="624" w:type="dxa"/>
          </w:tcPr>
          <w:p w:rsidRPr="0035752C" w:rsidR="00B64640" w:rsidP="006D6595" w:rsidRDefault="00B64640" w14:paraId="43C50148" w14:textId="77777777">
            <w:pPr>
              <w:pStyle w:val="TableText"/>
              <w:keepLines w:val="0"/>
              <w:rPr>
                <w:sz w:val="26"/>
              </w:rPr>
            </w:pPr>
          </w:p>
        </w:tc>
        <w:tc>
          <w:tcPr>
            <w:tcW w:w="7143" w:type="dxa"/>
            <w:gridSpan w:val="2"/>
          </w:tcPr>
          <w:p w:rsidRPr="0035752C" w:rsidR="00B64640" w:rsidP="006D6595" w:rsidRDefault="00B64640" w14:paraId="77CF0171" w14:textId="77777777">
            <w:pPr>
              <w:pStyle w:val="TableBlock"/>
              <w:rPr>
                <w:sz w:val="26"/>
                <w:rtl/>
              </w:rPr>
            </w:pPr>
            <w:r w:rsidRPr="0035752C">
              <w:rPr>
                <w:sz w:val="26"/>
                <w:rtl/>
              </w:rPr>
              <w:t>(</w:t>
            </w:r>
            <w:r w:rsidRPr="0035752C">
              <w:rPr>
                <w:rFonts w:hint="cs"/>
                <w:sz w:val="26"/>
                <w:rtl/>
              </w:rPr>
              <w:t>4</w:t>
            </w:r>
            <w:r w:rsidRPr="0035752C">
              <w:rPr>
                <w:sz w:val="26"/>
                <w:rtl/>
              </w:rPr>
              <w:t>)</w:t>
            </w:r>
            <w:r w:rsidRPr="0035752C">
              <w:rPr>
                <w:sz w:val="26"/>
                <w:rtl/>
              </w:rPr>
              <w:tab/>
              <w:t>ייחוס עבודתו, הישגיו והצלחותיו של אדם לאדם אחר או ייחוס לאדם כישלונות לא לו;</w:t>
            </w:r>
          </w:p>
        </w:tc>
      </w:tr>
      <w:tr w:rsidRPr="0035752C" w:rsidR="00B64640" w:rsidTr="006D6595" w14:paraId="6B72B684" w14:textId="77777777">
        <w:trPr>
          <w:cantSplit/>
        </w:trPr>
        <w:tc>
          <w:tcPr>
            <w:tcW w:w="1871" w:type="dxa"/>
          </w:tcPr>
          <w:p w:rsidRPr="0035752C" w:rsidR="00B64640" w:rsidP="006D6595" w:rsidRDefault="00B64640" w14:paraId="0A001370" w14:textId="77777777">
            <w:pPr>
              <w:pStyle w:val="TableSideHeading"/>
              <w:keepLines w:val="0"/>
              <w:rPr>
                <w:sz w:val="26"/>
              </w:rPr>
            </w:pPr>
          </w:p>
        </w:tc>
        <w:tc>
          <w:tcPr>
            <w:tcW w:w="624" w:type="dxa"/>
          </w:tcPr>
          <w:p w:rsidRPr="0035752C" w:rsidR="00B64640" w:rsidP="006D6595" w:rsidRDefault="00B64640" w14:paraId="3FF659CC" w14:textId="77777777">
            <w:pPr>
              <w:pStyle w:val="TableText"/>
              <w:keepLines w:val="0"/>
              <w:rPr>
                <w:sz w:val="26"/>
              </w:rPr>
            </w:pPr>
          </w:p>
        </w:tc>
        <w:tc>
          <w:tcPr>
            <w:tcW w:w="7143" w:type="dxa"/>
            <w:gridSpan w:val="2"/>
          </w:tcPr>
          <w:p w:rsidRPr="0035752C" w:rsidR="00B64640" w:rsidP="006D6595" w:rsidRDefault="00B64640" w14:paraId="68DFC418" w14:textId="77777777">
            <w:pPr>
              <w:pStyle w:val="TableBlock"/>
              <w:rPr>
                <w:sz w:val="26"/>
                <w:rtl/>
              </w:rPr>
            </w:pPr>
            <w:r w:rsidRPr="0035752C">
              <w:rPr>
                <w:sz w:val="26"/>
                <w:rtl/>
              </w:rPr>
              <w:t>(</w:t>
            </w:r>
            <w:r w:rsidRPr="0035752C">
              <w:rPr>
                <w:rFonts w:hint="cs"/>
                <w:sz w:val="26"/>
                <w:rtl/>
              </w:rPr>
              <w:t>5</w:t>
            </w:r>
            <w:r w:rsidRPr="0035752C">
              <w:rPr>
                <w:sz w:val="26"/>
                <w:rtl/>
              </w:rPr>
              <w:t>)</w:t>
            </w:r>
            <w:r w:rsidRPr="0035752C">
              <w:rPr>
                <w:sz w:val="26"/>
                <w:rtl/>
              </w:rPr>
              <w:tab/>
              <w:t>בידוד</w:t>
            </w:r>
            <w:r w:rsidRPr="0035752C">
              <w:rPr>
                <w:rFonts w:hint="cs"/>
                <w:sz w:val="26"/>
                <w:rtl/>
              </w:rPr>
              <w:t>ו</w:t>
            </w:r>
            <w:r w:rsidRPr="0035752C">
              <w:rPr>
                <w:sz w:val="26"/>
                <w:rtl/>
              </w:rPr>
              <w:t xml:space="preserve"> </w:t>
            </w:r>
            <w:r w:rsidRPr="0035752C">
              <w:rPr>
                <w:rFonts w:hint="cs"/>
                <w:sz w:val="26"/>
                <w:rtl/>
              </w:rPr>
              <w:t>ה</w:t>
            </w:r>
            <w:r w:rsidRPr="0035752C">
              <w:rPr>
                <w:sz w:val="26"/>
                <w:rtl/>
              </w:rPr>
              <w:t xml:space="preserve">מקצועי או </w:t>
            </w:r>
            <w:r w:rsidRPr="0035752C">
              <w:rPr>
                <w:rFonts w:hint="cs"/>
                <w:sz w:val="26"/>
                <w:rtl/>
              </w:rPr>
              <w:t>ה</w:t>
            </w:r>
            <w:r w:rsidRPr="0035752C">
              <w:rPr>
                <w:sz w:val="26"/>
                <w:rtl/>
              </w:rPr>
              <w:t>חברתי של האדם</w:t>
            </w:r>
            <w:r w:rsidRPr="0035752C">
              <w:rPr>
                <w:rFonts w:hint="cs"/>
                <w:sz w:val="26"/>
                <w:rtl/>
              </w:rPr>
              <w:t xml:space="preserve"> בעבודה</w:t>
            </w:r>
            <w:r w:rsidRPr="0035752C">
              <w:rPr>
                <w:sz w:val="26"/>
                <w:rtl/>
              </w:rPr>
              <w:t>;</w:t>
            </w:r>
          </w:p>
        </w:tc>
      </w:tr>
      <w:tr w:rsidRPr="0035752C" w:rsidR="00B64640" w:rsidTr="006D6595" w14:paraId="6D6B6DEE" w14:textId="77777777">
        <w:trPr>
          <w:cantSplit/>
        </w:trPr>
        <w:tc>
          <w:tcPr>
            <w:tcW w:w="1871" w:type="dxa"/>
          </w:tcPr>
          <w:p w:rsidRPr="0035752C" w:rsidR="00B64640" w:rsidP="006D6595" w:rsidRDefault="00B64640" w14:paraId="2AD0D214" w14:textId="77777777">
            <w:pPr>
              <w:pStyle w:val="TableSideHeading"/>
              <w:keepLines w:val="0"/>
              <w:rPr>
                <w:sz w:val="26"/>
              </w:rPr>
            </w:pPr>
            <w:r w:rsidRPr="0035752C">
              <w:rPr>
                <w:sz w:val="26"/>
                <w:rtl/>
              </w:rPr>
              <w:t xml:space="preserve">איסור התעמרות </w:t>
            </w:r>
            <w:r w:rsidRPr="0035752C">
              <w:rPr>
                <w:rFonts w:hint="cs"/>
                <w:sz w:val="26"/>
                <w:rtl/>
              </w:rPr>
              <w:t>ב</w:t>
            </w:r>
            <w:r w:rsidRPr="0035752C">
              <w:rPr>
                <w:sz w:val="26"/>
                <w:rtl/>
              </w:rPr>
              <w:t>עבודה</w:t>
            </w:r>
          </w:p>
        </w:tc>
        <w:tc>
          <w:tcPr>
            <w:tcW w:w="624" w:type="dxa"/>
          </w:tcPr>
          <w:p w:rsidRPr="0035752C" w:rsidR="00B64640" w:rsidP="006D6595" w:rsidRDefault="00B64640" w14:paraId="281800F0" w14:textId="77777777">
            <w:pPr>
              <w:pStyle w:val="TableText"/>
              <w:keepLines w:val="0"/>
              <w:rPr>
                <w:sz w:val="26"/>
              </w:rPr>
            </w:pPr>
            <w:r w:rsidRPr="0035752C">
              <w:rPr>
                <w:sz w:val="26"/>
                <w:rtl/>
              </w:rPr>
              <w:t>4.</w:t>
            </w:r>
          </w:p>
        </w:tc>
        <w:tc>
          <w:tcPr>
            <w:tcW w:w="7143" w:type="dxa"/>
            <w:gridSpan w:val="2"/>
          </w:tcPr>
          <w:p w:rsidRPr="0035752C" w:rsidR="00B64640" w:rsidP="006D6595" w:rsidRDefault="00B64640" w14:paraId="3BE8CF74" w14:textId="77777777">
            <w:pPr>
              <w:pStyle w:val="TableBlock"/>
              <w:rPr>
                <w:sz w:val="26"/>
                <w:rtl/>
              </w:rPr>
            </w:pPr>
            <w:r w:rsidRPr="0035752C">
              <w:rPr>
                <w:sz w:val="26"/>
                <w:rtl/>
              </w:rPr>
              <w:t xml:space="preserve">לא יתעמר אדם בזולתו בעבודה. </w:t>
            </w:r>
          </w:p>
        </w:tc>
      </w:tr>
      <w:tr w:rsidRPr="0035752C" w:rsidR="00B64640" w:rsidTr="006D6595" w14:paraId="36C51F73" w14:textId="77777777">
        <w:trPr>
          <w:cantSplit/>
        </w:trPr>
        <w:tc>
          <w:tcPr>
            <w:tcW w:w="1871" w:type="dxa"/>
          </w:tcPr>
          <w:p w:rsidRPr="0035752C" w:rsidR="00B64640" w:rsidP="006D6595" w:rsidRDefault="00B64640" w14:paraId="4D6526AA" w14:textId="77777777">
            <w:pPr>
              <w:pStyle w:val="TableSideHeading"/>
              <w:keepLines w:val="0"/>
              <w:rPr>
                <w:sz w:val="26"/>
              </w:rPr>
            </w:pPr>
            <w:r w:rsidRPr="0035752C">
              <w:rPr>
                <w:sz w:val="26"/>
                <w:rtl/>
              </w:rPr>
              <w:t xml:space="preserve">התעמרות </w:t>
            </w:r>
            <w:r w:rsidRPr="0035752C">
              <w:rPr>
                <w:rFonts w:hint="cs"/>
                <w:sz w:val="26"/>
                <w:rtl/>
              </w:rPr>
              <w:t>ב</w:t>
            </w:r>
            <w:r w:rsidRPr="0035752C">
              <w:rPr>
                <w:sz w:val="26"/>
                <w:rtl/>
              </w:rPr>
              <w:t>עבודה – עוולה אזרחית</w:t>
            </w:r>
          </w:p>
        </w:tc>
        <w:tc>
          <w:tcPr>
            <w:tcW w:w="624" w:type="dxa"/>
          </w:tcPr>
          <w:p w:rsidRPr="0035752C" w:rsidR="00B64640" w:rsidP="006D6595" w:rsidRDefault="00B64640" w14:paraId="3C89347B" w14:textId="77777777">
            <w:pPr>
              <w:pStyle w:val="TableText"/>
              <w:keepLines w:val="0"/>
              <w:rPr>
                <w:sz w:val="26"/>
              </w:rPr>
            </w:pPr>
            <w:r w:rsidRPr="0035752C">
              <w:rPr>
                <w:sz w:val="26"/>
                <w:rtl/>
              </w:rPr>
              <w:t>5.</w:t>
            </w:r>
          </w:p>
        </w:tc>
        <w:tc>
          <w:tcPr>
            <w:tcW w:w="7143" w:type="dxa"/>
            <w:gridSpan w:val="2"/>
          </w:tcPr>
          <w:p w:rsidRPr="0035752C" w:rsidR="00B64640" w:rsidP="006D6595" w:rsidRDefault="00B64640" w14:paraId="76AF1BA9" w14:textId="77777777">
            <w:pPr>
              <w:pStyle w:val="TableBlock"/>
              <w:rPr>
                <w:sz w:val="26"/>
                <w:rtl/>
              </w:rPr>
            </w:pPr>
            <w:r w:rsidRPr="0035752C">
              <w:rPr>
                <w:sz w:val="26"/>
                <w:rtl/>
              </w:rPr>
              <w:t>(א)</w:t>
            </w:r>
            <w:r w:rsidRPr="0035752C">
              <w:rPr>
                <w:sz w:val="26"/>
                <w:rtl/>
              </w:rPr>
              <w:tab/>
              <w:t xml:space="preserve">התעמרות </w:t>
            </w:r>
            <w:r w:rsidRPr="0035752C">
              <w:rPr>
                <w:rFonts w:hint="cs"/>
                <w:sz w:val="26"/>
                <w:rtl/>
              </w:rPr>
              <w:t>ב</w:t>
            </w:r>
            <w:r w:rsidRPr="0035752C">
              <w:rPr>
                <w:sz w:val="26"/>
                <w:rtl/>
              </w:rPr>
              <w:t xml:space="preserve">עבודה היא עוולה אזרחית, והוראות פקודת הנזיקין [נוסח חדש], יחולו עליה בכפוף להוראות חוק זה. </w:t>
            </w:r>
          </w:p>
        </w:tc>
      </w:tr>
      <w:tr w:rsidRPr="0035752C" w:rsidR="00B64640" w:rsidTr="006D6595" w14:paraId="0CBA1751" w14:textId="77777777">
        <w:trPr>
          <w:cantSplit/>
        </w:trPr>
        <w:tc>
          <w:tcPr>
            <w:tcW w:w="1871" w:type="dxa"/>
          </w:tcPr>
          <w:p w:rsidRPr="0035752C" w:rsidR="00B64640" w:rsidP="006D6595" w:rsidRDefault="00B64640" w14:paraId="43545EC3" w14:textId="77777777">
            <w:pPr>
              <w:pStyle w:val="TableSideHeading"/>
              <w:keepLines w:val="0"/>
              <w:rPr>
                <w:sz w:val="26"/>
                <w:rtl/>
              </w:rPr>
            </w:pPr>
          </w:p>
        </w:tc>
        <w:tc>
          <w:tcPr>
            <w:tcW w:w="624" w:type="dxa"/>
          </w:tcPr>
          <w:p w:rsidRPr="0035752C" w:rsidR="00B64640" w:rsidP="006D6595" w:rsidRDefault="00B64640" w14:paraId="16C42C78" w14:textId="77777777">
            <w:pPr>
              <w:pStyle w:val="TableText"/>
              <w:keepLines w:val="0"/>
              <w:rPr>
                <w:sz w:val="26"/>
                <w:rtl/>
              </w:rPr>
            </w:pPr>
          </w:p>
        </w:tc>
        <w:tc>
          <w:tcPr>
            <w:tcW w:w="7143" w:type="dxa"/>
            <w:gridSpan w:val="2"/>
          </w:tcPr>
          <w:p w:rsidRPr="0035752C" w:rsidR="00B64640" w:rsidP="006D6595" w:rsidRDefault="00B64640" w14:paraId="7EEAB1F6" w14:textId="77777777">
            <w:pPr>
              <w:pStyle w:val="TableBlock"/>
              <w:rPr>
                <w:sz w:val="26"/>
                <w:rtl/>
              </w:rPr>
            </w:pPr>
            <w:r w:rsidRPr="0035752C">
              <w:rPr>
                <w:sz w:val="26"/>
                <w:rtl/>
              </w:rPr>
              <w:t>(ב)</w:t>
            </w:r>
            <w:r w:rsidRPr="0035752C">
              <w:rPr>
                <w:sz w:val="26"/>
                <w:rtl/>
              </w:rPr>
              <w:tab/>
              <w:t xml:space="preserve">בית המשפט או בית הדין לעבודה רשאי לפסוק בשל התעמרות </w:t>
            </w:r>
            <w:r w:rsidRPr="0035752C">
              <w:rPr>
                <w:rFonts w:hint="cs"/>
                <w:sz w:val="26"/>
                <w:rtl/>
              </w:rPr>
              <w:t>ב</w:t>
            </w:r>
            <w:r w:rsidRPr="0035752C">
              <w:rPr>
                <w:sz w:val="26"/>
                <w:rtl/>
              </w:rPr>
              <w:t xml:space="preserve">עבודה פיצוי שלא יעלה על סך 120,000 שקלים חדשים, ללא הוכחת נזק; סכום זה יעודכן ב-1 בינואר של כל שנה (בסעיף זה – יום העדכון), בהתאם לשיעור עליית המדד החדש לעומת המדד הבסיסי והודעה על הסכום המעודכן תפורסם ברשומות; לעניין סעיף קטן זה – </w:t>
            </w:r>
          </w:p>
        </w:tc>
      </w:tr>
      <w:tr w:rsidRPr="0035752C" w:rsidR="00B64640" w:rsidTr="006D6595" w14:paraId="15D23878" w14:textId="77777777">
        <w:trPr>
          <w:cantSplit/>
        </w:trPr>
        <w:tc>
          <w:tcPr>
            <w:tcW w:w="1871" w:type="dxa"/>
          </w:tcPr>
          <w:p w:rsidRPr="0035752C" w:rsidR="00B64640" w:rsidP="006D6595" w:rsidRDefault="00B64640" w14:paraId="5A1D3619" w14:textId="77777777">
            <w:pPr>
              <w:pStyle w:val="TableSideHeading"/>
              <w:keepLines w:val="0"/>
              <w:rPr>
                <w:sz w:val="26"/>
                <w:rtl/>
              </w:rPr>
            </w:pPr>
          </w:p>
        </w:tc>
        <w:tc>
          <w:tcPr>
            <w:tcW w:w="624" w:type="dxa"/>
          </w:tcPr>
          <w:p w:rsidRPr="0035752C" w:rsidR="00B64640" w:rsidP="006D6595" w:rsidRDefault="00B64640" w14:paraId="2DB13559" w14:textId="77777777">
            <w:pPr>
              <w:pStyle w:val="TableText"/>
              <w:keepLines w:val="0"/>
              <w:rPr>
                <w:sz w:val="26"/>
                <w:rtl/>
              </w:rPr>
            </w:pPr>
          </w:p>
        </w:tc>
        <w:tc>
          <w:tcPr>
            <w:tcW w:w="7143" w:type="dxa"/>
            <w:gridSpan w:val="2"/>
          </w:tcPr>
          <w:p w:rsidRPr="0035752C" w:rsidR="00B64640" w:rsidP="006D6595" w:rsidRDefault="00B64640" w14:paraId="02587020" w14:textId="77777777">
            <w:pPr>
              <w:pStyle w:val="TableBlock"/>
              <w:rPr>
                <w:sz w:val="26"/>
                <w:rtl/>
              </w:rPr>
            </w:pPr>
            <w:r w:rsidRPr="0035752C">
              <w:rPr>
                <w:sz w:val="26"/>
                <w:rtl/>
              </w:rPr>
              <w:t>"מדד" – מדד המחירים לצרכן שמפרסמת הלשכה המרכזית לסטטיסטיקה;</w:t>
            </w:r>
          </w:p>
        </w:tc>
      </w:tr>
      <w:tr w:rsidRPr="0035752C" w:rsidR="00B64640" w:rsidTr="006D6595" w14:paraId="5D1A5E7B" w14:textId="77777777">
        <w:trPr>
          <w:cantSplit/>
        </w:trPr>
        <w:tc>
          <w:tcPr>
            <w:tcW w:w="1871" w:type="dxa"/>
          </w:tcPr>
          <w:p w:rsidRPr="0035752C" w:rsidR="00B64640" w:rsidP="006D6595" w:rsidRDefault="00B64640" w14:paraId="3CCD19F4" w14:textId="77777777">
            <w:pPr>
              <w:pStyle w:val="TableSideHeading"/>
              <w:keepLines w:val="0"/>
              <w:rPr>
                <w:sz w:val="26"/>
                <w:rtl/>
              </w:rPr>
            </w:pPr>
          </w:p>
        </w:tc>
        <w:tc>
          <w:tcPr>
            <w:tcW w:w="624" w:type="dxa"/>
          </w:tcPr>
          <w:p w:rsidRPr="0035752C" w:rsidR="00B64640" w:rsidP="006D6595" w:rsidRDefault="00B64640" w14:paraId="236985A0" w14:textId="77777777">
            <w:pPr>
              <w:pStyle w:val="TableText"/>
              <w:keepLines w:val="0"/>
              <w:rPr>
                <w:sz w:val="26"/>
                <w:rtl/>
              </w:rPr>
            </w:pPr>
          </w:p>
        </w:tc>
        <w:tc>
          <w:tcPr>
            <w:tcW w:w="7143" w:type="dxa"/>
            <w:gridSpan w:val="2"/>
          </w:tcPr>
          <w:p w:rsidRPr="0035752C" w:rsidR="00B64640" w:rsidP="006D6595" w:rsidRDefault="00B64640" w14:paraId="223818C1" w14:textId="77777777">
            <w:pPr>
              <w:pStyle w:val="TableBlock"/>
              <w:rPr>
                <w:sz w:val="26"/>
                <w:rtl/>
              </w:rPr>
            </w:pPr>
            <w:r w:rsidRPr="0035752C">
              <w:rPr>
                <w:sz w:val="26"/>
                <w:rtl/>
              </w:rPr>
              <w:t xml:space="preserve">"המדד החדש" – המדד שפורסם לאחרונה לפני יום העדכון; </w:t>
            </w:r>
          </w:p>
        </w:tc>
      </w:tr>
      <w:tr w:rsidRPr="0035752C" w:rsidR="00B64640" w:rsidTr="006D6595" w14:paraId="0440F7ED" w14:textId="77777777">
        <w:trPr>
          <w:cantSplit/>
        </w:trPr>
        <w:tc>
          <w:tcPr>
            <w:tcW w:w="1871" w:type="dxa"/>
          </w:tcPr>
          <w:p w:rsidRPr="0035752C" w:rsidR="00B64640" w:rsidP="006D6595" w:rsidRDefault="00B64640" w14:paraId="57A781A1" w14:textId="77777777">
            <w:pPr>
              <w:pStyle w:val="TableSideHeading"/>
              <w:keepLines w:val="0"/>
              <w:rPr>
                <w:sz w:val="26"/>
                <w:rtl/>
              </w:rPr>
            </w:pPr>
          </w:p>
        </w:tc>
        <w:tc>
          <w:tcPr>
            <w:tcW w:w="624" w:type="dxa"/>
          </w:tcPr>
          <w:p w:rsidRPr="0035752C" w:rsidR="00B64640" w:rsidP="006D6595" w:rsidRDefault="00B64640" w14:paraId="5024DB5F" w14:textId="77777777">
            <w:pPr>
              <w:pStyle w:val="TableText"/>
              <w:keepLines w:val="0"/>
              <w:rPr>
                <w:sz w:val="26"/>
                <w:rtl/>
              </w:rPr>
            </w:pPr>
          </w:p>
        </w:tc>
        <w:tc>
          <w:tcPr>
            <w:tcW w:w="7143" w:type="dxa"/>
            <w:gridSpan w:val="2"/>
          </w:tcPr>
          <w:p w:rsidRPr="0035752C" w:rsidR="00B64640" w:rsidP="006D6595" w:rsidRDefault="00B64640" w14:paraId="3100BC35" w14:textId="77777777">
            <w:pPr>
              <w:pStyle w:val="TableBlock"/>
              <w:rPr>
                <w:sz w:val="26"/>
                <w:rtl/>
              </w:rPr>
            </w:pPr>
            <w:r w:rsidRPr="0035752C">
              <w:rPr>
                <w:sz w:val="26"/>
                <w:rtl/>
              </w:rPr>
              <w:t xml:space="preserve">"המדד הבסיסי" – מדד חודש פברואר 2014. </w:t>
            </w:r>
          </w:p>
        </w:tc>
      </w:tr>
      <w:tr w:rsidRPr="0035752C" w:rsidR="00B64640" w:rsidTr="006D6595" w14:paraId="3364D7CA" w14:textId="77777777">
        <w:trPr>
          <w:cantSplit/>
        </w:trPr>
        <w:tc>
          <w:tcPr>
            <w:tcW w:w="1871" w:type="dxa"/>
          </w:tcPr>
          <w:p w:rsidRPr="0035752C" w:rsidR="00B64640" w:rsidP="006D6595" w:rsidRDefault="00B64640" w14:paraId="4B73FB31" w14:textId="77777777">
            <w:pPr>
              <w:pStyle w:val="TableSideHeading"/>
              <w:rPr>
                <w:sz w:val="26"/>
                <w:rtl/>
              </w:rPr>
            </w:pPr>
            <w:r w:rsidRPr="0035752C">
              <w:rPr>
                <w:sz w:val="26"/>
                <w:rtl/>
              </w:rPr>
              <w:lastRenderedPageBreak/>
              <w:t xml:space="preserve">נקיטת אמצעים בידי המעסיק </w:t>
            </w:r>
          </w:p>
        </w:tc>
        <w:tc>
          <w:tcPr>
            <w:tcW w:w="624" w:type="dxa"/>
          </w:tcPr>
          <w:p w:rsidRPr="0035752C" w:rsidR="00B64640" w:rsidP="006D6595" w:rsidRDefault="00B64640" w14:paraId="3B785434" w14:textId="77777777">
            <w:pPr>
              <w:pStyle w:val="TableText"/>
              <w:keepLines w:val="0"/>
              <w:rPr>
                <w:sz w:val="26"/>
                <w:rtl/>
              </w:rPr>
            </w:pPr>
            <w:r w:rsidRPr="0035752C">
              <w:rPr>
                <w:sz w:val="26"/>
                <w:rtl/>
              </w:rPr>
              <w:t xml:space="preserve">6. </w:t>
            </w:r>
          </w:p>
        </w:tc>
        <w:tc>
          <w:tcPr>
            <w:tcW w:w="7143" w:type="dxa"/>
            <w:gridSpan w:val="2"/>
          </w:tcPr>
          <w:p w:rsidRPr="0035752C" w:rsidR="00B64640" w:rsidP="006D6595" w:rsidRDefault="00B64640" w14:paraId="12431AB9" w14:textId="77777777">
            <w:pPr>
              <w:pStyle w:val="TableBlock"/>
              <w:rPr>
                <w:sz w:val="26"/>
                <w:rtl/>
              </w:rPr>
            </w:pPr>
            <w:r w:rsidRPr="0035752C">
              <w:rPr>
                <w:sz w:val="26"/>
                <w:rtl/>
              </w:rPr>
              <w:t>(א)</w:t>
            </w:r>
            <w:r w:rsidRPr="0035752C">
              <w:rPr>
                <w:sz w:val="26"/>
                <w:rtl/>
              </w:rPr>
              <w:tab/>
              <w:t xml:space="preserve">מעסיק חייב לנקוט אמצעים סבירים, בנסיבות העניין, כדי למנוע התעמרות בעבודה על ידי עובדו, או על ידי ממונה מטעמו אף אם אינו עובדו, או על ידי ספק או לקוח, ולטפל בכל מקרה כאמור, ולשם כך עליו: </w:t>
            </w:r>
          </w:p>
        </w:tc>
      </w:tr>
      <w:tr w:rsidRPr="0035752C" w:rsidR="00B64640" w:rsidTr="006D6595" w14:paraId="4A7895A0" w14:textId="77777777">
        <w:trPr>
          <w:cantSplit/>
        </w:trPr>
        <w:tc>
          <w:tcPr>
            <w:tcW w:w="1871" w:type="dxa"/>
          </w:tcPr>
          <w:p w:rsidRPr="0035752C" w:rsidR="00B64640" w:rsidP="006D6595" w:rsidRDefault="00B64640" w14:paraId="3EB73D25" w14:textId="77777777">
            <w:pPr>
              <w:pStyle w:val="TableSideHeading"/>
              <w:rPr>
                <w:sz w:val="26"/>
              </w:rPr>
            </w:pPr>
          </w:p>
        </w:tc>
        <w:tc>
          <w:tcPr>
            <w:tcW w:w="624" w:type="dxa"/>
          </w:tcPr>
          <w:p w:rsidRPr="0035752C" w:rsidR="00B64640" w:rsidP="006D6595" w:rsidRDefault="00B64640" w14:paraId="16B18957" w14:textId="77777777">
            <w:pPr>
              <w:pStyle w:val="TableText"/>
              <w:rPr>
                <w:sz w:val="26"/>
              </w:rPr>
            </w:pPr>
          </w:p>
        </w:tc>
        <w:tc>
          <w:tcPr>
            <w:tcW w:w="624" w:type="dxa"/>
          </w:tcPr>
          <w:p w:rsidRPr="0035752C" w:rsidR="00B64640" w:rsidP="006D6595" w:rsidRDefault="00B64640" w14:paraId="33EE7A5D" w14:textId="77777777">
            <w:pPr>
              <w:pStyle w:val="TableText"/>
              <w:rPr>
                <w:sz w:val="26"/>
              </w:rPr>
            </w:pPr>
          </w:p>
        </w:tc>
        <w:tc>
          <w:tcPr>
            <w:tcW w:w="6519" w:type="dxa"/>
          </w:tcPr>
          <w:p w:rsidRPr="0035752C" w:rsidR="00B64640" w:rsidP="006D6595" w:rsidRDefault="00B64640" w14:paraId="5ED91E9F" w14:textId="77777777">
            <w:pPr>
              <w:pStyle w:val="TableBlock"/>
              <w:rPr>
                <w:sz w:val="26"/>
              </w:rPr>
            </w:pPr>
            <w:r w:rsidRPr="0035752C">
              <w:rPr>
                <w:sz w:val="26"/>
                <w:rtl/>
              </w:rPr>
              <w:t>(1)</w:t>
            </w:r>
            <w:r w:rsidRPr="0035752C">
              <w:rPr>
                <w:sz w:val="26"/>
                <w:rtl/>
              </w:rPr>
              <w:tab/>
              <w:t>לקבוע דרך יעילה להגשת תלונה בשל התעמרות בעבודה ולבירור התלונה;</w:t>
            </w:r>
          </w:p>
        </w:tc>
      </w:tr>
      <w:tr w:rsidRPr="0035752C" w:rsidR="00B64640" w:rsidTr="006D6595" w14:paraId="6AD6C10C" w14:textId="77777777">
        <w:trPr>
          <w:cantSplit/>
        </w:trPr>
        <w:tc>
          <w:tcPr>
            <w:tcW w:w="1871" w:type="dxa"/>
          </w:tcPr>
          <w:p w:rsidRPr="0035752C" w:rsidR="00B64640" w:rsidP="006D6595" w:rsidRDefault="00B64640" w14:paraId="0F10E921" w14:textId="77777777">
            <w:pPr>
              <w:pStyle w:val="TableSideHeading"/>
              <w:rPr>
                <w:sz w:val="26"/>
              </w:rPr>
            </w:pPr>
          </w:p>
        </w:tc>
        <w:tc>
          <w:tcPr>
            <w:tcW w:w="624" w:type="dxa"/>
          </w:tcPr>
          <w:p w:rsidRPr="0035752C" w:rsidR="00B64640" w:rsidP="006D6595" w:rsidRDefault="00B64640" w14:paraId="16CC4DD7" w14:textId="77777777">
            <w:pPr>
              <w:pStyle w:val="TableText"/>
              <w:rPr>
                <w:sz w:val="26"/>
              </w:rPr>
            </w:pPr>
          </w:p>
        </w:tc>
        <w:tc>
          <w:tcPr>
            <w:tcW w:w="624" w:type="dxa"/>
          </w:tcPr>
          <w:p w:rsidRPr="0035752C" w:rsidR="00B64640" w:rsidP="006D6595" w:rsidRDefault="00B64640" w14:paraId="36D2E315" w14:textId="77777777">
            <w:pPr>
              <w:pStyle w:val="TableText"/>
              <w:rPr>
                <w:sz w:val="26"/>
              </w:rPr>
            </w:pPr>
          </w:p>
        </w:tc>
        <w:tc>
          <w:tcPr>
            <w:tcW w:w="6519" w:type="dxa"/>
          </w:tcPr>
          <w:p w:rsidRPr="0035752C" w:rsidR="00B64640" w:rsidP="006D6595" w:rsidRDefault="00B64640" w14:paraId="535E7C63" w14:textId="77777777">
            <w:pPr>
              <w:pStyle w:val="TableBlock"/>
              <w:rPr>
                <w:sz w:val="26"/>
              </w:rPr>
            </w:pPr>
            <w:r w:rsidRPr="0035752C">
              <w:rPr>
                <w:sz w:val="26"/>
                <w:rtl/>
              </w:rPr>
              <w:t>(2)</w:t>
            </w:r>
            <w:r w:rsidRPr="0035752C">
              <w:rPr>
                <w:sz w:val="26"/>
                <w:rtl/>
              </w:rPr>
              <w:tab/>
              <w:t xml:space="preserve">לטפל ביעילות וללא דיחוי במקרה של התעמרות בעבודה שידע אודותיו, וכן לעשות כל שביכולתו כדי למנוע את הישנות ההתעמרות כלפי המתלונן וכלפי אחרים </w:t>
            </w:r>
            <w:r w:rsidRPr="0035752C">
              <w:rPr>
                <w:rFonts w:hint="cs"/>
                <w:sz w:val="26"/>
                <w:rtl/>
              </w:rPr>
              <w:t>בע</w:t>
            </w:r>
            <w:r w:rsidRPr="0035752C">
              <w:rPr>
                <w:sz w:val="26"/>
                <w:rtl/>
              </w:rPr>
              <w:t>בודה, וכדי לתקן את הפגיעה שנגרמה למתלונן בעקבותיה;</w:t>
            </w:r>
          </w:p>
        </w:tc>
      </w:tr>
      <w:tr w:rsidRPr="0035752C" w:rsidR="00B64640" w:rsidTr="006D6595" w14:paraId="380D662B" w14:textId="77777777">
        <w:trPr>
          <w:cantSplit/>
        </w:trPr>
        <w:tc>
          <w:tcPr>
            <w:tcW w:w="1871" w:type="dxa"/>
          </w:tcPr>
          <w:p w:rsidRPr="0035752C" w:rsidR="00B64640" w:rsidP="006D6595" w:rsidRDefault="00B64640" w14:paraId="4BB8D674" w14:textId="77777777">
            <w:pPr>
              <w:pStyle w:val="TableSideHeading"/>
              <w:rPr>
                <w:sz w:val="26"/>
              </w:rPr>
            </w:pPr>
          </w:p>
        </w:tc>
        <w:tc>
          <w:tcPr>
            <w:tcW w:w="624" w:type="dxa"/>
          </w:tcPr>
          <w:p w:rsidRPr="0035752C" w:rsidR="00B64640" w:rsidP="006D6595" w:rsidRDefault="00B64640" w14:paraId="0D080BF7" w14:textId="77777777">
            <w:pPr>
              <w:pStyle w:val="TableText"/>
              <w:rPr>
                <w:sz w:val="26"/>
              </w:rPr>
            </w:pPr>
          </w:p>
        </w:tc>
        <w:tc>
          <w:tcPr>
            <w:tcW w:w="624" w:type="dxa"/>
          </w:tcPr>
          <w:p w:rsidRPr="0035752C" w:rsidR="00B64640" w:rsidP="006D6595" w:rsidRDefault="00B64640" w14:paraId="08BFC4D2" w14:textId="77777777">
            <w:pPr>
              <w:pStyle w:val="TableText"/>
              <w:rPr>
                <w:sz w:val="26"/>
              </w:rPr>
            </w:pPr>
          </w:p>
        </w:tc>
        <w:tc>
          <w:tcPr>
            <w:tcW w:w="6519" w:type="dxa"/>
          </w:tcPr>
          <w:p w:rsidRPr="0035752C" w:rsidR="00B64640" w:rsidP="006D6595" w:rsidRDefault="00B64640" w14:paraId="3FEE67B5" w14:textId="77777777">
            <w:pPr>
              <w:pStyle w:val="TableBlock"/>
              <w:rPr>
                <w:sz w:val="26"/>
              </w:rPr>
            </w:pPr>
            <w:r w:rsidRPr="0035752C">
              <w:rPr>
                <w:sz w:val="26"/>
                <w:rtl/>
              </w:rPr>
              <w:t>(3)</w:t>
            </w:r>
            <w:r w:rsidRPr="0035752C">
              <w:rPr>
                <w:sz w:val="26"/>
                <w:rtl/>
              </w:rPr>
              <w:tab/>
              <w:t>במקרה של התעמרות בעבודה כשהנילון הוא ספק או לקוח של המעסיק, חייב המעסיק לפעול כאמור בפסקה (2) רק ככל שהוגשה תלונה.</w:t>
            </w:r>
          </w:p>
        </w:tc>
      </w:tr>
      <w:tr w:rsidRPr="0035752C" w:rsidR="00B64640" w:rsidTr="006D6595" w14:paraId="70F40147" w14:textId="77777777">
        <w:trPr>
          <w:cantSplit/>
        </w:trPr>
        <w:tc>
          <w:tcPr>
            <w:tcW w:w="1871" w:type="dxa"/>
          </w:tcPr>
          <w:p w:rsidRPr="0035752C" w:rsidR="00B64640" w:rsidP="006D6595" w:rsidRDefault="00B64640" w14:paraId="75154A2C" w14:textId="77777777">
            <w:pPr>
              <w:pStyle w:val="TableSideHeading"/>
              <w:rPr>
                <w:sz w:val="26"/>
              </w:rPr>
            </w:pPr>
          </w:p>
        </w:tc>
        <w:tc>
          <w:tcPr>
            <w:tcW w:w="624" w:type="dxa"/>
          </w:tcPr>
          <w:p w:rsidRPr="0035752C" w:rsidR="00B64640" w:rsidP="006D6595" w:rsidRDefault="00B64640" w14:paraId="4CCB6FEC" w14:textId="77777777">
            <w:pPr>
              <w:pStyle w:val="TableText"/>
              <w:rPr>
                <w:sz w:val="26"/>
              </w:rPr>
            </w:pPr>
          </w:p>
        </w:tc>
        <w:tc>
          <w:tcPr>
            <w:tcW w:w="7143" w:type="dxa"/>
            <w:gridSpan w:val="2"/>
          </w:tcPr>
          <w:p w:rsidRPr="0035752C" w:rsidR="00B64640" w:rsidP="006D6595" w:rsidRDefault="00B64640" w14:paraId="339186FA" w14:textId="77777777">
            <w:pPr>
              <w:pStyle w:val="TableBlock"/>
              <w:rPr>
                <w:sz w:val="26"/>
              </w:rPr>
            </w:pPr>
            <w:r w:rsidRPr="0035752C">
              <w:rPr>
                <w:sz w:val="26"/>
                <w:rtl/>
              </w:rPr>
              <w:t>(ב)</w:t>
            </w:r>
            <w:r w:rsidRPr="0035752C">
              <w:rPr>
                <w:sz w:val="26"/>
                <w:rtl/>
              </w:rPr>
              <w:tab/>
              <w:t>מעסיק המעסיק יותר מ-</w:t>
            </w:r>
            <w:r w:rsidRPr="0035752C">
              <w:rPr>
                <w:rFonts w:hint="cs"/>
                <w:sz w:val="26"/>
                <w:rtl/>
              </w:rPr>
              <w:t>18</w:t>
            </w:r>
            <w:r w:rsidRPr="0035752C">
              <w:rPr>
                <w:sz w:val="26"/>
                <w:rtl/>
              </w:rPr>
              <w:t xml:space="preserve"> עובדים חייב, בנוסף לאמור בסעיף קטן (א), לקבוע תקנון שבו יובאו עיקרי הוראות החוק בדבר התעמרות בעבודה ויפורטו בו דרכי הגשת התלונות שעניינן התעמרות </w:t>
            </w:r>
            <w:r w:rsidRPr="0035752C">
              <w:rPr>
                <w:rFonts w:hint="cs"/>
                <w:sz w:val="26"/>
                <w:rtl/>
              </w:rPr>
              <w:t>ב</w:t>
            </w:r>
            <w:r w:rsidRPr="0035752C">
              <w:rPr>
                <w:sz w:val="26"/>
                <w:rtl/>
              </w:rPr>
              <w:t xml:space="preserve">עבודה ודרכי הטיפול בה, כפי שקבע המעסיק (להלן – תקנון); המעסיק יפרסם את התקנון בין עובדיו. </w:t>
            </w:r>
          </w:p>
        </w:tc>
      </w:tr>
      <w:tr w:rsidRPr="0035752C" w:rsidR="00B64640" w:rsidTr="006D6595" w14:paraId="5AE1117A" w14:textId="77777777">
        <w:trPr>
          <w:cantSplit/>
        </w:trPr>
        <w:tc>
          <w:tcPr>
            <w:tcW w:w="1871" w:type="dxa"/>
          </w:tcPr>
          <w:p w:rsidRPr="0035752C" w:rsidR="00B64640" w:rsidP="006D6595" w:rsidRDefault="00B64640" w14:paraId="5BE2068A" w14:textId="77777777">
            <w:pPr>
              <w:pStyle w:val="TableSideHeading"/>
              <w:rPr>
                <w:sz w:val="26"/>
              </w:rPr>
            </w:pPr>
          </w:p>
        </w:tc>
        <w:tc>
          <w:tcPr>
            <w:tcW w:w="624" w:type="dxa"/>
          </w:tcPr>
          <w:p w:rsidRPr="0035752C" w:rsidR="00B64640" w:rsidP="006D6595" w:rsidRDefault="00B64640" w14:paraId="0921BED1" w14:textId="77777777">
            <w:pPr>
              <w:pStyle w:val="TableText"/>
              <w:rPr>
                <w:sz w:val="26"/>
              </w:rPr>
            </w:pPr>
          </w:p>
        </w:tc>
        <w:tc>
          <w:tcPr>
            <w:tcW w:w="7143" w:type="dxa"/>
            <w:gridSpan w:val="2"/>
          </w:tcPr>
          <w:p w:rsidRPr="0035752C" w:rsidR="00B64640" w:rsidP="006D6595" w:rsidRDefault="00B64640" w14:paraId="6EA213DE" w14:textId="77777777">
            <w:pPr>
              <w:pStyle w:val="TableBlock"/>
              <w:rPr>
                <w:sz w:val="26"/>
              </w:rPr>
            </w:pPr>
            <w:r w:rsidRPr="0035752C">
              <w:rPr>
                <w:sz w:val="26"/>
                <w:rtl/>
              </w:rPr>
              <w:t>(ג)</w:t>
            </w:r>
            <w:r w:rsidRPr="0035752C">
              <w:rPr>
                <w:sz w:val="26"/>
                <w:rtl/>
              </w:rPr>
              <w:tab/>
              <w:t xml:space="preserve"> מעסיק שלא מילא את חובותיו לפי סעיפים קטנים (א) ו-(ב) יהיה אחראי לעוולה אזרחית לפי סעיף 5, שעשה עובדו, או ממונה מטעמו אף אם אינו עובדו, או ספק או לקוח, בעבודה. </w:t>
            </w:r>
          </w:p>
        </w:tc>
      </w:tr>
      <w:tr w:rsidRPr="0035752C" w:rsidR="00B64640" w:rsidTr="006D6595" w14:paraId="2931FFFE" w14:textId="77777777">
        <w:trPr>
          <w:cantSplit/>
        </w:trPr>
        <w:tc>
          <w:tcPr>
            <w:tcW w:w="1871" w:type="dxa"/>
          </w:tcPr>
          <w:p w:rsidRPr="0035752C" w:rsidR="00B64640" w:rsidP="006D6595" w:rsidRDefault="00B64640" w14:paraId="07684978" w14:textId="77777777">
            <w:pPr>
              <w:pStyle w:val="TableSideHeading"/>
              <w:rPr>
                <w:sz w:val="26"/>
              </w:rPr>
            </w:pPr>
          </w:p>
        </w:tc>
        <w:tc>
          <w:tcPr>
            <w:tcW w:w="624" w:type="dxa"/>
          </w:tcPr>
          <w:p w:rsidRPr="0035752C" w:rsidR="00B64640" w:rsidP="006D6595" w:rsidRDefault="00B64640" w14:paraId="46D73365" w14:textId="77777777">
            <w:pPr>
              <w:pStyle w:val="TableText"/>
              <w:rPr>
                <w:sz w:val="26"/>
              </w:rPr>
            </w:pPr>
          </w:p>
        </w:tc>
        <w:tc>
          <w:tcPr>
            <w:tcW w:w="7143" w:type="dxa"/>
            <w:gridSpan w:val="2"/>
          </w:tcPr>
          <w:p w:rsidRPr="0035752C" w:rsidR="00B64640" w:rsidP="006D6595" w:rsidRDefault="00B64640" w14:paraId="48DB8960" w14:textId="77777777">
            <w:pPr>
              <w:pStyle w:val="TableBlock"/>
              <w:rPr>
                <w:sz w:val="26"/>
              </w:rPr>
            </w:pPr>
            <w:r w:rsidRPr="0035752C">
              <w:rPr>
                <w:sz w:val="26"/>
                <w:rtl/>
              </w:rPr>
              <w:t>(ד)</w:t>
            </w:r>
            <w:r w:rsidRPr="0035752C">
              <w:rPr>
                <w:sz w:val="26"/>
                <w:rtl/>
              </w:rPr>
              <w:tab/>
              <w:t>השר, באישור ועדת העבודה הרווחה</w:t>
            </w:r>
            <w:r w:rsidRPr="0035752C">
              <w:rPr>
                <w:rFonts w:hint="cs"/>
                <w:sz w:val="26"/>
                <w:rtl/>
              </w:rPr>
              <w:t xml:space="preserve"> </w:t>
            </w:r>
            <w:r w:rsidRPr="0035752C">
              <w:rPr>
                <w:sz w:val="26"/>
                <w:rtl/>
              </w:rPr>
              <w:t xml:space="preserve">של הכנסת, יקבע – </w:t>
            </w:r>
          </w:p>
        </w:tc>
      </w:tr>
      <w:tr w:rsidRPr="0035752C" w:rsidR="00B64640" w:rsidTr="006D6595" w14:paraId="36A8C05B" w14:textId="77777777">
        <w:trPr>
          <w:cantSplit/>
        </w:trPr>
        <w:tc>
          <w:tcPr>
            <w:tcW w:w="1871" w:type="dxa"/>
          </w:tcPr>
          <w:p w:rsidRPr="0035752C" w:rsidR="00B64640" w:rsidP="006D6595" w:rsidRDefault="00B64640" w14:paraId="7E367E20" w14:textId="77777777">
            <w:pPr>
              <w:pStyle w:val="TableSideHeading"/>
              <w:rPr>
                <w:sz w:val="26"/>
              </w:rPr>
            </w:pPr>
          </w:p>
        </w:tc>
        <w:tc>
          <w:tcPr>
            <w:tcW w:w="624" w:type="dxa"/>
          </w:tcPr>
          <w:p w:rsidRPr="0035752C" w:rsidR="00B64640" w:rsidP="006D6595" w:rsidRDefault="00B64640" w14:paraId="0B917D13" w14:textId="77777777">
            <w:pPr>
              <w:pStyle w:val="TableText"/>
              <w:rPr>
                <w:sz w:val="26"/>
              </w:rPr>
            </w:pPr>
          </w:p>
        </w:tc>
        <w:tc>
          <w:tcPr>
            <w:tcW w:w="624" w:type="dxa"/>
          </w:tcPr>
          <w:p w:rsidRPr="0035752C" w:rsidR="00B64640" w:rsidP="006D6595" w:rsidRDefault="00B64640" w14:paraId="677807A9" w14:textId="77777777">
            <w:pPr>
              <w:pStyle w:val="TableText"/>
              <w:rPr>
                <w:sz w:val="26"/>
              </w:rPr>
            </w:pPr>
          </w:p>
        </w:tc>
        <w:tc>
          <w:tcPr>
            <w:tcW w:w="6519" w:type="dxa"/>
          </w:tcPr>
          <w:p w:rsidRPr="0035752C" w:rsidR="00B64640" w:rsidP="006D6595" w:rsidRDefault="00B64640" w14:paraId="02CABC5C" w14:textId="77777777">
            <w:pPr>
              <w:pStyle w:val="TableBlock"/>
              <w:rPr>
                <w:sz w:val="26"/>
              </w:rPr>
            </w:pPr>
            <w:r w:rsidRPr="0035752C">
              <w:rPr>
                <w:sz w:val="26"/>
                <w:rtl/>
              </w:rPr>
              <w:t>(1)</w:t>
            </w:r>
            <w:r w:rsidRPr="0035752C">
              <w:rPr>
                <w:sz w:val="26"/>
                <w:rtl/>
              </w:rPr>
              <w:tab/>
              <w:t>כללים לביצוע חובות המעסיק על פי סעיף זה; כללים כאמור יכול שיהיו כלליים או לפי סוגים של מקומות עבודה, ענפי עבודה או מקצועות;</w:t>
            </w:r>
          </w:p>
        </w:tc>
      </w:tr>
      <w:tr w:rsidRPr="0035752C" w:rsidR="00B64640" w:rsidTr="006D6595" w14:paraId="17E7B526" w14:textId="77777777">
        <w:trPr>
          <w:cantSplit/>
        </w:trPr>
        <w:tc>
          <w:tcPr>
            <w:tcW w:w="1871" w:type="dxa"/>
          </w:tcPr>
          <w:p w:rsidRPr="0035752C" w:rsidR="00B64640" w:rsidP="006D6595" w:rsidRDefault="00B64640" w14:paraId="02E83FFA" w14:textId="77777777">
            <w:pPr>
              <w:pStyle w:val="TableSideHeading"/>
              <w:rPr>
                <w:sz w:val="26"/>
              </w:rPr>
            </w:pPr>
          </w:p>
        </w:tc>
        <w:tc>
          <w:tcPr>
            <w:tcW w:w="624" w:type="dxa"/>
          </w:tcPr>
          <w:p w:rsidRPr="0035752C" w:rsidR="00B64640" w:rsidP="006D6595" w:rsidRDefault="00B64640" w14:paraId="22EB06EE" w14:textId="77777777">
            <w:pPr>
              <w:pStyle w:val="TableText"/>
              <w:rPr>
                <w:sz w:val="26"/>
              </w:rPr>
            </w:pPr>
          </w:p>
        </w:tc>
        <w:tc>
          <w:tcPr>
            <w:tcW w:w="624" w:type="dxa"/>
          </w:tcPr>
          <w:p w:rsidRPr="0035752C" w:rsidR="00B64640" w:rsidP="006D6595" w:rsidRDefault="00B64640" w14:paraId="2D759947" w14:textId="77777777">
            <w:pPr>
              <w:pStyle w:val="TableText"/>
              <w:rPr>
                <w:sz w:val="26"/>
              </w:rPr>
            </w:pPr>
          </w:p>
        </w:tc>
        <w:tc>
          <w:tcPr>
            <w:tcW w:w="6519" w:type="dxa"/>
          </w:tcPr>
          <w:p w:rsidRPr="0035752C" w:rsidR="00B64640" w:rsidP="006D6595" w:rsidRDefault="00B64640" w14:paraId="138607D8" w14:textId="77777777">
            <w:pPr>
              <w:pStyle w:val="TableBlock"/>
              <w:rPr>
                <w:sz w:val="26"/>
              </w:rPr>
            </w:pPr>
            <w:r w:rsidRPr="0035752C">
              <w:rPr>
                <w:sz w:val="26"/>
                <w:rtl/>
              </w:rPr>
              <w:t>(2)</w:t>
            </w:r>
            <w:r w:rsidRPr="0035752C">
              <w:rPr>
                <w:sz w:val="26"/>
                <w:rtl/>
              </w:rPr>
              <w:tab/>
              <w:t xml:space="preserve">תקנון לדוגמה שישמש דוגמה למעסיק (להלן – תקנון לדוגמה). </w:t>
            </w:r>
          </w:p>
        </w:tc>
      </w:tr>
      <w:tr w:rsidRPr="0035752C" w:rsidR="00B64640" w:rsidTr="006D6595" w14:paraId="78C08A73" w14:textId="77777777">
        <w:trPr>
          <w:cantSplit/>
        </w:trPr>
        <w:tc>
          <w:tcPr>
            <w:tcW w:w="1871" w:type="dxa"/>
          </w:tcPr>
          <w:p w:rsidRPr="0035752C" w:rsidR="00B64640" w:rsidP="006D6595" w:rsidRDefault="00B64640" w14:paraId="2F1D37D1" w14:textId="77777777">
            <w:pPr>
              <w:pStyle w:val="TableSideHeading"/>
              <w:rPr>
                <w:sz w:val="26"/>
              </w:rPr>
            </w:pPr>
          </w:p>
        </w:tc>
        <w:tc>
          <w:tcPr>
            <w:tcW w:w="624" w:type="dxa"/>
          </w:tcPr>
          <w:p w:rsidRPr="0035752C" w:rsidR="00B64640" w:rsidP="006D6595" w:rsidRDefault="00B64640" w14:paraId="0EF30B92" w14:textId="77777777">
            <w:pPr>
              <w:pStyle w:val="TableText"/>
              <w:rPr>
                <w:sz w:val="26"/>
              </w:rPr>
            </w:pPr>
          </w:p>
        </w:tc>
        <w:tc>
          <w:tcPr>
            <w:tcW w:w="7143" w:type="dxa"/>
            <w:gridSpan w:val="2"/>
          </w:tcPr>
          <w:p w:rsidRPr="0035752C" w:rsidR="00B64640" w:rsidP="006D6595" w:rsidRDefault="00B64640" w14:paraId="1D0F8DD3" w14:textId="77777777">
            <w:pPr>
              <w:pStyle w:val="TableBlock"/>
              <w:rPr>
                <w:sz w:val="26"/>
              </w:rPr>
            </w:pPr>
            <w:r w:rsidRPr="0035752C">
              <w:rPr>
                <w:sz w:val="26"/>
                <w:rtl/>
              </w:rPr>
              <w:t>(ה)</w:t>
            </w:r>
            <w:r w:rsidRPr="0035752C">
              <w:rPr>
                <w:sz w:val="26"/>
                <w:rtl/>
              </w:rPr>
              <w:tab/>
              <w:t xml:space="preserve">לצורך קיום חובותיו של המעסיק לפי סעיף קטן (ב), יערוך המעסיק בתקנון לדוגמה את ההתאמות הנדרשות. </w:t>
            </w:r>
          </w:p>
        </w:tc>
      </w:tr>
      <w:tr w:rsidRPr="0035752C" w:rsidR="00B64640" w:rsidTr="006D6595" w14:paraId="6CBF0335" w14:textId="77777777">
        <w:trPr>
          <w:cantSplit/>
        </w:trPr>
        <w:tc>
          <w:tcPr>
            <w:tcW w:w="1871" w:type="dxa"/>
          </w:tcPr>
          <w:p w:rsidRPr="0035752C" w:rsidR="00B64640" w:rsidP="006D6595" w:rsidRDefault="00B64640" w14:paraId="0D8C63D4" w14:textId="77777777">
            <w:pPr>
              <w:pStyle w:val="TableSideHeading"/>
              <w:rPr>
                <w:sz w:val="26"/>
              </w:rPr>
            </w:pPr>
            <w:r w:rsidRPr="0035752C">
              <w:rPr>
                <w:sz w:val="26"/>
                <w:rtl/>
              </w:rPr>
              <w:t>אי פרסום תקנון – עבירה</w:t>
            </w:r>
          </w:p>
        </w:tc>
        <w:tc>
          <w:tcPr>
            <w:tcW w:w="624" w:type="dxa"/>
          </w:tcPr>
          <w:p w:rsidRPr="0035752C" w:rsidR="00B64640" w:rsidP="006D6595" w:rsidRDefault="00B64640" w14:paraId="5DDE6DD7" w14:textId="77777777">
            <w:pPr>
              <w:pStyle w:val="TableText"/>
              <w:rPr>
                <w:sz w:val="26"/>
              </w:rPr>
            </w:pPr>
            <w:r w:rsidRPr="0035752C">
              <w:rPr>
                <w:sz w:val="26"/>
                <w:rtl/>
              </w:rPr>
              <w:t>7.</w:t>
            </w:r>
          </w:p>
        </w:tc>
        <w:tc>
          <w:tcPr>
            <w:tcW w:w="7143" w:type="dxa"/>
            <w:gridSpan w:val="2"/>
          </w:tcPr>
          <w:p w:rsidRPr="0035752C" w:rsidR="00B64640" w:rsidP="006D6595" w:rsidRDefault="00B64640" w14:paraId="3928C94B" w14:textId="77777777">
            <w:pPr>
              <w:pStyle w:val="TableBlock"/>
              <w:rPr>
                <w:sz w:val="26"/>
              </w:rPr>
            </w:pPr>
            <w:r w:rsidRPr="0035752C">
              <w:rPr>
                <w:sz w:val="26"/>
                <w:rtl/>
              </w:rPr>
              <w:t>לא פרסם מעסיק תקנון כאמור בסעיף 6(ב), דינו – הקנס הקבוע בסעיף 61(א)(1) לחוק העונשין, התשל"ז–1977</w:t>
            </w:r>
            <w:r w:rsidRPr="0035752C">
              <w:rPr>
                <w:rFonts w:ascii="David" w:hAnsi="David"/>
                <w:sz w:val="26"/>
                <w:vertAlign w:val="superscript"/>
                <w:rtl/>
              </w:rPr>
              <w:footnoteReference w:id="8"/>
            </w:r>
            <w:r w:rsidRPr="0035752C">
              <w:rPr>
                <w:sz w:val="26"/>
                <w:rtl/>
              </w:rPr>
              <w:t xml:space="preserve">, וקנס נוסף לכל שבוע שבו נמשכה העבירה, בשיעור הקנס הקבוע בסעיף 61(ג) לחוק העונשין. </w:t>
            </w:r>
          </w:p>
        </w:tc>
      </w:tr>
      <w:tr w:rsidRPr="0035752C" w:rsidR="00B64640" w:rsidTr="006D6595" w14:paraId="2E5F7BCE" w14:textId="77777777">
        <w:trPr>
          <w:cantSplit/>
        </w:trPr>
        <w:tc>
          <w:tcPr>
            <w:tcW w:w="1871" w:type="dxa"/>
          </w:tcPr>
          <w:p w:rsidRPr="0035752C" w:rsidR="00B64640" w:rsidP="006D6595" w:rsidRDefault="00B64640" w14:paraId="76EAF499" w14:textId="77777777">
            <w:pPr>
              <w:pStyle w:val="TableSideHeading"/>
              <w:rPr>
                <w:sz w:val="26"/>
              </w:rPr>
            </w:pPr>
            <w:r w:rsidRPr="0035752C">
              <w:rPr>
                <w:sz w:val="26"/>
                <w:rtl/>
              </w:rPr>
              <w:lastRenderedPageBreak/>
              <w:t>הרחבת תחולה</w:t>
            </w:r>
          </w:p>
        </w:tc>
        <w:tc>
          <w:tcPr>
            <w:tcW w:w="624" w:type="dxa"/>
          </w:tcPr>
          <w:p w:rsidRPr="0035752C" w:rsidR="00B64640" w:rsidP="006D6595" w:rsidRDefault="00B64640" w14:paraId="2EB68499" w14:textId="77777777">
            <w:pPr>
              <w:pStyle w:val="TableText"/>
              <w:rPr>
                <w:sz w:val="26"/>
              </w:rPr>
            </w:pPr>
            <w:r w:rsidRPr="0035752C">
              <w:rPr>
                <w:sz w:val="26"/>
                <w:rtl/>
              </w:rPr>
              <w:t>8.</w:t>
            </w:r>
          </w:p>
        </w:tc>
        <w:tc>
          <w:tcPr>
            <w:tcW w:w="7143" w:type="dxa"/>
            <w:gridSpan w:val="2"/>
          </w:tcPr>
          <w:p w:rsidRPr="0035752C" w:rsidR="00B64640" w:rsidP="006D6595" w:rsidRDefault="00B64640" w14:paraId="2B09B487" w14:textId="77777777">
            <w:pPr>
              <w:pStyle w:val="TableBlock"/>
              <w:rPr>
                <w:sz w:val="26"/>
              </w:rPr>
            </w:pPr>
            <w:r w:rsidRPr="0035752C">
              <w:rPr>
                <w:sz w:val="26"/>
                <w:rtl/>
              </w:rPr>
              <w:t>(א)</w:t>
            </w:r>
            <w:r w:rsidRPr="0035752C">
              <w:rPr>
                <w:sz w:val="26"/>
                <w:rtl/>
              </w:rPr>
              <w:tab/>
              <w:t xml:space="preserve">הוראות חוק זה לעניין מעסיק ועובד יחולו, בשינויים המחויבים ולפי העניין, גם על מי שמעסיק בפועל אדם באמצעות קבלן כוח אדם ועל אדם המועסק כאמור, וגם על מזמין שירות ועל עובד של קבלן שירות המועסק אצלו. </w:t>
            </w:r>
          </w:p>
        </w:tc>
      </w:tr>
      <w:tr w:rsidRPr="0035752C" w:rsidR="00B64640" w:rsidTr="006D6595" w14:paraId="25A9BC99" w14:textId="77777777">
        <w:trPr>
          <w:cantSplit/>
        </w:trPr>
        <w:tc>
          <w:tcPr>
            <w:tcW w:w="1871" w:type="dxa"/>
          </w:tcPr>
          <w:p w:rsidRPr="0035752C" w:rsidR="00B64640" w:rsidP="006D6595" w:rsidRDefault="00B64640" w14:paraId="201D62BB" w14:textId="77777777">
            <w:pPr>
              <w:pStyle w:val="TableSideHeading"/>
              <w:rPr>
                <w:sz w:val="26"/>
              </w:rPr>
            </w:pPr>
          </w:p>
        </w:tc>
        <w:tc>
          <w:tcPr>
            <w:tcW w:w="624" w:type="dxa"/>
          </w:tcPr>
          <w:p w:rsidRPr="0035752C" w:rsidR="00B64640" w:rsidP="006D6595" w:rsidRDefault="00B64640" w14:paraId="2261720F" w14:textId="77777777">
            <w:pPr>
              <w:pStyle w:val="TableText"/>
              <w:rPr>
                <w:sz w:val="26"/>
              </w:rPr>
            </w:pPr>
          </w:p>
        </w:tc>
        <w:tc>
          <w:tcPr>
            <w:tcW w:w="7143" w:type="dxa"/>
            <w:gridSpan w:val="2"/>
          </w:tcPr>
          <w:p w:rsidRPr="0035752C" w:rsidR="00B64640" w:rsidP="006D6595" w:rsidRDefault="00B64640" w14:paraId="0F615FED" w14:textId="77777777">
            <w:pPr>
              <w:pStyle w:val="TableBlock"/>
              <w:rPr>
                <w:sz w:val="26"/>
              </w:rPr>
            </w:pPr>
            <w:r w:rsidRPr="0035752C">
              <w:rPr>
                <w:sz w:val="26"/>
                <w:rtl/>
              </w:rPr>
              <w:t>(ב)</w:t>
            </w:r>
            <w:r w:rsidRPr="0035752C">
              <w:rPr>
                <w:sz w:val="26"/>
                <w:rtl/>
              </w:rPr>
              <w:tab/>
              <w:t>הוראות חוק זה לעניין מעסיק, עובד ומסגרת עבודה יחולו, בשינויים המחויבים ולפי העניין, גם על מפעיל שירות, משרת בשירות ומסגרת השירות.</w:t>
            </w:r>
          </w:p>
        </w:tc>
      </w:tr>
      <w:tr w:rsidRPr="0035752C" w:rsidR="00B64640" w:rsidTr="006D6595" w14:paraId="40CD7CBF" w14:textId="77777777">
        <w:trPr>
          <w:cantSplit/>
        </w:trPr>
        <w:tc>
          <w:tcPr>
            <w:tcW w:w="1871" w:type="dxa"/>
          </w:tcPr>
          <w:p w:rsidRPr="0035752C" w:rsidR="00B64640" w:rsidP="006D6595" w:rsidRDefault="00B64640" w14:paraId="7BB50794" w14:textId="77777777">
            <w:pPr>
              <w:pStyle w:val="TableSideHeading"/>
              <w:rPr>
                <w:sz w:val="26"/>
              </w:rPr>
            </w:pPr>
            <w:r w:rsidRPr="0035752C">
              <w:rPr>
                <w:sz w:val="26"/>
                <w:rtl/>
              </w:rPr>
              <w:t>זכות תביעה והתערבות בתובענות</w:t>
            </w:r>
          </w:p>
        </w:tc>
        <w:tc>
          <w:tcPr>
            <w:tcW w:w="624" w:type="dxa"/>
          </w:tcPr>
          <w:p w:rsidRPr="0035752C" w:rsidR="00B64640" w:rsidP="006D6595" w:rsidRDefault="00B64640" w14:paraId="6AF0BC56" w14:textId="77777777">
            <w:pPr>
              <w:pStyle w:val="TableText"/>
              <w:rPr>
                <w:sz w:val="26"/>
              </w:rPr>
            </w:pPr>
            <w:r w:rsidRPr="0035752C">
              <w:rPr>
                <w:sz w:val="26"/>
                <w:rtl/>
              </w:rPr>
              <w:t xml:space="preserve">9. </w:t>
            </w:r>
          </w:p>
        </w:tc>
        <w:tc>
          <w:tcPr>
            <w:tcW w:w="7143" w:type="dxa"/>
            <w:gridSpan w:val="2"/>
          </w:tcPr>
          <w:p w:rsidRPr="0035752C" w:rsidR="00B64640" w:rsidP="006D6595" w:rsidRDefault="00B64640" w14:paraId="30762DF2" w14:textId="77777777">
            <w:pPr>
              <w:pStyle w:val="TableBlock"/>
              <w:rPr>
                <w:sz w:val="26"/>
                <w:rtl/>
              </w:rPr>
            </w:pPr>
            <w:r w:rsidRPr="0035752C">
              <w:rPr>
                <w:sz w:val="26"/>
                <w:rtl/>
              </w:rPr>
              <w:t>(א)</w:t>
            </w:r>
            <w:r w:rsidRPr="0035752C">
              <w:rPr>
                <w:sz w:val="26"/>
                <w:rtl/>
              </w:rPr>
              <w:tab/>
              <w:t xml:space="preserve">תובענה בשל הפרת הוראות סעיפים 4, 5 או 6 יכול שתוגש בידי – </w:t>
            </w:r>
          </w:p>
        </w:tc>
      </w:tr>
      <w:tr w:rsidRPr="0035752C" w:rsidR="00B64640" w:rsidTr="006D6595" w14:paraId="16EB8A33" w14:textId="77777777">
        <w:trPr>
          <w:cantSplit/>
        </w:trPr>
        <w:tc>
          <w:tcPr>
            <w:tcW w:w="1871" w:type="dxa"/>
          </w:tcPr>
          <w:p w:rsidRPr="0035752C" w:rsidR="00B64640" w:rsidP="006D6595" w:rsidRDefault="00B64640" w14:paraId="26379171" w14:textId="77777777">
            <w:pPr>
              <w:pStyle w:val="TableSideHeading"/>
              <w:rPr>
                <w:sz w:val="26"/>
              </w:rPr>
            </w:pPr>
          </w:p>
        </w:tc>
        <w:tc>
          <w:tcPr>
            <w:tcW w:w="624" w:type="dxa"/>
          </w:tcPr>
          <w:p w:rsidRPr="0035752C" w:rsidR="00B64640" w:rsidP="006D6595" w:rsidRDefault="00B64640" w14:paraId="3CD35EAA" w14:textId="77777777">
            <w:pPr>
              <w:pStyle w:val="TableText"/>
              <w:rPr>
                <w:sz w:val="26"/>
              </w:rPr>
            </w:pPr>
          </w:p>
        </w:tc>
        <w:tc>
          <w:tcPr>
            <w:tcW w:w="624" w:type="dxa"/>
          </w:tcPr>
          <w:p w:rsidRPr="0035752C" w:rsidR="00B64640" w:rsidP="006D6595" w:rsidRDefault="00B64640" w14:paraId="13E36598" w14:textId="77777777">
            <w:pPr>
              <w:pStyle w:val="TableText"/>
              <w:rPr>
                <w:sz w:val="26"/>
              </w:rPr>
            </w:pPr>
          </w:p>
        </w:tc>
        <w:tc>
          <w:tcPr>
            <w:tcW w:w="6519" w:type="dxa"/>
          </w:tcPr>
          <w:p w:rsidRPr="0035752C" w:rsidR="00B64640" w:rsidP="006D6595" w:rsidRDefault="00B64640" w14:paraId="15BD36C9" w14:textId="77777777">
            <w:pPr>
              <w:pStyle w:val="TableBlock"/>
              <w:rPr>
                <w:sz w:val="26"/>
              </w:rPr>
            </w:pPr>
            <w:r w:rsidRPr="0035752C">
              <w:rPr>
                <w:sz w:val="26"/>
                <w:rtl/>
              </w:rPr>
              <w:t>(1)</w:t>
            </w:r>
            <w:r w:rsidRPr="0035752C">
              <w:rPr>
                <w:sz w:val="26"/>
                <w:rtl/>
              </w:rPr>
              <w:tab/>
              <w:t xml:space="preserve">העובד;  </w:t>
            </w:r>
          </w:p>
        </w:tc>
      </w:tr>
      <w:tr w:rsidRPr="0035752C" w:rsidR="00B64640" w:rsidTr="006D6595" w14:paraId="3246037D" w14:textId="77777777">
        <w:trPr>
          <w:cantSplit/>
        </w:trPr>
        <w:tc>
          <w:tcPr>
            <w:tcW w:w="1871" w:type="dxa"/>
          </w:tcPr>
          <w:p w:rsidRPr="0035752C" w:rsidR="00B64640" w:rsidP="006D6595" w:rsidRDefault="00B64640" w14:paraId="65217D73" w14:textId="77777777">
            <w:pPr>
              <w:pStyle w:val="TableSideHeading"/>
              <w:rPr>
                <w:sz w:val="26"/>
              </w:rPr>
            </w:pPr>
          </w:p>
        </w:tc>
        <w:tc>
          <w:tcPr>
            <w:tcW w:w="624" w:type="dxa"/>
          </w:tcPr>
          <w:p w:rsidRPr="0035752C" w:rsidR="00B64640" w:rsidP="006D6595" w:rsidRDefault="00B64640" w14:paraId="50D68416" w14:textId="77777777">
            <w:pPr>
              <w:pStyle w:val="TableText"/>
              <w:rPr>
                <w:sz w:val="26"/>
              </w:rPr>
            </w:pPr>
          </w:p>
        </w:tc>
        <w:tc>
          <w:tcPr>
            <w:tcW w:w="624" w:type="dxa"/>
          </w:tcPr>
          <w:p w:rsidRPr="0035752C" w:rsidR="00B64640" w:rsidP="006D6595" w:rsidRDefault="00B64640" w14:paraId="50961BA1" w14:textId="77777777">
            <w:pPr>
              <w:pStyle w:val="TableText"/>
              <w:rPr>
                <w:sz w:val="26"/>
              </w:rPr>
            </w:pPr>
          </w:p>
        </w:tc>
        <w:tc>
          <w:tcPr>
            <w:tcW w:w="6519" w:type="dxa"/>
          </w:tcPr>
          <w:p w:rsidRPr="0035752C" w:rsidR="00B64640" w:rsidP="006D6595" w:rsidRDefault="00B64640" w14:paraId="29AECEF3" w14:textId="77777777">
            <w:pPr>
              <w:pStyle w:val="TableBlock"/>
              <w:rPr>
                <w:sz w:val="26"/>
              </w:rPr>
            </w:pPr>
            <w:r w:rsidRPr="0035752C">
              <w:rPr>
                <w:sz w:val="26"/>
                <w:rtl/>
              </w:rPr>
              <w:t>(2)</w:t>
            </w:r>
            <w:r w:rsidRPr="0035752C">
              <w:rPr>
                <w:sz w:val="26"/>
                <w:rtl/>
              </w:rPr>
              <w:tab/>
              <w:t>ארגון העובדים היציג במקום העבודה או ארגון העובדים היציג באותו ענף או ארגון עובדים שהעובד חבר בו, והכל בהסכמת העובד;</w:t>
            </w:r>
          </w:p>
        </w:tc>
      </w:tr>
      <w:tr w:rsidRPr="0035752C" w:rsidR="00B64640" w:rsidTr="006D6595" w14:paraId="59313D08" w14:textId="77777777">
        <w:trPr>
          <w:cantSplit/>
        </w:trPr>
        <w:tc>
          <w:tcPr>
            <w:tcW w:w="1871" w:type="dxa"/>
          </w:tcPr>
          <w:p w:rsidRPr="0035752C" w:rsidR="00B64640" w:rsidP="006D6595" w:rsidRDefault="00B64640" w14:paraId="4300A9A0" w14:textId="77777777">
            <w:pPr>
              <w:pStyle w:val="TableSideHeading"/>
              <w:rPr>
                <w:sz w:val="26"/>
              </w:rPr>
            </w:pPr>
          </w:p>
        </w:tc>
        <w:tc>
          <w:tcPr>
            <w:tcW w:w="624" w:type="dxa"/>
          </w:tcPr>
          <w:p w:rsidRPr="0035752C" w:rsidR="00B64640" w:rsidP="006D6595" w:rsidRDefault="00B64640" w14:paraId="0B784974" w14:textId="77777777">
            <w:pPr>
              <w:pStyle w:val="TableText"/>
              <w:rPr>
                <w:sz w:val="26"/>
              </w:rPr>
            </w:pPr>
          </w:p>
        </w:tc>
        <w:tc>
          <w:tcPr>
            <w:tcW w:w="624" w:type="dxa"/>
          </w:tcPr>
          <w:p w:rsidRPr="0035752C" w:rsidR="00B64640" w:rsidP="006D6595" w:rsidRDefault="00B64640" w14:paraId="20A690F4" w14:textId="77777777">
            <w:pPr>
              <w:pStyle w:val="TableText"/>
              <w:rPr>
                <w:sz w:val="26"/>
              </w:rPr>
            </w:pPr>
          </w:p>
        </w:tc>
        <w:tc>
          <w:tcPr>
            <w:tcW w:w="6519" w:type="dxa"/>
          </w:tcPr>
          <w:p w:rsidRPr="0035752C" w:rsidR="00B64640" w:rsidP="006D6595" w:rsidRDefault="00B64640" w14:paraId="3113A1C1" w14:textId="77777777">
            <w:pPr>
              <w:pStyle w:val="TableBlock"/>
              <w:rPr>
                <w:sz w:val="26"/>
                <w:rtl/>
              </w:rPr>
            </w:pPr>
            <w:r w:rsidRPr="0035752C">
              <w:rPr>
                <w:sz w:val="26"/>
                <w:rtl/>
              </w:rPr>
              <w:t xml:space="preserve">(3) </w:t>
            </w:r>
            <w:r w:rsidRPr="0035752C">
              <w:rPr>
                <w:sz w:val="26"/>
                <w:rtl/>
              </w:rPr>
              <w:tab/>
              <w:t>ארגונים העוסקים בזכויות מי שאסור להתעמר בו – ובלבד שהסכים לכך.</w:t>
            </w:r>
          </w:p>
        </w:tc>
      </w:tr>
      <w:tr w:rsidRPr="0035752C" w:rsidR="00B64640" w:rsidTr="006D6595" w14:paraId="7059ADD3" w14:textId="77777777">
        <w:trPr>
          <w:cantSplit/>
        </w:trPr>
        <w:tc>
          <w:tcPr>
            <w:tcW w:w="1871" w:type="dxa"/>
          </w:tcPr>
          <w:p w:rsidRPr="0035752C" w:rsidR="00B64640" w:rsidP="006D6595" w:rsidRDefault="00B64640" w14:paraId="50FF4687" w14:textId="77777777">
            <w:pPr>
              <w:pStyle w:val="TableSideHeading"/>
              <w:rPr>
                <w:sz w:val="26"/>
              </w:rPr>
            </w:pPr>
          </w:p>
        </w:tc>
        <w:tc>
          <w:tcPr>
            <w:tcW w:w="624" w:type="dxa"/>
          </w:tcPr>
          <w:p w:rsidRPr="0035752C" w:rsidR="00B64640" w:rsidP="006D6595" w:rsidRDefault="00B64640" w14:paraId="6C419516" w14:textId="77777777">
            <w:pPr>
              <w:pStyle w:val="TableText"/>
              <w:rPr>
                <w:sz w:val="26"/>
              </w:rPr>
            </w:pPr>
          </w:p>
        </w:tc>
        <w:tc>
          <w:tcPr>
            <w:tcW w:w="7143" w:type="dxa"/>
            <w:gridSpan w:val="2"/>
          </w:tcPr>
          <w:p w:rsidRPr="0035752C" w:rsidR="00B64640" w:rsidP="006D6595" w:rsidRDefault="00B64640" w14:paraId="2B016A59" w14:textId="77777777">
            <w:pPr>
              <w:pStyle w:val="TableBlock"/>
              <w:rPr>
                <w:sz w:val="26"/>
              </w:rPr>
            </w:pPr>
            <w:r w:rsidRPr="0035752C">
              <w:rPr>
                <w:sz w:val="26"/>
                <w:rtl/>
              </w:rPr>
              <w:t>(ב)</w:t>
            </w:r>
            <w:r w:rsidRPr="0035752C">
              <w:rPr>
                <w:sz w:val="26"/>
                <w:rtl/>
              </w:rPr>
              <w:tab/>
              <w:t>בתובענות בשל הפרת הוראות חוק זה רשאי בית המשפט או בית הדין לעבודה לתת לארגון העוסק בזכויותיו של מי שאסור להתעמר בו להשמיע את דברו, בדרך שיורה.</w:t>
            </w:r>
          </w:p>
        </w:tc>
      </w:tr>
      <w:tr w:rsidRPr="0035752C" w:rsidR="00B64640" w:rsidTr="006D6595" w14:paraId="6B4DAD37" w14:textId="77777777">
        <w:trPr>
          <w:cantSplit/>
        </w:trPr>
        <w:tc>
          <w:tcPr>
            <w:tcW w:w="1871" w:type="dxa"/>
          </w:tcPr>
          <w:p w:rsidRPr="0035752C" w:rsidR="00B64640" w:rsidP="006D6595" w:rsidRDefault="00B64640" w14:paraId="3B6E5B28" w14:textId="77777777">
            <w:pPr>
              <w:pStyle w:val="TableSideHeading"/>
              <w:rPr>
                <w:sz w:val="26"/>
              </w:rPr>
            </w:pPr>
            <w:r w:rsidRPr="0035752C">
              <w:rPr>
                <w:sz w:val="26"/>
                <w:rtl/>
              </w:rPr>
              <w:t>סמכות בית הדין לעבודה ותרופות</w:t>
            </w:r>
          </w:p>
        </w:tc>
        <w:tc>
          <w:tcPr>
            <w:tcW w:w="624" w:type="dxa"/>
          </w:tcPr>
          <w:p w:rsidRPr="0035752C" w:rsidR="00B64640" w:rsidP="006D6595" w:rsidRDefault="00B64640" w14:paraId="13ABEFC4" w14:textId="77777777">
            <w:pPr>
              <w:pStyle w:val="TableText"/>
              <w:rPr>
                <w:sz w:val="26"/>
              </w:rPr>
            </w:pPr>
            <w:r w:rsidRPr="0035752C">
              <w:rPr>
                <w:sz w:val="26"/>
                <w:rtl/>
              </w:rPr>
              <w:t>10.</w:t>
            </w:r>
          </w:p>
        </w:tc>
        <w:tc>
          <w:tcPr>
            <w:tcW w:w="7143" w:type="dxa"/>
            <w:gridSpan w:val="2"/>
          </w:tcPr>
          <w:p w:rsidRPr="0035752C" w:rsidR="00B64640" w:rsidP="006D6595" w:rsidRDefault="00B64640" w14:paraId="4619EAB3" w14:textId="77777777">
            <w:pPr>
              <w:pStyle w:val="TableBlock"/>
              <w:rPr>
                <w:sz w:val="26"/>
              </w:rPr>
            </w:pPr>
            <w:r w:rsidRPr="0035752C">
              <w:rPr>
                <w:sz w:val="26"/>
                <w:rtl/>
              </w:rPr>
              <w:t>(א)</w:t>
            </w:r>
            <w:r w:rsidRPr="0035752C">
              <w:rPr>
                <w:sz w:val="26"/>
                <w:rtl/>
              </w:rPr>
              <w:tab/>
              <w:t>לבית הדין לעבודה תהא סמכות ייחודית לדון בהליך אזרחי לפי סעיפים 5, 6 ו-8(א) שעניינו אחד מאלה:</w:t>
            </w:r>
          </w:p>
        </w:tc>
      </w:tr>
      <w:tr w:rsidRPr="0035752C" w:rsidR="00B64640" w:rsidTr="006D6595" w14:paraId="40CC2096" w14:textId="77777777">
        <w:trPr>
          <w:cantSplit/>
        </w:trPr>
        <w:tc>
          <w:tcPr>
            <w:tcW w:w="1871" w:type="dxa"/>
          </w:tcPr>
          <w:p w:rsidRPr="0035752C" w:rsidR="00B64640" w:rsidP="006D6595" w:rsidRDefault="00B64640" w14:paraId="1DFB0F2B" w14:textId="77777777">
            <w:pPr>
              <w:pStyle w:val="TableSideHeading"/>
              <w:rPr>
                <w:sz w:val="26"/>
              </w:rPr>
            </w:pPr>
          </w:p>
        </w:tc>
        <w:tc>
          <w:tcPr>
            <w:tcW w:w="624" w:type="dxa"/>
          </w:tcPr>
          <w:p w:rsidRPr="0035752C" w:rsidR="00B64640" w:rsidP="006D6595" w:rsidRDefault="00B64640" w14:paraId="4381A596" w14:textId="77777777">
            <w:pPr>
              <w:pStyle w:val="TableText"/>
              <w:rPr>
                <w:sz w:val="26"/>
              </w:rPr>
            </w:pPr>
          </w:p>
        </w:tc>
        <w:tc>
          <w:tcPr>
            <w:tcW w:w="624" w:type="dxa"/>
          </w:tcPr>
          <w:p w:rsidRPr="0035752C" w:rsidR="00B64640" w:rsidP="006D6595" w:rsidRDefault="00B64640" w14:paraId="5FBA3179" w14:textId="77777777">
            <w:pPr>
              <w:pStyle w:val="TableText"/>
              <w:rPr>
                <w:sz w:val="26"/>
              </w:rPr>
            </w:pPr>
          </w:p>
        </w:tc>
        <w:tc>
          <w:tcPr>
            <w:tcW w:w="6519" w:type="dxa"/>
          </w:tcPr>
          <w:p w:rsidRPr="0035752C" w:rsidR="00B64640" w:rsidP="006D6595" w:rsidRDefault="00B64640" w14:paraId="0508E1D3" w14:textId="77777777">
            <w:pPr>
              <w:pStyle w:val="TableBlock"/>
              <w:rPr>
                <w:sz w:val="26"/>
              </w:rPr>
            </w:pPr>
            <w:r w:rsidRPr="0035752C">
              <w:rPr>
                <w:sz w:val="26"/>
                <w:rtl/>
              </w:rPr>
              <w:t>(1)</w:t>
            </w:r>
            <w:r w:rsidRPr="0035752C">
              <w:rPr>
                <w:sz w:val="26"/>
                <w:rtl/>
              </w:rPr>
              <w:tab/>
              <w:t>התעמרות מעסיק, או ממונה מטעמו, בעובדו, או התעמרות עובד בעובד אחר, בעבודה;</w:t>
            </w:r>
          </w:p>
        </w:tc>
      </w:tr>
      <w:tr w:rsidRPr="0035752C" w:rsidR="00B64640" w:rsidTr="006D6595" w14:paraId="206FEB8A" w14:textId="77777777">
        <w:trPr>
          <w:cantSplit/>
        </w:trPr>
        <w:tc>
          <w:tcPr>
            <w:tcW w:w="1871" w:type="dxa"/>
          </w:tcPr>
          <w:p w:rsidRPr="0035752C" w:rsidR="00B64640" w:rsidP="006D6595" w:rsidRDefault="00B64640" w14:paraId="720AF886" w14:textId="77777777">
            <w:pPr>
              <w:pStyle w:val="TableSideHeading"/>
              <w:rPr>
                <w:sz w:val="26"/>
              </w:rPr>
            </w:pPr>
          </w:p>
        </w:tc>
        <w:tc>
          <w:tcPr>
            <w:tcW w:w="624" w:type="dxa"/>
          </w:tcPr>
          <w:p w:rsidRPr="0035752C" w:rsidR="00B64640" w:rsidP="006D6595" w:rsidRDefault="00B64640" w14:paraId="29ED2B4F" w14:textId="77777777">
            <w:pPr>
              <w:pStyle w:val="TableText"/>
              <w:rPr>
                <w:sz w:val="26"/>
              </w:rPr>
            </w:pPr>
          </w:p>
        </w:tc>
        <w:tc>
          <w:tcPr>
            <w:tcW w:w="624" w:type="dxa"/>
          </w:tcPr>
          <w:p w:rsidRPr="0035752C" w:rsidR="00B64640" w:rsidP="006D6595" w:rsidRDefault="00B64640" w14:paraId="0AA34EA5" w14:textId="77777777">
            <w:pPr>
              <w:pStyle w:val="TableText"/>
              <w:rPr>
                <w:sz w:val="26"/>
              </w:rPr>
            </w:pPr>
          </w:p>
        </w:tc>
        <w:tc>
          <w:tcPr>
            <w:tcW w:w="6519" w:type="dxa"/>
          </w:tcPr>
          <w:p w:rsidRPr="0035752C" w:rsidR="00B64640" w:rsidP="006D6595" w:rsidRDefault="00B64640" w14:paraId="360CB45C" w14:textId="77777777">
            <w:pPr>
              <w:pStyle w:val="TableBlock"/>
              <w:rPr>
                <w:sz w:val="26"/>
              </w:rPr>
            </w:pPr>
            <w:r w:rsidRPr="0035752C">
              <w:rPr>
                <w:sz w:val="26"/>
                <w:rtl/>
              </w:rPr>
              <w:t>(2)</w:t>
            </w:r>
            <w:r w:rsidRPr="0035752C">
              <w:rPr>
                <w:sz w:val="26"/>
                <w:rtl/>
              </w:rPr>
              <w:tab/>
              <w:t xml:space="preserve">אחריות מעסיק כאמור בסעיף 6 בשל התעמרות ממונה מטעם המעסיק אף אם אינו עובדו, בעובדו, התעמרות עובד בעובד אחר, התעמרות ספק או לקוח של המעסיק בעובדו, </w:t>
            </w:r>
            <w:r w:rsidRPr="0035752C">
              <w:rPr>
                <w:rFonts w:hint="cs"/>
                <w:sz w:val="26"/>
                <w:rtl/>
              </w:rPr>
              <w:t>ב</w:t>
            </w:r>
            <w:r w:rsidRPr="0035752C">
              <w:rPr>
                <w:sz w:val="26"/>
                <w:rtl/>
              </w:rPr>
              <w:t xml:space="preserve">עבודה. </w:t>
            </w:r>
          </w:p>
        </w:tc>
      </w:tr>
      <w:tr w:rsidRPr="0035752C" w:rsidR="00B64640" w:rsidTr="006D6595" w14:paraId="6C1EF655" w14:textId="77777777">
        <w:trPr>
          <w:cantSplit/>
        </w:trPr>
        <w:tc>
          <w:tcPr>
            <w:tcW w:w="1871" w:type="dxa"/>
          </w:tcPr>
          <w:p w:rsidRPr="0035752C" w:rsidR="00B64640" w:rsidP="006D6595" w:rsidRDefault="00B64640" w14:paraId="00ABD6DE" w14:textId="77777777">
            <w:pPr>
              <w:pStyle w:val="TableSideHeading"/>
              <w:rPr>
                <w:sz w:val="26"/>
              </w:rPr>
            </w:pPr>
          </w:p>
        </w:tc>
        <w:tc>
          <w:tcPr>
            <w:tcW w:w="624" w:type="dxa"/>
          </w:tcPr>
          <w:p w:rsidRPr="0035752C" w:rsidR="00B64640" w:rsidP="006D6595" w:rsidRDefault="00B64640" w14:paraId="5B5EABEF" w14:textId="77777777">
            <w:pPr>
              <w:pStyle w:val="TableText"/>
              <w:rPr>
                <w:sz w:val="26"/>
              </w:rPr>
            </w:pPr>
          </w:p>
        </w:tc>
        <w:tc>
          <w:tcPr>
            <w:tcW w:w="7143" w:type="dxa"/>
            <w:gridSpan w:val="2"/>
          </w:tcPr>
          <w:p w:rsidRPr="0035752C" w:rsidR="00B64640" w:rsidP="006D6595" w:rsidRDefault="00B64640" w14:paraId="59F6CCE3" w14:textId="77777777">
            <w:pPr>
              <w:pStyle w:val="TableBlock"/>
              <w:rPr>
                <w:sz w:val="26"/>
              </w:rPr>
            </w:pPr>
            <w:r w:rsidRPr="0035752C">
              <w:rPr>
                <w:sz w:val="26"/>
                <w:rtl/>
              </w:rPr>
              <w:t>(ב)</w:t>
            </w:r>
            <w:r w:rsidRPr="0035752C">
              <w:rPr>
                <w:sz w:val="26"/>
                <w:rtl/>
              </w:rPr>
              <w:tab/>
              <w:t>בין הדין לעבודה רשאי בהליך כאמור בסעיף קטן (א) –</w:t>
            </w:r>
          </w:p>
        </w:tc>
      </w:tr>
      <w:tr w:rsidRPr="0035752C" w:rsidR="00B64640" w:rsidTr="006D6595" w14:paraId="1945D745" w14:textId="77777777">
        <w:trPr>
          <w:cantSplit/>
        </w:trPr>
        <w:tc>
          <w:tcPr>
            <w:tcW w:w="1871" w:type="dxa"/>
          </w:tcPr>
          <w:p w:rsidRPr="0035752C" w:rsidR="00B64640" w:rsidP="006D6595" w:rsidRDefault="00B64640" w14:paraId="7ADCFADC" w14:textId="77777777">
            <w:pPr>
              <w:pStyle w:val="TableSideHeading"/>
              <w:rPr>
                <w:sz w:val="26"/>
              </w:rPr>
            </w:pPr>
          </w:p>
        </w:tc>
        <w:tc>
          <w:tcPr>
            <w:tcW w:w="624" w:type="dxa"/>
          </w:tcPr>
          <w:p w:rsidRPr="0035752C" w:rsidR="00B64640" w:rsidP="006D6595" w:rsidRDefault="00B64640" w14:paraId="0A90BDFD" w14:textId="77777777">
            <w:pPr>
              <w:pStyle w:val="TableText"/>
              <w:rPr>
                <w:sz w:val="26"/>
              </w:rPr>
            </w:pPr>
          </w:p>
        </w:tc>
        <w:tc>
          <w:tcPr>
            <w:tcW w:w="624" w:type="dxa"/>
          </w:tcPr>
          <w:p w:rsidRPr="0035752C" w:rsidR="00B64640" w:rsidP="006D6595" w:rsidRDefault="00B64640" w14:paraId="6DD55452" w14:textId="77777777">
            <w:pPr>
              <w:pStyle w:val="TableText"/>
              <w:rPr>
                <w:sz w:val="26"/>
              </w:rPr>
            </w:pPr>
          </w:p>
        </w:tc>
        <w:tc>
          <w:tcPr>
            <w:tcW w:w="6519" w:type="dxa"/>
          </w:tcPr>
          <w:p w:rsidRPr="0035752C" w:rsidR="00B64640" w:rsidP="006D6595" w:rsidRDefault="00B64640" w14:paraId="2C10BD95" w14:textId="77777777">
            <w:pPr>
              <w:pStyle w:val="TableBlock"/>
              <w:rPr>
                <w:sz w:val="26"/>
              </w:rPr>
            </w:pPr>
            <w:r w:rsidRPr="0035752C">
              <w:rPr>
                <w:sz w:val="26"/>
                <w:rtl/>
              </w:rPr>
              <w:t>(1)</w:t>
            </w:r>
            <w:r w:rsidRPr="0035752C">
              <w:rPr>
                <w:sz w:val="26"/>
                <w:rtl/>
              </w:rPr>
              <w:tab/>
              <w:t>לפסוק פיצויים אף אם לא נגרם נזק של ממון בשיעור שייראה לו בנסיבות העניין, או בהתאם להוראות סעיף 5(ב);</w:t>
            </w:r>
          </w:p>
        </w:tc>
      </w:tr>
      <w:tr w:rsidRPr="0035752C" w:rsidR="00B64640" w:rsidTr="006D6595" w14:paraId="430B2439" w14:textId="77777777">
        <w:trPr>
          <w:cantSplit/>
        </w:trPr>
        <w:tc>
          <w:tcPr>
            <w:tcW w:w="1871" w:type="dxa"/>
          </w:tcPr>
          <w:p w:rsidRPr="0035752C" w:rsidR="00B64640" w:rsidP="006D6595" w:rsidRDefault="00B64640" w14:paraId="27603940" w14:textId="77777777">
            <w:pPr>
              <w:pStyle w:val="TableSideHeading"/>
              <w:rPr>
                <w:sz w:val="26"/>
              </w:rPr>
            </w:pPr>
          </w:p>
        </w:tc>
        <w:tc>
          <w:tcPr>
            <w:tcW w:w="624" w:type="dxa"/>
          </w:tcPr>
          <w:p w:rsidRPr="0035752C" w:rsidR="00B64640" w:rsidP="006D6595" w:rsidRDefault="00B64640" w14:paraId="31811528" w14:textId="77777777">
            <w:pPr>
              <w:pStyle w:val="TableText"/>
              <w:rPr>
                <w:sz w:val="26"/>
              </w:rPr>
            </w:pPr>
          </w:p>
        </w:tc>
        <w:tc>
          <w:tcPr>
            <w:tcW w:w="624" w:type="dxa"/>
          </w:tcPr>
          <w:p w:rsidRPr="0035752C" w:rsidR="00B64640" w:rsidP="006D6595" w:rsidRDefault="00B64640" w14:paraId="40156F41" w14:textId="77777777">
            <w:pPr>
              <w:pStyle w:val="TableText"/>
              <w:rPr>
                <w:sz w:val="26"/>
              </w:rPr>
            </w:pPr>
          </w:p>
        </w:tc>
        <w:tc>
          <w:tcPr>
            <w:tcW w:w="6519" w:type="dxa"/>
          </w:tcPr>
          <w:p w:rsidRPr="0035752C" w:rsidR="00B64640" w:rsidP="006D6595" w:rsidRDefault="00B64640" w14:paraId="1159F4A5" w14:textId="77777777">
            <w:pPr>
              <w:pStyle w:val="TableBlock"/>
              <w:rPr>
                <w:sz w:val="26"/>
              </w:rPr>
            </w:pPr>
            <w:r w:rsidRPr="0035752C">
              <w:rPr>
                <w:sz w:val="26"/>
                <w:rtl/>
              </w:rPr>
              <w:t>(2)</w:t>
            </w:r>
            <w:r w:rsidRPr="0035752C">
              <w:rPr>
                <w:sz w:val="26"/>
                <w:rtl/>
              </w:rPr>
              <w:tab/>
              <w:t>ליתן צו מניעה או צו עשה; בבואו להוציא צו כאמור יביא בית הדין בחשבון, בין היתר, את השפעת הצו על יחסי העבודה במקום העבודה ואת האפשרות שעובד אחר ייפגע.</w:t>
            </w:r>
          </w:p>
        </w:tc>
      </w:tr>
      <w:tr w:rsidRPr="0035752C" w:rsidR="00B64640" w:rsidTr="006D6595" w14:paraId="3AF2BDAC" w14:textId="77777777">
        <w:trPr>
          <w:cantSplit/>
        </w:trPr>
        <w:tc>
          <w:tcPr>
            <w:tcW w:w="1871" w:type="dxa"/>
          </w:tcPr>
          <w:p w:rsidRPr="0035752C" w:rsidR="00B64640" w:rsidP="006D6595" w:rsidRDefault="00B64640" w14:paraId="1D798716" w14:textId="77777777">
            <w:pPr>
              <w:pStyle w:val="TableSideHeading"/>
              <w:rPr>
                <w:sz w:val="26"/>
              </w:rPr>
            </w:pPr>
          </w:p>
        </w:tc>
        <w:tc>
          <w:tcPr>
            <w:tcW w:w="624" w:type="dxa"/>
          </w:tcPr>
          <w:p w:rsidRPr="0035752C" w:rsidR="00B64640" w:rsidP="006D6595" w:rsidRDefault="00B64640" w14:paraId="5A400B71" w14:textId="77777777">
            <w:pPr>
              <w:pStyle w:val="TableText"/>
              <w:rPr>
                <w:sz w:val="26"/>
              </w:rPr>
            </w:pPr>
          </w:p>
        </w:tc>
        <w:tc>
          <w:tcPr>
            <w:tcW w:w="7143" w:type="dxa"/>
            <w:gridSpan w:val="2"/>
          </w:tcPr>
          <w:p w:rsidRPr="0035752C" w:rsidR="00B64640" w:rsidP="006D6595" w:rsidRDefault="00B64640" w14:paraId="6603CD95" w14:textId="77777777">
            <w:pPr>
              <w:pStyle w:val="TableBlock"/>
              <w:rPr>
                <w:sz w:val="26"/>
              </w:rPr>
            </w:pPr>
            <w:r w:rsidRPr="0035752C">
              <w:rPr>
                <w:sz w:val="26"/>
                <w:rtl/>
              </w:rPr>
              <w:t>(ג)</w:t>
            </w:r>
            <w:r w:rsidRPr="0035752C">
              <w:rPr>
                <w:sz w:val="26"/>
                <w:rtl/>
              </w:rPr>
              <w:tab/>
              <w:t xml:space="preserve">הוראות סעיף זה לא יחולו על הליך אזרחי שעניינו התעמרות במסגרת שירות. </w:t>
            </w:r>
          </w:p>
        </w:tc>
      </w:tr>
      <w:tr w:rsidRPr="0035752C" w:rsidR="00B64640" w:rsidTr="006D6595" w14:paraId="54FB4FF9" w14:textId="77777777">
        <w:trPr>
          <w:cantSplit/>
        </w:trPr>
        <w:tc>
          <w:tcPr>
            <w:tcW w:w="1871" w:type="dxa"/>
          </w:tcPr>
          <w:p w:rsidRPr="0035752C" w:rsidR="00B64640" w:rsidP="006D6595" w:rsidRDefault="00B64640" w14:paraId="0D634295" w14:textId="77777777">
            <w:pPr>
              <w:pStyle w:val="TableSideHeading"/>
              <w:rPr>
                <w:sz w:val="26"/>
              </w:rPr>
            </w:pPr>
            <w:r w:rsidRPr="0035752C">
              <w:rPr>
                <w:sz w:val="26"/>
                <w:rtl/>
              </w:rPr>
              <w:t>דין המדינה</w:t>
            </w:r>
          </w:p>
        </w:tc>
        <w:tc>
          <w:tcPr>
            <w:tcW w:w="624" w:type="dxa"/>
          </w:tcPr>
          <w:p w:rsidRPr="0035752C" w:rsidR="00B64640" w:rsidP="006D6595" w:rsidRDefault="00B64640" w14:paraId="33FE1277" w14:textId="77777777">
            <w:pPr>
              <w:pStyle w:val="TableText"/>
              <w:rPr>
                <w:sz w:val="26"/>
              </w:rPr>
            </w:pPr>
            <w:r w:rsidRPr="0035752C">
              <w:rPr>
                <w:sz w:val="26"/>
                <w:rtl/>
              </w:rPr>
              <w:t>11.</w:t>
            </w:r>
          </w:p>
        </w:tc>
        <w:tc>
          <w:tcPr>
            <w:tcW w:w="7143" w:type="dxa"/>
            <w:gridSpan w:val="2"/>
          </w:tcPr>
          <w:p w:rsidRPr="0035752C" w:rsidR="00B64640" w:rsidP="006D6595" w:rsidRDefault="00B64640" w14:paraId="35172BE2" w14:textId="77777777">
            <w:pPr>
              <w:pStyle w:val="TableBlock"/>
              <w:rPr>
                <w:sz w:val="26"/>
              </w:rPr>
            </w:pPr>
            <w:r w:rsidRPr="0035752C">
              <w:rPr>
                <w:sz w:val="26"/>
                <w:rtl/>
              </w:rPr>
              <w:t xml:space="preserve">חוק זה חל על המדינה. </w:t>
            </w:r>
          </w:p>
        </w:tc>
      </w:tr>
      <w:tr w:rsidRPr="0035752C" w:rsidR="00B64640" w:rsidTr="006D6595" w14:paraId="27B30323" w14:textId="77777777">
        <w:trPr>
          <w:cantSplit/>
        </w:trPr>
        <w:tc>
          <w:tcPr>
            <w:tcW w:w="1871" w:type="dxa"/>
          </w:tcPr>
          <w:p w:rsidRPr="0035752C" w:rsidR="00B64640" w:rsidP="006D6595" w:rsidRDefault="00B64640" w14:paraId="4837D940" w14:textId="77777777">
            <w:pPr>
              <w:pStyle w:val="TableSideHeading"/>
              <w:rPr>
                <w:sz w:val="26"/>
              </w:rPr>
            </w:pPr>
            <w:r w:rsidRPr="0035752C">
              <w:rPr>
                <w:sz w:val="26"/>
                <w:rtl/>
              </w:rPr>
              <w:lastRenderedPageBreak/>
              <w:t>שמירת דינים</w:t>
            </w:r>
          </w:p>
        </w:tc>
        <w:tc>
          <w:tcPr>
            <w:tcW w:w="624" w:type="dxa"/>
          </w:tcPr>
          <w:p w:rsidRPr="0035752C" w:rsidR="00B64640" w:rsidP="006D6595" w:rsidRDefault="00B64640" w14:paraId="21964544" w14:textId="77777777">
            <w:pPr>
              <w:pStyle w:val="TableText"/>
              <w:rPr>
                <w:sz w:val="26"/>
              </w:rPr>
            </w:pPr>
            <w:r w:rsidRPr="0035752C">
              <w:rPr>
                <w:sz w:val="26"/>
                <w:rtl/>
              </w:rPr>
              <w:t>12.</w:t>
            </w:r>
          </w:p>
        </w:tc>
        <w:tc>
          <w:tcPr>
            <w:tcW w:w="7143" w:type="dxa"/>
            <w:gridSpan w:val="2"/>
          </w:tcPr>
          <w:p w:rsidRPr="0035752C" w:rsidR="00B64640" w:rsidP="006D6595" w:rsidRDefault="00B64640" w14:paraId="1CEC1374" w14:textId="77777777">
            <w:pPr>
              <w:pStyle w:val="TableBlock"/>
              <w:rPr>
                <w:sz w:val="26"/>
              </w:rPr>
            </w:pPr>
            <w:r w:rsidRPr="0035752C">
              <w:rPr>
                <w:sz w:val="26"/>
                <w:rtl/>
              </w:rPr>
              <w:t>אין בהוראת חוק זה כדי לגרוע מהוראות כל דין.</w:t>
            </w:r>
          </w:p>
        </w:tc>
      </w:tr>
      <w:tr w:rsidRPr="0035752C" w:rsidR="00B64640" w:rsidTr="006D6595" w14:paraId="00814ECC" w14:textId="77777777">
        <w:trPr>
          <w:cantSplit/>
        </w:trPr>
        <w:tc>
          <w:tcPr>
            <w:tcW w:w="1871" w:type="dxa"/>
          </w:tcPr>
          <w:p w:rsidRPr="0035752C" w:rsidR="00B64640" w:rsidP="006D6595" w:rsidRDefault="00B64640" w14:paraId="198C1FD2" w14:textId="77777777">
            <w:pPr>
              <w:pStyle w:val="TableSideHeading"/>
              <w:rPr>
                <w:sz w:val="26"/>
              </w:rPr>
            </w:pPr>
            <w:r w:rsidRPr="0035752C">
              <w:rPr>
                <w:sz w:val="26"/>
                <w:rtl/>
              </w:rPr>
              <w:t>ביצוע, תקנות ותקנות ראשונות</w:t>
            </w:r>
          </w:p>
        </w:tc>
        <w:tc>
          <w:tcPr>
            <w:tcW w:w="624" w:type="dxa"/>
          </w:tcPr>
          <w:p w:rsidRPr="0035752C" w:rsidR="00B64640" w:rsidP="006D6595" w:rsidRDefault="00B64640" w14:paraId="2FAD876B" w14:textId="77777777">
            <w:pPr>
              <w:pStyle w:val="TableText"/>
              <w:rPr>
                <w:sz w:val="26"/>
              </w:rPr>
            </w:pPr>
            <w:r w:rsidRPr="0035752C">
              <w:rPr>
                <w:sz w:val="26"/>
                <w:rtl/>
              </w:rPr>
              <w:t>13.</w:t>
            </w:r>
          </w:p>
        </w:tc>
        <w:tc>
          <w:tcPr>
            <w:tcW w:w="7143" w:type="dxa"/>
            <w:gridSpan w:val="2"/>
          </w:tcPr>
          <w:p w:rsidRPr="0035752C" w:rsidR="00B64640" w:rsidP="006D6595" w:rsidRDefault="00B64640" w14:paraId="2F30DC54" w14:textId="77777777">
            <w:pPr>
              <w:pStyle w:val="TableBlock"/>
              <w:rPr>
                <w:sz w:val="26"/>
              </w:rPr>
            </w:pPr>
            <w:r w:rsidRPr="0035752C">
              <w:rPr>
                <w:sz w:val="26"/>
                <w:rtl/>
              </w:rPr>
              <w:t>(א)</w:t>
            </w:r>
            <w:r w:rsidRPr="0035752C">
              <w:rPr>
                <w:sz w:val="26"/>
                <w:rtl/>
              </w:rPr>
              <w:tab/>
              <w:t xml:space="preserve">השר ממונה על ביצוע חוק זה והוא רשאי, באישור ועדת העבודה, </w:t>
            </w:r>
            <w:r w:rsidRPr="0035752C">
              <w:rPr>
                <w:rFonts w:hint="cs"/>
                <w:sz w:val="26"/>
                <w:rtl/>
              </w:rPr>
              <w:t>ו</w:t>
            </w:r>
            <w:r w:rsidRPr="0035752C">
              <w:rPr>
                <w:sz w:val="26"/>
                <w:rtl/>
              </w:rPr>
              <w:t xml:space="preserve">הרווחה של הכנסת, להתקין תקנות בכל עניין הנוגע לביצועו. </w:t>
            </w:r>
          </w:p>
        </w:tc>
      </w:tr>
      <w:tr w:rsidRPr="0035752C" w:rsidR="00B64640" w:rsidTr="006D6595" w14:paraId="28FBB85D" w14:textId="77777777">
        <w:trPr>
          <w:cantSplit/>
        </w:trPr>
        <w:tc>
          <w:tcPr>
            <w:tcW w:w="1871" w:type="dxa"/>
          </w:tcPr>
          <w:p w:rsidRPr="0035752C" w:rsidR="00B64640" w:rsidP="006D6595" w:rsidRDefault="00B64640" w14:paraId="7BB89823" w14:textId="77777777">
            <w:pPr>
              <w:pStyle w:val="TableSideHeading"/>
              <w:rPr>
                <w:sz w:val="26"/>
              </w:rPr>
            </w:pPr>
          </w:p>
        </w:tc>
        <w:tc>
          <w:tcPr>
            <w:tcW w:w="624" w:type="dxa"/>
          </w:tcPr>
          <w:p w:rsidRPr="0035752C" w:rsidR="00B64640" w:rsidP="006D6595" w:rsidRDefault="00B64640" w14:paraId="73B1611D" w14:textId="77777777">
            <w:pPr>
              <w:pStyle w:val="TableText"/>
              <w:rPr>
                <w:sz w:val="26"/>
              </w:rPr>
            </w:pPr>
          </w:p>
        </w:tc>
        <w:tc>
          <w:tcPr>
            <w:tcW w:w="7143" w:type="dxa"/>
            <w:gridSpan w:val="2"/>
          </w:tcPr>
          <w:p w:rsidRPr="0035752C" w:rsidR="00B64640" w:rsidP="006D6595" w:rsidRDefault="00B64640" w14:paraId="76E77836" w14:textId="77777777">
            <w:pPr>
              <w:pStyle w:val="TableBlock"/>
              <w:rPr>
                <w:sz w:val="26"/>
              </w:rPr>
            </w:pPr>
            <w:r w:rsidRPr="0035752C">
              <w:rPr>
                <w:sz w:val="26"/>
                <w:rtl/>
              </w:rPr>
              <w:t>(ב)</w:t>
            </w:r>
            <w:r w:rsidRPr="0035752C">
              <w:rPr>
                <w:sz w:val="26"/>
                <w:rtl/>
              </w:rPr>
              <w:tab/>
              <w:t xml:space="preserve">תקנות לפי סעיף 6(ד) יוגשו לוועדת העבודה </w:t>
            </w:r>
            <w:r w:rsidRPr="0035752C">
              <w:rPr>
                <w:rFonts w:hint="cs"/>
                <w:sz w:val="26"/>
                <w:rtl/>
              </w:rPr>
              <w:t>ו</w:t>
            </w:r>
            <w:r w:rsidRPr="0035752C">
              <w:rPr>
                <w:sz w:val="26"/>
                <w:rtl/>
              </w:rPr>
              <w:t>הרווחה של הכנסת,  בתוך חמישה חודשים מיום תחילתו של חוק זה.</w:t>
            </w:r>
          </w:p>
        </w:tc>
      </w:tr>
      <w:tr w:rsidRPr="0035752C" w:rsidR="00B64640" w:rsidTr="006D6595" w14:paraId="63B88F69" w14:textId="77777777">
        <w:trPr>
          <w:cantSplit/>
        </w:trPr>
        <w:tc>
          <w:tcPr>
            <w:tcW w:w="1871" w:type="dxa"/>
          </w:tcPr>
          <w:p w:rsidRPr="0035752C" w:rsidR="00B64640" w:rsidP="006D6595" w:rsidRDefault="00B64640" w14:paraId="5BDC8E4B" w14:textId="77777777">
            <w:pPr>
              <w:pStyle w:val="TableSideHeading"/>
              <w:rPr>
                <w:sz w:val="26"/>
              </w:rPr>
            </w:pPr>
            <w:r w:rsidRPr="0035752C">
              <w:rPr>
                <w:sz w:val="26"/>
                <w:rtl/>
              </w:rPr>
              <w:t>תיקון חוק בית הדין לעבודה</w:t>
            </w:r>
          </w:p>
        </w:tc>
        <w:tc>
          <w:tcPr>
            <w:tcW w:w="624" w:type="dxa"/>
          </w:tcPr>
          <w:p w:rsidRPr="0035752C" w:rsidR="00B64640" w:rsidP="006D6595" w:rsidRDefault="00B64640" w14:paraId="374BAA2A" w14:textId="77777777">
            <w:pPr>
              <w:pStyle w:val="TableText"/>
              <w:rPr>
                <w:sz w:val="26"/>
              </w:rPr>
            </w:pPr>
            <w:r w:rsidRPr="0035752C">
              <w:rPr>
                <w:sz w:val="26"/>
                <w:rtl/>
              </w:rPr>
              <w:t>14.</w:t>
            </w:r>
          </w:p>
        </w:tc>
        <w:tc>
          <w:tcPr>
            <w:tcW w:w="7143" w:type="dxa"/>
            <w:gridSpan w:val="2"/>
          </w:tcPr>
          <w:p w:rsidRPr="0035752C" w:rsidR="00B64640" w:rsidP="00937BA5" w:rsidRDefault="00B64640" w14:paraId="6CCBDBB5" w14:textId="59833FF6">
            <w:pPr>
              <w:pStyle w:val="TableBlock"/>
              <w:rPr>
                <w:sz w:val="26"/>
                <w:rtl/>
              </w:rPr>
            </w:pPr>
            <w:r w:rsidRPr="0035752C">
              <w:rPr>
                <w:sz w:val="26"/>
                <w:rtl/>
              </w:rPr>
              <w:t>בחוק בית הדין לעבודה, התשכ"ט–1969</w:t>
            </w:r>
            <w:r w:rsidRPr="0035752C">
              <w:rPr>
                <w:rFonts w:ascii="David" w:hAnsi="David"/>
                <w:sz w:val="26"/>
                <w:vertAlign w:val="superscript"/>
                <w:rtl/>
              </w:rPr>
              <w:footnoteReference w:id="9"/>
            </w:r>
            <w:r w:rsidRPr="0035752C">
              <w:rPr>
                <w:sz w:val="26"/>
                <w:rtl/>
              </w:rPr>
              <w:t>, בתוספת השנייה, בסופה יבוא "סעיף 7 לחוק למניעת התעמרות בעבודה, התש</w:t>
            </w:r>
            <w:r w:rsidRPr="0035752C">
              <w:rPr>
                <w:rFonts w:hint="cs"/>
                <w:sz w:val="26"/>
                <w:rtl/>
              </w:rPr>
              <w:t>פ"</w:t>
            </w:r>
            <w:r w:rsidR="00937BA5">
              <w:rPr>
                <w:rFonts w:hint="cs"/>
                <w:sz w:val="26"/>
                <w:rtl/>
              </w:rPr>
              <w:t>ג</w:t>
            </w:r>
            <w:r w:rsidRPr="0035752C">
              <w:rPr>
                <w:rFonts w:hint="cs"/>
                <w:sz w:val="26"/>
                <w:rtl/>
              </w:rPr>
              <w:t>–2022</w:t>
            </w:r>
            <w:r w:rsidRPr="0035752C">
              <w:rPr>
                <w:sz w:val="26"/>
                <w:rtl/>
              </w:rPr>
              <w:t xml:space="preserve">". </w:t>
            </w:r>
          </w:p>
        </w:tc>
      </w:tr>
      <w:tr w:rsidRPr="0035752C" w:rsidR="00B64640" w:rsidTr="006D6595" w14:paraId="49B629DA" w14:textId="77777777">
        <w:trPr>
          <w:cantSplit/>
        </w:trPr>
        <w:tc>
          <w:tcPr>
            <w:tcW w:w="1871" w:type="dxa"/>
          </w:tcPr>
          <w:p w:rsidRPr="0035752C" w:rsidR="00B64640" w:rsidP="006D6595" w:rsidRDefault="00B64640" w14:paraId="3A629546" w14:textId="77777777">
            <w:pPr>
              <w:pStyle w:val="TableSideHeading"/>
              <w:rPr>
                <w:sz w:val="26"/>
              </w:rPr>
            </w:pPr>
            <w:r w:rsidRPr="0035752C">
              <w:rPr>
                <w:sz w:val="26"/>
                <w:rtl/>
              </w:rPr>
              <w:t>תיקון חוק שוויון ההזדמנויות בעבודה</w:t>
            </w:r>
          </w:p>
        </w:tc>
        <w:tc>
          <w:tcPr>
            <w:tcW w:w="624" w:type="dxa"/>
          </w:tcPr>
          <w:p w:rsidRPr="0035752C" w:rsidR="00B64640" w:rsidP="006D6595" w:rsidRDefault="00B64640" w14:paraId="73056802" w14:textId="77777777">
            <w:pPr>
              <w:pStyle w:val="TableText"/>
              <w:rPr>
                <w:sz w:val="26"/>
              </w:rPr>
            </w:pPr>
            <w:r w:rsidRPr="0035752C">
              <w:rPr>
                <w:sz w:val="26"/>
                <w:rtl/>
              </w:rPr>
              <w:t>15.</w:t>
            </w:r>
          </w:p>
        </w:tc>
        <w:tc>
          <w:tcPr>
            <w:tcW w:w="7143" w:type="dxa"/>
            <w:gridSpan w:val="2"/>
          </w:tcPr>
          <w:p w:rsidRPr="0035752C" w:rsidR="00B64640" w:rsidP="00937BA5" w:rsidRDefault="00B64640" w14:paraId="3173FCCE" w14:textId="2F07D9B7">
            <w:pPr>
              <w:pStyle w:val="TableBlock"/>
              <w:rPr>
                <w:sz w:val="26"/>
                <w:rtl/>
              </w:rPr>
            </w:pPr>
            <w:r w:rsidRPr="0035752C">
              <w:rPr>
                <w:sz w:val="26"/>
                <w:rtl/>
              </w:rPr>
              <w:t>בחוק שוויון ההזדמנויות בעבודה, התשמ"ח–1988</w:t>
            </w:r>
            <w:r w:rsidRPr="0035752C">
              <w:rPr>
                <w:rFonts w:ascii="David" w:hAnsi="David"/>
                <w:sz w:val="26"/>
                <w:vertAlign w:val="superscript"/>
                <w:rtl/>
              </w:rPr>
              <w:footnoteReference w:id="10"/>
            </w:r>
            <w:r w:rsidRPr="0035752C">
              <w:rPr>
                <w:sz w:val="26"/>
                <w:rtl/>
              </w:rPr>
              <w:t>, בסעיף 18(ה), אחרי "הטרדה מינית" יבוא "והוראות סעיף 7 לחוק למניעת התעמרות בעבודה, התש</w:t>
            </w:r>
            <w:r w:rsidRPr="0035752C">
              <w:rPr>
                <w:rFonts w:hint="cs"/>
                <w:sz w:val="26"/>
                <w:rtl/>
              </w:rPr>
              <w:t>פ"</w:t>
            </w:r>
            <w:r w:rsidR="00937BA5">
              <w:rPr>
                <w:rFonts w:hint="cs"/>
                <w:sz w:val="26"/>
                <w:rtl/>
              </w:rPr>
              <w:t>ג</w:t>
            </w:r>
            <w:r w:rsidRPr="0035752C">
              <w:rPr>
                <w:rFonts w:hint="cs"/>
                <w:sz w:val="26"/>
                <w:rtl/>
              </w:rPr>
              <w:t>–202</w:t>
            </w:r>
            <w:r w:rsidR="00937BA5">
              <w:rPr>
                <w:rFonts w:hint="cs"/>
                <w:sz w:val="26"/>
                <w:rtl/>
              </w:rPr>
              <w:t>2</w:t>
            </w:r>
            <w:r w:rsidRPr="0035752C">
              <w:rPr>
                <w:sz w:val="26"/>
                <w:rtl/>
              </w:rPr>
              <w:t>".</w:t>
            </w:r>
          </w:p>
        </w:tc>
      </w:tr>
      <w:tr w:rsidRPr="0035752C" w:rsidR="00B64640" w:rsidTr="006D6595" w14:paraId="02F9ACB6" w14:textId="77777777">
        <w:trPr>
          <w:cantSplit/>
        </w:trPr>
        <w:tc>
          <w:tcPr>
            <w:tcW w:w="1871" w:type="dxa"/>
          </w:tcPr>
          <w:p w:rsidRPr="0035752C" w:rsidR="00B64640" w:rsidP="006D6595" w:rsidRDefault="00B64640" w14:paraId="6C7060D1" w14:textId="77777777">
            <w:pPr>
              <w:pStyle w:val="TableSideHeading"/>
              <w:rPr>
                <w:sz w:val="26"/>
              </w:rPr>
            </w:pPr>
            <w:r w:rsidRPr="0035752C">
              <w:rPr>
                <w:sz w:val="26"/>
                <w:rtl/>
              </w:rPr>
              <w:t>תחילה</w:t>
            </w:r>
          </w:p>
        </w:tc>
        <w:tc>
          <w:tcPr>
            <w:tcW w:w="624" w:type="dxa"/>
          </w:tcPr>
          <w:p w:rsidRPr="0035752C" w:rsidR="00B64640" w:rsidP="006D6595" w:rsidRDefault="00B64640" w14:paraId="2E3F1CDA" w14:textId="77777777">
            <w:pPr>
              <w:pStyle w:val="TableText"/>
              <w:rPr>
                <w:sz w:val="26"/>
              </w:rPr>
            </w:pPr>
            <w:r w:rsidRPr="0035752C">
              <w:rPr>
                <w:sz w:val="26"/>
                <w:rtl/>
              </w:rPr>
              <w:t>16.</w:t>
            </w:r>
          </w:p>
        </w:tc>
        <w:tc>
          <w:tcPr>
            <w:tcW w:w="7143" w:type="dxa"/>
            <w:gridSpan w:val="2"/>
          </w:tcPr>
          <w:p w:rsidRPr="0035752C" w:rsidR="00B64640" w:rsidP="006D6595" w:rsidRDefault="00B64640" w14:paraId="46429277" w14:textId="77777777">
            <w:pPr>
              <w:pStyle w:val="TableBlock"/>
              <w:rPr>
                <w:sz w:val="26"/>
                <w:rtl/>
              </w:rPr>
            </w:pPr>
            <w:r w:rsidRPr="0035752C">
              <w:rPr>
                <w:sz w:val="26"/>
                <w:rtl/>
              </w:rPr>
              <w:t xml:space="preserve">תחילתו של חוק זה שישה חודשים מיום פרסומו. </w:t>
            </w:r>
          </w:p>
        </w:tc>
      </w:tr>
    </w:tbl>
    <w:p w:rsidRPr="00B64640" w:rsidR="00E13C27" w:rsidP="0021633A" w:rsidRDefault="00E13C27" w14:paraId="7F6961AE" w14:textId="77777777">
      <w:pPr>
        <w:pStyle w:val="HeadDivreiHesber"/>
        <w:spacing w:before="0" w:after="0"/>
        <w:rPr>
          <w:rtl/>
        </w:rPr>
      </w:pPr>
    </w:p>
    <w:p w:rsidR="002D1EE3" w:rsidP="002D1EE3" w:rsidRDefault="002D1EE3" w14:paraId="7F6961CA" w14:textId="77777777">
      <w:pPr>
        <w:pStyle w:val="HeadDivreiHesber"/>
        <w:rPr>
          <w:rtl/>
        </w:rPr>
      </w:pPr>
      <w:r w:rsidRPr="0027450A">
        <w:rPr>
          <w:rFonts w:hint="cs"/>
          <w:rtl/>
        </w:rPr>
        <w:t>דברי הסבר</w:t>
      </w:r>
    </w:p>
    <w:p w:rsidRPr="0035752C" w:rsidR="00B64640" w:rsidP="00B64640" w:rsidRDefault="00B64640" w14:paraId="26F19FB5" w14:textId="77777777">
      <w:pPr>
        <w:pStyle w:val="Hesber"/>
      </w:pPr>
      <w:r w:rsidRPr="0035752C">
        <w:rPr>
          <w:rtl/>
        </w:rPr>
        <w:t>במדינת ישראל, כמו במדינות אחרות בעולם, התעמרות בעבודה היא תופעה חברתית נפוצה הפוגעת בעובדים רבים.</w:t>
      </w:r>
    </w:p>
    <w:p w:rsidRPr="0035752C" w:rsidR="00B64640" w:rsidP="00B64640" w:rsidRDefault="00B64640" w14:paraId="1E88A91D" w14:textId="77777777">
      <w:pPr>
        <w:pStyle w:val="Hesber"/>
        <w:rPr>
          <w:rtl/>
        </w:rPr>
      </w:pPr>
      <w:r w:rsidRPr="0035752C">
        <w:rPr>
          <w:rtl/>
        </w:rPr>
        <w:t xml:space="preserve">התעמרות בעבודה היא התנהגות פוגענית המופנית כלפי אדם באופן חוזר ונשנה, לא במסגרת אירוע "חריג" וחד-פעמי אלא במספר אירועים נפרדים, ויוצרת עבור האדם סביבה עוינת בעבודה. המתעמר יכול להיות, בין השאר, ממונה בעבודה או עמית לעבודה או לקוח או ספק. התעמרות בעבודה יכולה לקרות בכל ארגון, לכל אדם. </w:t>
      </w:r>
    </w:p>
    <w:p w:rsidRPr="0035752C" w:rsidR="00B64640" w:rsidP="00B64640" w:rsidRDefault="00B64640" w14:paraId="7BCC8683" w14:textId="77777777">
      <w:pPr>
        <w:pStyle w:val="Hesber"/>
        <w:rPr>
          <w:rtl/>
        </w:rPr>
      </w:pPr>
      <w:r w:rsidRPr="0035752C">
        <w:rPr>
          <w:rtl/>
        </w:rPr>
        <w:t xml:space="preserve">התעמרות בעבודה פוגעת בכבוד האדם, בחירותו, ברווחתו, ביכולתו לבצע את עבודתו ובתפקודו המקצועי. ישנם מקרים בהם התעמרות פוגעת אף בבריאותו הגופנית או הנפשית של אדם. </w:t>
      </w:r>
    </w:p>
    <w:p w:rsidRPr="0035752C" w:rsidR="00B64640" w:rsidP="00B64640" w:rsidRDefault="00B64640" w14:paraId="70514CA4" w14:textId="77777777">
      <w:pPr>
        <w:pStyle w:val="Hesber"/>
        <w:rPr>
          <w:rtl/>
        </w:rPr>
      </w:pPr>
      <w:r w:rsidRPr="0035752C">
        <w:rPr>
          <w:rtl/>
        </w:rPr>
        <w:t xml:space="preserve">ביטוייה המעשיים של התעמרות בעבודה הם רבים ומגוונים. היא יכולה לבוא לידי ביטוי בצעקות, בקללות, בהאשמות שווא, בהפצת שמועות מזיקות, בגרימת נידויו של אדם או החרמתו, במתן משימות משפילות, בפגיעה בדימויו, </w:t>
      </w:r>
      <w:r w:rsidRPr="0035752C">
        <w:rPr>
          <w:rFonts w:hint="cs"/>
          <w:rtl/>
        </w:rPr>
        <w:t xml:space="preserve">בהתעלמות, </w:t>
      </w:r>
      <w:r w:rsidRPr="0035752C">
        <w:rPr>
          <w:rtl/>
        </w:rPr>
        <w:t xml:space="preserve">בפגיעה ביכולתו לבצע את תפקידו או בפגיעה בסיכוייו להצליח או להתקדם בעבודה וכיוצ"ב. </w:t>
      </w:r>
    </w:p>
    <w:p w:rsidRPr="0035752C" w:rsidR="00B64640" w:rsidP="00B64640" w:rsidRDefault="00B64640" w14:paraId="79F635EC" w14:textId="77777777">
      <w:pPr>
        <w:pStyle w:val="Hesber"/>
        <w:rPr>
          <w:rtl/>
        </w:rPr>
      </w:pPr>
      <w:r w:rsidRPr="0035752C">
        <w:rPr>
          <w:rtl/>
        </w:rPr>
        <w:t xml:space="preserve">מחקרים מלמדים </w:t>
      </w:r>
      <w:r w:rsidRPr="0035752C">
        <w:rPr>
          <w:rFonts w:hint="eastAsia"/>
          <w:rtl/>
        </w:rPr>
        <w:t>ש</w:t>
      </w:r>
      <w:r w:rsidRPr="0035752C">
        <w:rPr>
          <w:rtl/>
        </w:rPr>
        <w:t xml:space="preserve">התעמרות בעבודה </w:t>
      </w:r>
      <w:r w:rsidRPr="0035752C">
        <w:rPr>
          <w:rFonts w:hint="eastAsia"/>
          <w:rtl/>
        </w:rPr>
        <w:t>מזיקה</w:t>
      </w:r>
      <w:r w:rsidRPr="0035752C">
        <w:rPr>
          <w:rtl/>
        </w:rPr>
        <w:t xml:space="preserve"> </w:t>
      </w:r>
      <w:r w:rsidRPr="0035752C">
        <w:rPr>
          <w:rFonts w:hint="eastAsia"/>
          <w:rtl/>
        </w:rPr>
        <w:t>לא</w:t>
      </w:r>
      <w:r w:rsidRPr="0035752C">
        <w:rPr>
          <w:rtl/>
        </w:rPr>
        <w:t xml:space="preserve"> </w:t>
      </w:r>
      <w:r w:rsidRPr="0035752C">
        <w:rPr>
          <w:rFonts w:hint="eastAsia"/>
          <w:rtl/>
        </w:rPr>
        <w:t>רק</w:t>
      </w:r>
      <w:r w:rsidRPr="0035752C">
        <w:rPr>
          <w:rtl/>
        </w:rPr>
        <w:t xml:space="preserve"> </w:t>
      </w:r>
      <w:r w:rsidRPr="0035752C">
        <w:rPr>
          <w:rFonts w:hint="eastAsia"/>
          <w:rtl/>
        </w:rPr>
        <w:t>ל</w:t>
      </w:r>
      <w:r w:rsidRPr="0035752C">
        <w:rPr>
          <w:rtl/>
        </w:rPr>
        <w:t xml:space="preserve">מושא ההתעמרות, אלא גם </w:t>
      </w:r>
      <w:r w:rsidRPr="0035752C">
        <w:rPr>
          <w:rFonts w:hint="eastAsia"/>
          <w:rtl/>
        </w:rPr>
        <w:t>ל</w:t>
      </w:r>
      <w:r w:rsidRPr="0035752C">
        <w:rPr>
          <w:rtl/>
        </w:rPr>
        <w:t>מי שנכחו בסיטואציה של התעמרות בעבודה</w:t>
      </w:r>
      <w:r w:rsidRPr="0035752C">
        <w:rPr>
          <w:rFonts w:hint="cs"/>
          <w:rtl/>
        </w:rPr>
        <w:t xml:space="preserve">, וגם הם </w:t>
      </w:r>
      <w:r w:rsidRPr="0035752C">
        <w:rPr>
          <w:rtl/>
        </w:rPr>
        <w:t xml:space="preserve"> עשויים להגיב באופן דומה לצד הנפגע. בנוסף, התעמרות בעבודה </w:t>
      </w:r>
      <w:r w:rsidRPr="0035752C">
        <w:rPr>
          <w:rFonts w:hint="cs"/>
          <w:rtl/>
        </w:rPr>
        <w:t>גורמת נזק גם</w:t>
      </w:r>
      <w:r w:rsidRPr="0035752C">
        <w:rPr>
          <w:rtl/>
        </w:rPr>
        <w:t xml:space="preserve"> למעסיק, </w:t>
      </w:r>
      <w:r w:rsidRPr="0035752C">
        <w:rPr>
          <w:rFonts w:hint="cs"/>
          <w:rtl/>
        </w:rPr>
        <w:t>זאת בשל</w:t>
      </w:r>
      <w:r w:rsidRPr="0035752C">
        <w:rPr>
          <w:rtl/>
        </w:rPr>
        <w:t xml:space="preserve"> ימי היעדרויות</w:t>
      </w:r>
      <w:r w:rsidRPr="0035752C">
        <w:rPr>
          <w:rFonts w:hint="cs"/>
          <w:rtl/>
        </w:rPr>
        <w:t xml:space="preserve"> רבים</w:t>
      </w:r>
      <w:r w:rsidRPr="0035752C">
        <w:rPr>
          <w:rtl/>
        </w:rPr>
        <w:t xml:space="preserve"> של עובדים (ימי מחלה</w:t>
      </w:r>
      <w:r w:rsidRPr="0035752C">
        <w:rPr>
          <w:rFonts w:hint="cs"/>
          <w:rtl/>
        </w:rPr>
        <w:t xml:space="preserve"> תאונות </w:t>
      </w:r>
      <w:r w:rsidRPr="0035752C">
        <w:rPr>
          <w:rtl/>
        </w:rPr>
        <w:t xml:space="preserve"> וכיו"ב). נזק עקיף למעסיק עלול להיגרם בשל פגיעה ב</w:t>
      </w:r>
      <w:r w:rsidRPr="0035752C">
        <w:rPr>
          <w:rFonts w:hint="cs"/>
          <w:rtl/>
        </w:rPr>
        <w:t xml:space="preserve">רמת המוטיבציה והמחוברות </w:t>
      </w:r>
      <w:r w:rsidRPr="0035752C">
        <w:rPr>
          <w:rtl/>
        </w:rPr>
        <w:t xml:space="preserve"> של העובדים</w:t>
      </w:r>
      <w:r w:rsidRPr="0035752C">
        <w:rPr>
          <w:rFonts w:hint="cs"/>
          <w:rtl/>
        </w:rPr>
        <w:t>, פגיעה באווירת עבודה בריאה, פוריה ונקייה מהתנכלויות ויצירת תרבות ארגונית קלוקלת</w:t>
      </w:r>
      <w:r w:rsidRPr="0035752C">
        <w:rPr>
          <w:rtl/>
        </w:rPr>
        <w:t xml:space="preserve">, דבר המשליך על </w:t>
      </w:r>
      <w:r w:rsidRPr="0035752C">
        <w:rPr>
          <w:rFonts w:hint="cs"/>
          <w:rtl/>
        </w:rPr>
        <w:t xml:space="preserve">פעילות הארגון ועל </w:t>
      </w:r>
      <w:r w:rsidRPr="0035752C">
        <w:rPr>
          <w:rtl/>
        </w:rPr>
        <w:t>איכות השירות הניתן לצדדים שלישיים</w:t>
      </w:r>
      <w:r w:rsidRPr="0035752C">
        <w:rPr>
          <w:rFonts w:hint="cs"/>
          <w:rtl/>
        </w:rPr>
        <w:t>.</w:t>
      </w:r>
    </w:p>
    <w:p w:rsidRPr="0035752C" w:rsidR="00B64640" w:rsidP="00B64640" w:rsidRDefault="00B64640" w14:paraId="757F92CC" w14:textId="77777777">
      <w:pPr>
        <w:pStyle w:val="Hesber"/>
        <w:rPr>
          <w:rtl/>
        </w:rPr>
      </w:pPr>
      <w:r w:rsidRPr="0035752C">
        <w:rPr>
          <w:rtl/>
        </w:rPr>
        <w:t xml:space="preserve">בשנים האחרונות מתרחבת תנועה חובקת עולם הנאבקת בתופעת ההתעמרות במקום העבודה </w:t>
      </w:r>
      <w:r w:rsidRPr="0035752C">
        <w:rPr>
          <w:rtl/>
        </w:rPr>
        <w:lastRenderedPageBreak/>
        <w:t>(</w:t>
      </w:r>
      <w:r w:rsidRPr="0035752C">
        <w:t>workplace bullying</w:t>
      </w:r>
      <w:r w:rsidRPr="0035752C">
        <w:rPr>
          <w:rtl/>
        </w:rPr>
        <w:t xml:space="preserve"> או </w:t>
      </w:r>
      <w:r w:rsidRPr="0035752C">
        <w:t>workplace mobbing</w:t>
      </w:r>
      <w:r w:rsidRPr="0035752C">
        <w:rPr>
          <w:rtl/>
        </w:rPr>
        <w:t xml:space="preserve">), גם </w:t>
      </w:r>
      <w:r w:rsidRPr="0035752C">
        <w:rPr>
          <w:rFonts w:hint="cs"/>
          <w:rtl/>
        </w:rPr>
        <w:t>ב</w:t>
      </w:r>
      <w:r w:rsidRPr="0035752C">
        <w:rPr>
          <w:rtl/>
        </w:rPr>
        <w:t xml:space="preserve">זירה המשפטית. חוקים אשר נועדו להתמודד עם התופעה נחקקו במדינות רבות, ובמדינות אחרות מתקיימת מערכה נמרצת לקידומה של חקיקה דומה.  </w:t>
      </w:r>
    </w:p>
    <w:p w:rsidRPr="0035752C" w:rsidR="00B64640" w:rsidP="00B64640" w:rsidRDefault="00B64640" w14:paraId="3A2F83E3" w14:textId="77777777">
      <w:pPr>
        <w:pStyle w:val="Hesber"/>
        <w:rPr>
          <w:rtl/>
        </w:rPr>
      </w:pPr>
      <w:r w:rsidRPr="0035752C">
        <w:rPr>
          <w:rtl/>
        </w:rPr>
        <w:t xml:space="preserve">בתי הדין לעבודה ובתי המשפט בישראל מתמודדים עם מקרים של התעמרות בעבודה המגיעים לפתחם באמצעות חקיקה ספציפית ככל שהיא רלבנטית למקרה הנדון </w:t>
      </w:r>
      <w:r w:rsidRPr="0035752C">
        <w:rPr>
          <w:rFonts w:hint="cs"/>
          <w:rtl/>
        </w:rPr>
        <w:t xml:space="preserve">- </w:t>
      </w:r>
      <w:r w:rsidRPr="0035752C">
        <w:rPr>
          <w:rtl/>
        </w:rPr>
        <w:t>התנכלות בחוק למניעת הטרדה מינית, תשנ"ח–1998; התנכלות בחוק שוויון ההזדמנויות בעבודה, התשמ"ח–1988; חוק איסור לשון הרע, התשכ"ה-1965), באמצעות הכרה בהתפטרות עקב נסיבות התעמרות בעבודה כהתפטרות המזכה בפיצויי פיטורים (סעיף 11(א) לחוק פיצויי פיטורים, התשכ"ג–1963</w:t>
      </w:r>
      <w:r w:rsidRPr="0035752C">
        <w:rPr>
          <w:rFonts w:hint="cs"/>
          <w:rtl/>
        </w:rPr>
        <w:t>) -</w:t>
      </w:r>
      <w:r w:rsidRPr="0035752C">
        <w:rPr>
          <w:rtl/>
        </w:rPr>
        <w:t xml:space="preserve"> ובאמצעות השתת פיצויים על המתעמר בגין ע</w:t>
      </w:r>
      <w:r w:rsidRPr="0035752C">
        <w:rPr>
          <w:rFonts w:hint="cs"/>
          <w:rtl/>
        </w:rPr>
        <w:t>ו</w:t>
      </w:r>
      <w:r w:rsidRPr="0035752C">
        <w:rPr>
          <w:rtl/>
        </w:rPr>
        <w:t>גמת נפש. בתי הדין למשמעת של עובדי המדינה מתמודדים</w:t>
      </w:r>
      <w:r w:rsidRPr="0035752C">
        <w:rPr>
          <w:rFonts w:hint="cs"/>
          <w:rtl/>
        </w:rPr>
        <w:t xml:space="preserve"> אף הם</w:t>
      </w:r>
      <w:r w:rsidRPr="0035752C">
        <w:rPr>
          <w:rtl/>
        </w:rPr>
        <w:t xml:space="preserve"> עם מקרים של התעמרות בקרב עובדי מדינה כעבירת משמעת לפי סעיף 17 לחוק שירות המדינה (משמעת), התשכ"ג-1963 (פגיעה במשמעת שירות המדינה, אי קיום המוטל על עובד מדינה, התנהגות לא הולמת, התנהגות בלתי הוגנת). </w:t>
      </w:r>
      <w:r w:rsidRPr="0035752C">
        <w:rPr>
          <w:rFonts w:hint="cs"/>
          <w:rtl/>
        </w:rPr>
        <w:t>מקורות אלה אינם מיועדים למקרי התעמרות בעבודה</w:t>
      </w:r>
      <w:r w:rsidRPr="0035752C">
        <w:rPr>
          <w:rtl/>
        </w:rPr>
        <w:t>, הם אינם מקיפים, בהירים ויעילים דיים למיגור ולטיפול בתופעה הרחבה של התעמרות בעבודה</w:t>
      </w:r>
      <w:r w:rsidRPr="0035752C">
        <w:rPr>
          <w:rFonts w:hint="cs"/>
          <w:rtl/>
        </w:rPr>
        <w:t xml:space="preserve"> ולמיגורה</w:t>
      </w:r>
      <w:r w:rsidRPr="0035752C">
        <w:rPr>
          <w:rtl/>
        </w:rPr>
        <w:t xml:space="preserve">. החוק המוצע נועד לענות על צורך זה. </w:t>
      </w:r>
    </w:p>
    <w:p w:rsidRPr="0035752C" w:rsidR="00B64640" w:rsidP="00B64640" w:rsidRDefault="00B64640" w14:paraId="4BE364F8" w14:textId="77777777">
      <w:pPr>
        <w:pStyle w:val="Hesber"/>
        <w:rPr>
          <w:rtl/>
        </w:rPr>
      </w:pPr>
      <w:r w:rsidRPr="0035752C">
        <w:rPr>
          <w:rtl/>
        </w:rPr>
        <w:t xml:space="preserve">החוק המוצע נועד להגביר את המודעות הציבורית לחומרת התופעה, תוך חינוך המשתתפים במסגרת  העבודה והמעסיק בכללם, לשמור על סביבת עבודה נטולת התנהגויות פוגעניות. </w:t>
      </w:r>
    </w:p>
    <w:p w:rsidRPr="0035752C" w:rsidR="00B64640" w:rsidP="00B64640" w:rsidRDefault="00B64640" w14:paraId="6DA55F33" w14:textId="77777777">
      <w:pPr>
        <w:pStyle w:val="Hesber"/>
        <w:rPr>
          <w:rtl/>
        </w:rPr>
      </w:pPr>
      <w:r w:rsidRPr="0035752C">
        <w:rPr>
          <w:rtl/>
        </w:rPr>
        <w:t xml:space="preserve">סעיף 1 להצעת החוק קובע שהתעמרות בעבודה פוגעת בערכי היסוד: כבוד האדם, חירותו וחופש העיסוק, שנקבעו בחוקי היסוד של מדינת ישראל, כמו גם ברווחתו של אדם </w:t>
      </w:r>
      <w:r w:rsidRPr="0035752C">
        <w:rPr>
          <w:rFonts w:hint="cs"/>
          <w:rtl/>
        </w:rPr>
        <w:t>ב</w:t>
      </w:r>
      <w:r w:rsidRPr="0035752C">
        <w:rPr>
          <w:rtl/>
        </w:rPr>
        <w:t xml:space="preserve">עבודה. </w:t>
      </w:r>
    </w:p>
    <w:p w:rsidRPr="0035752C" w:rsidR="00B64640" w:rsidP="00B64640" w:rsidRDefault="00B64640" w14:paraId="7C4210F3" w14:textId="77777777">
      <w:pPr>
        <w:pStyle w:val="Hesber"/>
        <w:rPr>
          <w:rtl/>
        </w:rPr>
      </w:pPr>
      <w:r w:rsidRPr="0035752C">
        <w:rPr>
          <w:rtl/>
        </w:rPr>
        <w:t xml:space="preserve">סעיף 3 המוצע קובע הגדרה כללית של התעמרות בעבודה, תוך מתן דוגמאות להתנהגויות העשויות להיחשב כהתעמרות כאמור, כנלמד ממקרים רבים. </w:t>
      </w:r>
      <w:r w:rsidRPr="0035752C">
        <w:rPr>
          <w:rFonts w:hint="cs"/>
          <w:rtl/>
        </w:rPr>
        <w:t>המקרים המפורטים אינם בגדר רשימה סגורה.</w:t>
      </w:r>
    </w:p>
    <w:p w:rsidRPr="0035752C" w:rsidR="00B64640" w:rsidP="00B64640" w:rsidRDefault="00B64640" w14:paraId="0D912A00" w14:textId="77777777">
      <w:pPr>
        <w:pStyle w:val="Hesber"/>
        <w:rPr>
          <w:rtl/>
        </w:rPr>
      </w:pPr>
      <w:r w:rsidRPr="0035752C">
        <w:rPr>
          <w:rtl/>
        </w:rPr>
        <w:t xml:space="preserve">הגדרת התעמרות בעבודה כוללת גם מבחן אובייקטיבי. זאת, כדי שלא ללכוד ברשת החוק מקרים בהם אולי נגרמה לאדם פגיעה רגשית אך בחינה אובייקטיבית של המקרה מובילה למסקנה הסבירה שאין מקום להתערבות המשפט. </w:t>
      </w:r>
    </w:p>
    <w:p w:rsidRPr="0035752C" w:rsidR="00B64640" w:rsidP="00B64640" w:rsidRDefault="00B64640" w14:paraId="1504EEE3" w14:textId="77777777">
      <w:pPr>
        <w:pStyle w:val="Hesber"/>
        <w:rPr>
          <w:rtl/>
        </w:rPr>
      </w:pPr>
      <w:r w:rsidRPr="0035752C">
        <w:rPr>
          <w:rtl/>
        </w:rPr>
        <w:t>בסעיף 4  מעוגן האיסור הכללי על התעמרות בעבודה. האיסור חל על כל אדם כלפי כל אדם בעבודה. נוסח הסעיף מחיל את האיסור גם על צדדים שלישיים כמו ספק או לקוח.</w:t>
      </w:r>
    </w:p>
    <w:p w:rsidRPr="0035752C" w:rsidR="00B64640" w:rsidP="00B64640" w:rsidRDefault="00B64640" w14:paraId="794D265F" w14:textId="77777777">
      <w:pPr>
        <w:pStyle w:val="Hesber"/>
        <w:rPr>
          <w:rtl/>
        </w:rPr>
      </w:pPr>
      <w:r w:rsidRPr="0035752C">
        <w:rPr>
          <w:rtl/>
        </w:rPr>
        <w:t xml:space="preserve">סעיף 5 המוצע קובע כי התעמרות בעבודה היא עוולה נזיקית. עוד קובע הסעיף שאדם זכאי להיפרע בגין התעמרות בעבודה גם ללא הוכחת נזק, עד לתקרה של 120,000 שקלים חדשים, בדומה לקבוע בחוק למניעת הטרדה מינית, התשנ"ח-1998. הזכות לפיצוי ללא הוכחת נזק נחוצה למי שסבלו מפגיעה בכבודם, בחירותם, בחופש העיסוק או ברווחתם, אך אינם יכולים להוכיח נזק מוחשי דוגמת פיטורים, הפסד כלכלי, או הוצאות על טיפול רפואי. הנזקים לאדם טבועים בעצם ההתנהגות המתעמרת כלפיו, לכן הוכחת ההתנהגות המתעמרת </w:t>
      </w:r>
      <w:r w:rsidRPr="0035752C">
        <w:rPr>
          <w:rFonts w:hint="cs"/>
          <w:rtl/>
        </w:rPr>
        <w:t xml:space="preserve">כוללת </w:t>
      </w:r>
      <w:r w:rsidRPr="0035752C">
        <w:rPr>
          <w:rtl/>
        </w:rPr>
        <w:t>גם הוכחת הנזק. יובהר כי ככל שהתובע בגין התעמרות בעבודה מוכיח בפני בית המשפט את נזקו עקב ההתעמרות, בית המשפט אינו מוגבל לפסיקת פיצויים של 120,000 שקלים חדשים.</w:t>
      </w:r>
    </w:p>
    <w:p w:rsidRPr="0035752C" w:rsidR="00B64640" w:rsidP="00B64640" w:rsidRDefault="00B64640" w14:paraId="1FC5F549" w14:textId="77777777">
      <w:pPr>
        <w:pStyle w:val="Hesber"/>
        <w:rPr>
          <w:rtl/>
        </w:rPr>
      </w:pPr>
      <w:r w:rsidRPr="0035752C">
        <w:rPr>
          <w:rtl/>
        </w:rPr>
        <w:t xml:space="preserve">הצעת החוק מגדירה את ההתעמרות בעבודה כעוולה נזיקית ולא כעבירה פלילית, מתוך מחשבה </w:t>
      </w:r>
      <w:r w:rsidRPr="0035752C">
        <w:rPr>
          <w:rFonts w:hint="cs"/>
          <w:rtl/>
        </w:rPr>
        <w:t xml:space="preserve">שזהו צעד ראשון שנועד להסב את תשומת לבם של </w:t>
      </w:r>
      <w:r w:rsidRPr="0035752C">
        <w:rPr>
          <w:rtl/>
        </w:rPr>
        <w:t>כל השותפים בעולם העבודה להוראות החוק ולרוחו</w:t>
      </w:r>
      <w:r w:rsidRPr="0035752C">
        <w:rPr>
          <w:rFonts w:hint="cs"/>
          <w:rtl/>
        </w:rPr>
        <w:t>, תוך  נקיטת צעדים מתחום</w:t>
      </w:r>
      <w:r w:rsidRPr="0035752C">
        <w:rPr>
          <w:rtl/>
        </w:rPr>
        <w:t xml:space="preserve"> המשפט האזרחי. ייתכן שלאחר מספר שנות </w:t>
      </w:r>
      <w:r w:rsidRPr="0035752C">
        <w:rPr>
          <w:rFonts w:hint="cs"/>
          <w:rtl/>
        </w:rPr>
        <w:t>א</w:t>
      </w:r>
      <w:r w:rsidRPr="0035752C">
        <w:rPr>
          <w:rtl/>
        </w:rPr>
        <w:t xml:space="preserve">כשרה יהיה נכון להוסיף איסור פלילי. </w:t>
      </w:r>
    </w:p>
    <w:p w:rsidRPr="0035752C" w:rsidR="00B64640" w:rsidP="00B64640" w:rsidRDefault="00B64640" w14:paraId="085FC538" w14:textId="77777777">
      <w:pPr>
        <w:pStyle w:val="Hesber"/>
        <w:rPr>
          <w:rtl/>
        </w:rPr>
      </w:pPr>
      <w:r w:rsidRPr="0035752C">
        <w:rPr>
          <w:rtl/>
        </w:rPr>
        <w:t xml:space="preserve">סעיף 6 המוצע קובע </w:t>
      </w:r>
      <w:r w:rsidRPr="0035752C">
        <w:rPr>
          <w:rFonts w:hint="cs"/>
          <w:rtl/>
        </w:rPr>
        <w:t>כי על</w:t>
      </w:r>
      <w:r w:rsidRPr="0035752C">
        <w:rPr>
          <w:rtl/>
        </w:rPr>
        <w:t xml:space="preserve"> המעסיק </w:t>
      </w:r>
      <w:r w:rsidRPr="0035752C">
        <w:rPr>
          <w:rFonts w:hint="cs"/>
          <w:rtl/>
        </w:rPr>
        <w:t xml:space="preserve">מוטלת חובה </w:t>
      </w:r>
      <w:r w:rsidRPr="0035752C">
        <w:rPr>
          <w:rtl/>
        </w:rPr>
        <w:t xml:space="preserve">לעשות כל שביכולתו </w:t>
      </w:r>
      <w:r w:rsidRPr="0035752C">
        <w:rPr>
          <w:rFonts w:hint="cs"/>
          <w:rtl/>
        </w:rPr>
        <w:t>כדי</w:t>
      </w:r>
      <w:r w:rsidRPr="0035752C">
        <w:rPr>
          <w:rtl/>
        </w:rPr>
        <w:t xml:space="preserve"> לשמור על סביבת העבודה "נקייה מהתעמרות". יחד עם זאת, חובתו של המעסיק משתנה בהתאם למי שנטען כלפיו כי הוא מתעמר </w:t>
      </w:r>
      <w:r w:rsidRPr="0035752C">
        <w:rPr>
          <w:rtl/>
        </w:rPr>
        <w:lastRenderedPageBreak/>
        <w:t xml:space="preserve">במקום העבודה: כשהמתעמר הוא עובדו של המעסיק או אדם מטעמו אף אם אינו עובדו, חובת המעסיק לטפל במקרה כאמור קמה מיד עם היוודע המקרה למעסיק, ללא צורך בהגשת תלונה; כשהמתעמר הוא ספק או לקוח, חובת המעסיק לטפל במקרה קמה רק כשההתעמרות הובאה לידיעתו באמצעות תלונה. </w:t>
      </w:r>
    </w:p>
    <w:p w:rsidRPr="0035752C" w:rsidR="00B64640" w:rsidP="00B64640" w:rsidRDefault="00B64640" w14:paraId="5D1DA4B2" w14:textId="77777777">
      <w:pPr>
        <w:pStyle w:val="Hesber"/>
        <w:rPr>
          <w:rtl/>
        </w:rPr>
      </w:pPr>
      <w:r w:rsidRPr="0035752C">
        <w:rPr>
          <w:rtl/>
        </w:rPr>
        <w:t>על מעסיק של יותר מ-</w:t>
      </w:r>
      <w:r w:rsidRPr="0035752C">
        <w:rPr>
          <w:rFonts w:hint="cs"/>
          <w:rtl/>
        </w:rPr>
        <w:t>18</w:t>
      </w:r>
      <w:r w:rsidRPr="0035752C">
        <w:rPr>
          <w:rtl/>
        </w:rPr>
        <w:t xml:space="preserve"> עובדים לפרסם תקנון בין עובדיו.</w:t>
      </w:r>
    </w:p>
    <w:p w:rsidRPr="0035752C" w:rsidR="00B64640" w:rsidP="00B64640" w:rsidRDefault="00B64640" w14:paraId="55443913" w14:textId="77777777">
      <w:pPr>
        <w:pStyle w:val="Hesber"/>
        <w:rPr>
          <w:rtl/>
        </w:rPr>
      </w:pPr>
      <w:r w:rsidRPr="0035752C">
        <w:rPr>
          <w:rtl/>
        </w:rPr>
        <w:t>מעסיק שלא יפעל על פי הוראות החוק המוצע בעניין זה יישא באחריות נזיקית להתעמרות בעבודה, לפי סעיף 5. בנוסף, אי פרסום תקנון מהווה עבירה פלילית (סעיף 7).</w:t>
      </w:r>
    </w:p>
    <w:p w:rsidRPr="0035752C" w:rsidR="00B64640" w:rsidP="00B64640" w:rsidRDefault="00B64640" w14:paraId="354E63C5" w14:textId="77777777">
      <w:pPr>
        <w:pStyle w:val="Hesber"/>
        <w:rPr>
          <w:rtl/>
        </w:rPr>
      </w:pPr>
      <w:r w:rsidRPr="0035752C">
        <w:rPr>
          <w:rtl/>
        </w:rPr>
        <w:t xml:space="preserve">בסעיף 8 מוצע להחיל את הוראות החוק גם על </w:t>
      </w:r>
      <w:r w:rsidRPr="0035752C">
        <w:rPr>
          <w:rFonts w:hint="cs"/>
          <w:rtl/>
        </w:rPr>
        <w:t>המשרתים</w:t>
      </w:r>
      <w:r w:rsidRPr="0035752C">
        <w:rPr>
          <w:rtl/>
        </w:rPr>
        <w:t xml:space="preserve"> בכוחות הביטחון, בשירות לאומי או בהתנדבות קהילתית ובשירות לאומי-אזרחי</w:t>
      </w:r>
      <w:r w:rsidRPr="0035752C">
        <w:rPr>
          <w:rFonts w:hint="cs"/>
          <w:rtl/>
        </w:rPr>
        <w:t>,</w:t>
      </w:r>
      <w:r w:rsidRPr="0035752C">
        <w:rPr>
          <w:rtl/>
        </w:rPr>
        <w:t xml:space="preserve"> ובהתאמה להחיל את חובות המעסיק על מפעיל השירות, שהוא כוחות הביטחון או גוף מפעיל, וההוראות החלות על מסגרת עבודה יחולו בהתאמה על מסגרת השירות. </w:t>
      </w:r>
    </w:p>
    <w:p w:rsidRPr="0035752C" w:rsidR="00B64640" w:rsidP="00B64640" w:rsidRDefault="00B64640" w14:paraId="1B565C8D" w14:textId="77777777">
      <w:pPr>
        <w:pStyle w:val="Hesber"/>
        <w:rPr>
          <w:rtl/>
        </w:rPr>
      </w:pPr>
      <w:r w:rsidRPr="0035752C">
        <w:rPr>
          <w:rtl/>
        </w:rPr>
        <w:t xml:space="preserve">סעיף 9 המוצע קובע שתקום זכות תביעה לעובד או לארגון עובדים יציג או לארגון עובדים שהעובד חבר בו, בהסכמת העובד, בדומה לדיני עבודה דומים הקובעים הוראות מעין אלה </w:t>
      </w:r>
      <w:r w:rsidRPr="0035752C">
        <w:rPr>
          <w:rFonts w:hint="cs"/>
          <w:rtl/>
        </w:rPr>
        <w:t>כגון</w:t>
      </w:r>
      <w:r w:rsidRPr="0035752C">
        <w:rPr>
          <w:rtl/>
        </w:rPr>
        <w:t xml:space="preserve"> חוק שכר שווה לעובד ולעובדת, הזכות לעבודה בישיבה, חוק שוויון ההזדמנויות בעבודה ועוד. כמו כן תהיה זכות תביעה לארגון העוסק בזכויות של מי שלטובתו נקבע איסור ההתעמרות – בתנאי שהסכים לכך.</w:t>
      </w:r>
    </w:p>
    <w:p w:rsidRPr="0035752C" w:rsidR="00B64640" w:rsidP="00B64640" w:rsidRDefault="00B64640" w14:paraId="5B295AD9" w14:textId="77777777">
      <w:pPr>
        <w:pStyle w:val="Hesber"/>
        <w:rPr>
          <w:rtl/>
        </w:rPr>
      </w:pPr>
      <w:r w:rsidRPr="0035752C">
        <w:rPr>
          <w:rtl/>
        </w:rPr>
        <w:t xml:space="preserve"> סעיף 10 המוצע קובע כי לבית הדין לעבודה תהיה סמכות ייחודית לדון בתביעה אזרחית לפי חוק זה כאשר המדובר בעבודה, אך לא במסגרת שירות. </w:t>
      </w:r>
    </w:p>
    <w:p w:rsidRPr="0035752C" w:rsidR="00B64640" w:rsidP="00B64640" w:rsidRDefault="00B64640" w14:paraId="5C8F1790" w14:textId="77777777">
      <w:pPr>
        <w:pStyle w:val="Hesber"/>
        <w:rPr>
          <w:rtl/>
        </w:rPr>
      </w:pPr>
      <w:r w:rsidRPr="0035752C">
        <w:rPr>
          <w:rtl/>
        </w:rPr>
        <w:t xml:space="preserve">סעיפים 11 עד 13 המוצעים קובעים את תחולת החוק על המדינה, שמירת דינים וסמכות לקביעת תקנות על ידי </w:t>
      </w:r>
      <w:r w:rsidRPr="0035752C">
        <w:rPr>
          <w:rFonts w:hint="cs"/>
          <w:rtl/>
        </w:rPr>
        <w:t>ה</w:t>
      </w:r>
      <w:r w:rsidRPr="0035752C">
        <w:rPr>
          <w:rtl/>
        </w:rPr>
        <w:t xml:space="preserve">שר </w:t>
      </w:r>
      <w:r w:rsidRPr="0035752C">
        <w:rPr>
          <w:rFonts w:hint="cs"/>
          <w:rtl/>
        </w:rPr>
        <w:t>האחראי על זרוע העבודה</w:t>
      </w:r>
      <w:r w:rsidRPr="0035752C">
        <w:rPr>
          <w:rtl/>
        </w:rPr>
        <w:t xml:space="preserve"> וכן חובה לקבוע תקנות ראשונות בעניין תקנון, בתוך 5 חודשים מתחילתו של החוק.</w:t>
      </w:r>
    </w:p>
    <w:p w:rsidRPr="0035752C" w:rsidR="00B64640" w:rsidP="00B64640" w:rsidRDefault="00B64640" w14:paraId="7887DC41" w14:textId="77777777">
      <w:pPr>
        <w:pStyle w:val="Hesber"/>
        <w:rPr>
          <w:rtl/>
        </w:rPr>
      </w:pPr>
      <w:r w:rsidRPr="0035752C">
        <w:rPr>
          <w:rtl/>
        </w:rPr>
        <w:t>סעיף 15 המוצע מטיל על מפקח שהוסמך לפי חוק שוויון ההזדמנויות בעבודה גם את הפיקוח על הוראת סעיף 7 להצעת חוק זו.</w:t>
      </w:r>
    </w:p>
    <w:p w:rsidRPr="0035752C" w:rsidR="00B64640" w:rsidP="00B64640" w:rsidRDefault="00B64640" w14:paraId="0F19ADDD" w14:textId="77777777">
      <w:pPr>
        <w:pStyle w:val="Hesber"/>
        <w:rPr>
          <w:rtl/>
        </w:rPr>
      </w:pPr>
      <w:r w:rsidRPr="0035752C">
        <w:rPr>
          <w:rtl/>
        </w:rPr>
        <w:t xml:space="preserve">הצעות חוק </w:t>
      </w:r>
      <w:r w:rsidRPr="0035752C">
        <w:rPr>
          <w:rFonts w:hint="cs"/>
          <w:rtl/>
        </w:rPr>
        <w:t>דומות בעיקרן</w:t>
      </w:r>
      <w:r w:rsidRPr="0035752C">
        <w:rPr>
          <w:rtl/>
        </w:rPr>
        <w:t xml:space="preserve"> הונחו על שולחן הכנסת העשרים ועל שולחן הכנסת העשרים ושתיים על ידי חברת הכנסת מרב מיכאלי וקבוצת חברי הכנסת (פ/971/20; פ/1352/22)</w:t>
      </w:r>
      <w:r w:rsidRPr="0035752C">
        <w:rPr>
          <w:rFonts w:hint="cs"/>
          <w:rtl/>
        </w:rPr>
        <w:t xml:space="preserve">, </w:t>
      </w:r>
      <w:r w:rsidRPr="0035752C">
        <w:rPr>
          <w:rtl/>
        </w:rPr>
        <w:t>על שולחן הכנסת העשרים ושלוש</w:t>
      </w:r>
      <w:r w:rsidRPr="0035752C">
        <w:rPr>
          <w:rFonts w:hint="cs"/>
          <w:rtl/>
        </w:rPr>
        <w:t xml:space="preserve"> </w:t>
      </w:r>
      <w:r w:rsidRPr="0035752C">
        <w:rPr>
          <w:rtl/>
        </w:rPr>
        <w:t>על ידי חברת הכנסת מרב מיכאלי (פ/450/23</w:t>
      </w:r>
      <w:r w:rsidRPr="0035752C">
        <w:rPr>
          <w:rFonts w:hint="cs"/>
          <w:rtl/>
        </w:rPr>
        <w:t>) ועל שולחן הכנסת העשרים וארבע על ידי חברת הכנסת מרב מיכאלי (פ/1312/24; הוסרה מסדר היום ביום י"ד בתמוז התשפ"א (24 ביוני 2021)</w:t>
      </w:r>
      <w:r w:rsidRPr="0035752C">
        <w:rPr>
          <w:rtl/>
        </w:rPr>
        <w:t>)</w:t>
      </w:r>
      <w:r w:rsidRPr="0035752C">
        <w:rPr>
          <w:rFonts w:hint="cs"/>
          <w:rtl/>
        </w:rPr>
        <w:t xml:space="preserve">, על ידי חברת הכנסת נעמה לזימי (פ/2233/24) ועל ידי חברי הכנסת אפרת רייטן מרום ורם שפע (פ/2417/24). </w:t>
      </w:r>
    </w:p>
    <w:p w:rsidR="00B64640" w:rsidP="00B64640" w:rsidRDefault="00B64640" w14:paraId="672FC1B0" w14:textId="77777777">
      <w:pPr>
        <w:pStyle w:val="Hesber"/>
        <w:rPr>
          <w:rtl/>
        </w:rPr>
      </w:pPr>
      <w:r w:rsidRPr="0035752C">
        <w:rPr>
          <w:rFonts w:hint="cs"/>
          <w:rtl/>
        </w:rPr>
        <w:t xml:space="preserve">הצעת חוק זהה הונחה על שולחן הכנסת העשרים וארבע על ידי חברת הכנסת נעמה לזימי </w:t>
      </w:r>
      <w:r>
        <w:rPr>
          <w:rFonts w:hint="cs"/>
          <w:rtl/>
        </w:rPr>
        <w:t xml:space="preserve">וקבוצת חברי כנסת </w:t>
      </w:r>
      <w:r w:rsidRPr="0035752C">
        <w:rPr>
          <w:rFonts w:hint="cs"/>
          <w:rtl/>
        </w:rPr>
        <w:t>(</w:t>
      </w:r>
      <w:r w:rsidRPr="00002184">
        <w:rPr>
          <w:rtl/>
        </w:rPr>
        <w:t>פ/3200/24</w:t>
      </w:r>
      <w:r w:rsidRPr="0035752C">
        <w:rPr>
          <w:rFonts w:hint="cs"/>
          <w:rtl/>
        </w:rPr>
        <w:t>).</w:t>
      </w:r>
    </w:p>
    <w:p w:rsidR="00937BA5" w:rsidP="00B64640" w:rsidRDefault="00937BA5" w14:paraId="5B3811CD" w14:textId="359F05B1">
      <w:pPr>
        <w:pStyle w:val="Hesber"/>
        <w:rPr>
          <w:rtl/>
        </w:rPr>
      </w:pPr>
      <w:r>
        <w:rPr>
          <w:rFonts w:hint="cs"/>
          <w:rtl/>
        </w:rPr>
        <w:t>הצעת החוק זהה לפ/3200/24 ולפיכך לא נבדקה מחדש על ידי הלשכה המשפטית של הכנסת.</w:t>
      </w:r>
    </w:p>
    <w:p w:rsidR="004C3BBC" w:rsidP="00B64640" w:rsidRDefault="004C3BBC" w14:paraId="30AA1771" w14:textId="75FF2F67">
      <w:pPr>
        <w:pStyle w:val="Hesber"/>
        <w:rPr>
          <w:rtl/>
        </w:rPr>
      </w:pPr>
    </w:p>
    <w:p w:rsidRPr="0035752C" w:rsidR="004C3BBC" w:rsidP="00B64640" w:rsidRDefault="004C3BBC" w14:paraId="59CA8A69" w14:textId="77777777">
      <w:pPr>
        <w:pStyle w:val="Hesber"/>
        <w:rPr>
          <w:rtl/>
        </w:rPr>
      </w:pPr>
      <w:bookmarkStart w:name="_GoBack" w:id="8"/>
      <w:bookmarkEnd w:id="8"/>
    </w:p>
    <w:p w:rsidR="00E13C27" w:rsidP="00E13C27" w:rsidRDefault="00E13C27" w14:paraId="7F6961CB" w14:textId="77777777">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כ"ה בכסלו התשפ"ג</w:t>
          <w:t xml:space="preserve"> (19.12.2022) </w:t>
        </w:r>
      </w:p>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5BDF2AC9"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C3BBC">
      <w:rPr>
        <w:rStyle w:val="ab"/>
        <w:noProof/>
        <w:rtl/>
      </w:rPr>
      <w:t>7</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3F636E8D" w14:textId="77777777" w:rsidR="00B64640" w:rsidRDefault="00B64640" w:rsidP="00B64640">
      <w:pPr>
        <w:pStyle w:val="a4"/>
      </w:pPr>
      <w:r>
        <w:rPr>
          <w:rStyle w:val="a6"/>
        </w:rPr>
        <w:footnoteRef/>
      </w:r>
      <w:r>
        <w:rPr>
          <w:rtl/>
        </w:rPr>
        <w:t xml:space="preserve"> ס"ח התשי"א, עמ' 204.</w:t>
      </w:r>
    </w:p>
  </w:footnote>
  <w:footnote w:id="3">
    <w:p w14:paraId="6494E60C" w14:textId="77777777" w:rsidR="00B64640" w:rsidRDefault="00B64640" w:rsidP="00B64640">
      <w:pPr>
        <w:pStyle w:val="a4"/>
      </w:pPr>
      <w:r>
        <w:rPr>
          <w:rStyle w:val="a6"/>
        </w:rPr>
        <w:footnoteRef/>
      </w:r>
      <w:r>
        <w:rPr>
          <w:rtl/>
        </w:rPr>
        <w:t xml:space="preserve"> ס"ח התשנ"ה, עמ' 366.</w:t>
      </w:r>
    </w:p>
  </w:footnote>
  <w:footnote w:id="4">
    <w:p w14:paraId="3F4A4E80" w14:textId="77777777" w:rsidR="00B64640" w:rsidRDefault="00B64640" w:rsidP="00B64640">
      <w:pPr>
        <w:pStyle w:val="a4"/>
      </w:pPr>
      <w:r>
        <w:rPr>
          <w:rStyle w:val="a6"/>
        </w:rPr>
        <w:footnoteRef/>
      </w:r>
      <w:r>
        <w:rPr>
          <w:rtl/>
        </w:rPr>
        <w:t xml:space="preserve"> ס"ח התשמ"ז, עמ' 68.</w:t>
      </w:r>
    </w:p>
  </w:footnote>
  <w:footnote w:id="5">
    <w:p w14:paraId="20B24CCF" w14:textId="77777777" w:rsidR="00B64640" w:rsidRDefault="00B64640" w:rsidP="00B64640">
      <w:pPr>
        <w:pStyle w:val="a4"/>
      </w:pPr>
      <w:r>
        <w:rPr>
          <w:rStyle w:val="a6"/>
        </w:rPr>
        <w:footnoteRef/>
      </w:r>
      <w:r>
        <w:rPr>
          <w:rtl/>
        </w:rPr>
        <w:t xml:space="preserve"> ס"ח התשנ"ו, עמ' 201.</w:t>
      </w:r>
    </w:p>
  </w:footnote>
  <w:footnote w:id="6">
    <w:p w14:paraId="73395F89" w14:textId="77777777" w:rsidR="00B64640" w:rsidRDefault="00B64640" w:rsidP="00B64640">
      <w:pPr>
        <w:pStyle w:val="a4"/>
      </w:pPr>
      <w:r>
        <w:rPr>
          <w:rStyle w:val="a6"/>
        </w:rPr>
        <w:footnoteRef/>
      </w:r>
      <w:r>
        <w:rPr>
          <w:rtl/>
        </w:rPr>
        <w:t xml:space="preserve"> ס"ח התשע"ז, עמ' 632.</w:t>
      </w:r>
    </w:p>
  </w:footnote>
  <w:footnote w:id="7">
    <w:p w14:paraId="7B130FC4" w14:textId="77777777" w:rsidR="00B64640" w:rsidRDefault="00B64640" w:rsidP="00B64640">
      <w:pPr>
        <w:pStyle w:val="a4"/>
      </w:pPr>
      <w:r>
        <w:rPr>
          <w:rStyle w:val="a6"/>
        </w:rPr>
        <w:footnoteRef/>
      </w:r>
      <w:r>
        <w:rPr>
          <w:rtl/>
        </w:rPr>
        <w:t xml:space="preserve"> ס"ח התשע"ד, עמ' 380.</w:t>
      </w:r>
    </w:p>
  </w:footnote>
  <w:footnote w:id="8">
    <w:p w14:paraId="2550BBEE" w14:textId="77777777" w:rsidR="00B64640" w:rsidRDefault="00B64640" w:rsidP="00B64640">
      <w:pPr>
        <w:pStyle w:val="a4"/>
      </w:pPr>
      <w:r>
        <w:rPr>
          <w:rStyle w:val="a6"/>
        </w:rPr>
        <w:footnoteRef/>
      </w:r>
      <w:r>
        <w:rPr>
          <w:rtl/>
        </w:rPr>
        <w:t xml:space="preserve"> ס"ח התשל"ז, עמ' 226.</w:t>
      </w:r>
    </w:p>
  </w:footnote>
  <w:footnote w:id="9">
    <w:p w14:paraId="25465854" w14:textId="77777777" w:rsidR="00B64640" w:rsidRDefault="00B64640" w:rsidP="00B64640">
      <w:pPr>
        <w:pStyle w:val="a4"/>
      </w:pPr>
      <w:r>
        <w:rPr>
          <w:rStyle w:val="a6"/>
        </w:rPr>
        <w:footnoteRef/>
      </w:r>
      <w:r>
        <w:rPr>
          <w:rtl/>
        </w:rPr>
        <w:t xml:space="preserve"> ס"ח התשכ"ט, עמ' 70.</w:t>
      </w:r>
    </w:p>
  </w:footnote>
  <w:footnote w:id="10">
    <w:p w14:paraId="16B75134" w14:textId="77777777" w:rsidR="00B64640" w:rsidRDefault="00B64640" w:rsidP="00B64640">
      <w:pPr>
        <w:pStyle w:val="a4"/>
      </w:pPr>
      <w:r>
        <w:rPr>
          <w:rStyle w:val="a6"/>
        </w:rPr>
        <w:footnoteRef/>
      </w:r>
      <w:r>
        <w:rPr>
          <w:rtl/>
        </w:rPr>
        <w:t xml:space="preserve"> ס"ח התשמ"ח, עמ'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176"/>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C3BBC"/>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37BA5"/>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A3458"/>
    <w:rsid w:val="00AC36F7"/>
    <w:rsid w:val="00AC63A4"/>
    <w:rsid w:val="00AD239E"/>
    <w:rsid w:val="00B10265"/>
    <w:rsid w:val="00B16A99"/>
    <w:rsid w:val="00B21211"/>
    <w:rsid w:val="00B35784"/>
    <w:rsid w:val="00B64640"/>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2A03"/>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8C55D6EE-9FD5-4D95-9E58-4632C1BA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B64640"/>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B08B-0CA1-4702-9765-9130E6B4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0d5b49-c690-4c6f-bbb9-1e50dab33eee"/>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52FFF1CA-66FD-4B39-A9F7-C4F2BC4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2185</Words>
  <Characters>10930</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ווייס עמר</cp:lastModifiedBy>
  <cp:revision>10</cp:revision>
  <cp:lastPrinted>2013-07-04T08:25:00Z</cp:lastPrinted>
  <dcterms:created xsi:type="dcterms:W3CDTF">2015-04-20T09:58:00Z</dcterms:created>
  <dcterms:modified xsi:type="dcterms:W3CDTF">2022-12-01T11:12:00Z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2196981</vt:r8>
  </property>
</Properties>
</file>