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5A2" w:rsidR="002C2E29" w:rsidP="00E635A2" w:rsidRDefault="004033D8" w14:paraId="7F6961A1" w14:textId="77777777">
      <w:pPr>
        <w:jc w:val="right"/>
        <w:rPr>
          <w:rFonts w:cs="David"/>
          <w:b/>
          <w:bCs/>
          <w:sz w:val="20"/>
          <w:szCs w:val="20"/>
        </w:rPr>
      </w:pPr>
      <w:r w:rsidRPr="00E635A2">
        <w:rPr>
          <w:rFonts w:hint="cs" w:cs="David"/>
          <w:sz w:val="20"/>
          <w:szCs w:val="20"/>
          <w:rtl/>
        </w:rPr>
        <w:t xml:space="preserve">מספר פנימי: </w:t>
      </w:r>
      <w:bookmarkStart w:name="LGS_Internal_ID" w:id="0"/>
      <w:r>
        <w:rPr>
          <w:rFonts w:hint="cs" w:cs="David"/>
          <w:sz w:val="20"/>
          <w:szCs w:val="20"/>
          <w:rtl/>
        </w:rPr>
        <w:t>2197299</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וחמש</w:t>
      </w:r>
      <w:bookmarkEnd w:id="1"/>
    </w:p>
    <w:p w:rsidRPr="00F67051" w:rsidR="00E13C27" w:rsidP="00E13C27" w:rsidRDefault="00E13C27" w14:paraId="7F6961A3" w14:textId="77777777">
      <w:pPr>
        <w:rPr>
          <w:rFonts w:cs="David"/>
          <w:b/>
          <w:bCs/>
          <w:sz w:val="26"/>
          <w:szCs w:val="26"/>
          <w:rtl/>
        </w:rPr>
      </w:pPr>
    </w:p>
    <w:p w:rsidR="00E13C27" w:rsidP="00930EFE" w:rsidRDefault="008F6665" w14:paraId="7F6961A6" w14:textId="77777777">
      <w:pPr>
        <w:pStyle w:val="David"/>
        <w:spacing w:line="360" w:lineRule="auto"/>
        <w:ind w:left="3544"/>
        <w:rPr>
          <w:b/>
          <w:bCs/>
          <w:rtl/>
        </w:rPr>
      </w:pPr>
      <w:bookmarkStart w:name="LGS_Initiators_List" w:id="2"/>
      <w:r>
        <w:rPr>
          <w:b/>
          <w:bCs/>
          <w:rtl/>
        </w:rPr>
        <w:t>יוזם:</w:t>
      </w:r>
      <w:r>
        <w:tab/>
      </w:r>
      <w:r>
        <w:rPr>
          <w:b/>
          <w:bCs/>
          <w:rtl/>
        </w:rPr>
        <w:t xml:space="preserve">      חבר הכנסת</w:t>
      </w:r>
      <w:bookmarkEnd w:id="2"/>
      <w:r w:rsidRPr="00F67051" w:rsidR="00B35784">
        <w:rPr>
          <w:b/>
          <w:bCs/>
        </w:rPr>
        <w:tab/>
      </w:r>
      <w:bookmarkStart w:name="LGS_PM_Names" w:id="3"/>
      <w:r>
        <w:rPr>
          <w:rFonts w:hint="cs"/>
          <w:b/>
          <w:bCs/>
          <w:rtl/>
        </w:rPr>
        <w:t>ינון אזולאי</w:t>
      </w:r>
      <w:bookmarkEnd w:id="3"/>
    </w:p>
    <w:p w:rsidRPr="00CF1AA2" w:rsidR="00E13C27" w:rsidP="0036422C" w:rsidRDefault="007D585A" w14:paraId="7F6961AA" w14:textId="39F9D96B">
      <w:pPr>
        <w:pStyle w:val="David"/>
        <w:spacing w:before="0" w:line="360" w:lineRule="auto"/>
        <w:ind w:left="3544"/>
        <w:rPr>
          <w:b/>
          <w:bCs/>
          <w:sz w:val="16"/>
          <w:szCs w:val="16"/>
          <w:rtl/>
        </w:rPr>
      </w:pPr>
      <w:bookmarkStart w:name="LGS_Join_List" w:id="4"/>
      <w:r>
        <w:rPr>
          <w:rtl/>
        </w:rPr>
        <w:t xml:space="preserve"> </w:t>
      </w:r>
      <w:bookmarkEnd w:id="4"/>
      <w:r w:rsidRPr="00CF1AA2" w:rsidR="002200A1">
        <w:rPr>
          <w:rFonts w:hint="cs"/>
          <w:rtl/>
        </w:rPr>
        <w:tab/>
      </w:r>
      <w:bookmarkStart w:name="LGS_PM_NamesJoin" w:id="5"/>
      <w:r>
        <w:rPr>
          <w:rFonts w:hint="cs"/>
          <w:rtl/>
        </w:rPr>
        <w:t xml:space="preserve"> </w:t>
      </w:r>
      <w:bookmarkEnd w:id="5"/>
    </w:p>
    <w:p w:rsidRPr="00904591" w:rsidR="00904591" w:rsidP="0036422C" w:rsidRDefault="00266D86" w14:paraId="34DB4103" w14:textId="77777777">
      <w:pPr>
        <w:pStyle w:val="David"/>
        <w:spacing w:before="0" w:line="360" w:lineRule="auto"/>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904591" w:rsidRDefault="00904591" w14:paraId="7F6961AB" w14:textId="256138AA">
      <w:pPr>
        <w:pStyle w:val="David"/>
        <w:spacing w:before="0" w:line="240" w:lineRule="auto"/>
        <w:ind w:left="3544"/>
        <w:rPr>
          <w:rtl/>
        </w:rPr>
      </w:pPr>
      <w:r>
        <w:t xml:space="preserve">                                            </w:t>
      </w:r>
      <w:r w:rsidR="008F1308">
        <w:t xml:space="preserve"> </w:t>
      </w:r>
      <w:bookmarkStart w:name="Private_Number" w:id="6"/>
      <w:r>
        <w:rPr>
          <w:rFonts w:hint="cs"/>
          <w:rtl/>
        </w:rPr>
        <w:t>פ/398/25</w:t>
      </w:r>
      <w:bookmarkEnd w:id="6"/>
    </w:p>
    <w:p w:rsidR="00E13C27" w:rsidP="00E13C27" w:rsidRDefault="00E13C27" w14:paraId="7F6961AC" w14:textId="77777777">
      <w:pPr>
        <w:spacing w:before="0" w:line="360" w:lineRule="auto"/>
        <w:ind w:left="2880" w:firstLine="720"/>
        <w:rPr>
          <w:rFonts w:cs="David"/>
          <w:sz w:val="26"/>
          <w:szCs w:val="26"/>
          <w:rtl/>
        </w:rPr>
      </w:pPr>
    </w:p>
    <w:p w:rsidR="00E13C27" w:rsidP="00D07BE5" w:rsidRDefault="00A443CF" w14:paraId="7F6961AE" w14:textId="1324D896">
      <w:pPr>
        <w:pStyle w:val="HeadHatzaotHok"/>
        <w:rPr>
          <w:rtl/>
        </w:rPr>
      </w:pPr>
      <w:bookmarkStart w:name="LGS_Subject" w:id="7"/>
      <w:r xmlns:w="http://schemas.openxmlformats.org/wordprocessingml/2006/main">
        <w:rPr xmlns:w="http://schemas.openxmlformats.org/wordprocessingml/2006/main">
          <w:rFonts w:hint="cs"/>
          <w:rtl/>
        </w:rPr>
        <w:t xml:space="preserve">הצעת חוק חג המצות (איסורי חמץ) (תיקון – איסור הצגת חמץ בפסח בבתי חולים), התשפ"ג–2022</w:t>
      </w:r>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50"/>
      </w:tblGrid>
      <w:tr w:rsidRPr="00EA02F9" w:rsidR="00C060A3" w:rsidTr="00C060A3" w14:paraId="6FE3BEF5" w14:textId="77777777">
        <w:trPr>
          <w:cantSplit/>
        </w:trPr>
        <w:tc>
          <w:tcPr>
            <w:tcW w:w="1871" w:type="dxa"/>
          </w:tcPr>
          <w:p w:rsidRPr="00EA02F9" w:rsidR="00C060A3" w:rsidP="00B455EB" w:rsidRDefault="00C060A3" w14:paraId="1783CBEB" w14:textId="77777777">
            <w:pPr>
              <w:pStyle w:val="TableSideHeading"/>
              <w:keepLines w:val="0"/>
              <w:rPr>
                <w:sz w:val="26"/>
                <w:rtl/>
              </w:rPr>
            </w:pPr>
            <w:r>
              <w:rPr>
                <w:rFonts w:hint="cs"/>
                <w:sz w:val="26"/>
                <w:rtl/>
              </w:rPr>
              <w:t xml:space="preserve">הוספת סעיף 3א </w:t>
            </w:r>
          </w:p>
        </w:tc>
        <w:tc>
          <w:tcPr>
            <w:tcW w:w="624" w:type="dxa"/>
          </w:tcPr>
          <w:p w:rsidRPr="00EA02F9" w:rsidR="00C060A3" w:rsidP="00B455EB" w:rsidRDefault="00C060A3" w14:paraId="3632B503" w14:textId="77777777">
            <w:pPr>
              <w:pStyle w:val="TableText"/>
              <w:jc w:val="both"/>
              <w:rPr>
                <w:rtl/>
              </w:rPr>
            </w:pPr>
            <w:r>
              <w:rPr>
                <w:rFonts w:hint="cs"/>
                <w:rtl/>
              </w:rPr>
              <w:t xml:space="preserve">1. </w:t>
            </w:r>
          </w:p>
        </w:tc>
        <w:tc>
          <w:tcPr>
            <w:tcW w:w="7146" w:type="dxa"/>
            <w:gridSpan w:val="3"/>
          </w:tcPr>
          <w:p w:rsidRPr="00EA02F9" w:rsidR="00C060A3" w:rsidP="00D07BE5" w:rsidRDefault="00C060A3" w14:paraId="5257083C" w14:textId="4027A312">
            <w:pPr>
              <w:pStyle w:val="TableBlock"/>
              <w:rPr>
                <w:rtl/>
              </w:rPr>
            </w:pPr>
            <w:r>
              <w:rPr>
                <w:rFonts w:hint="cs"/>
                <w:rtl/>
              </w:rPr>
              <w:t>בחוק חג המצות (איסורי חמץ), התשמ"ו</w:t>
            </w:r>
            <w:r>
              <w:rPr>
                <w:rtl/>
              </w:rPr>
              <w:t>–</w:t>
            </w:r>
            <w:r>
              <w:rPr>
                <w:rFonts w:hint="cs"/>
                <w:rtl/>
              </w:rPr>
              <w:t>1986</w:t>
            </w:r>
            <w:r w:rsidRPr="00260CBB">
              <w:rPr>
                <w:rStyle w:val="a6"/>
                <w:rFonts w:ascii="David" w:hAnsi="David"/>
                <w:sz w:val="26"/>
                <w:rtl/>
              </w:rPr>
              <w:footnoteReference w:id="2"/>
            </w:r>
            <w:r w:rsidR="00D07BE5">
              <w:rPr>
                <w:rFonts w:hint="cs"/>
                <w:rtl/>
              </w:rPr>
              <w:t xml:space="preserve">, </w:t>
            </w:r>
            <w:r>
              <w:rPr>
                <w:rFonts w:hint="cs"/>
                <w:rtl/>
              </w:rPr>
              <w:t xml:space="preserve">אחרי סעיף 3 יבוא:  </w:t>
            </w:r>
          </w:p>
        </w:tc>
      </w:tr>
      <w:tr w:rsidR="00C060A3" w:rsidTr="00C060A3" w14:paraId="4B5D2503" w14:textId="77777777">
        <w:trPr>
          <w:cantSplit/>
          <w:trHeight w:val="60"/>
        </w:trPr>
        <w:tc>
          <w:tcPr>
            <w:tcW w:w="1871" w:type="dxa"/>
          </w:tcPr>
          <w:p w:rsidR="00C060A3" w:rsidP="00B455EB" w:rsidRDefault="00C060A3" w14:paraId="0F21C30E" w14:textId="77777777">
            <w:pPr>
              <w:pStyle w:val="TableSideHeading"/>
            </w:pPr>
          </w:p>
        </w:tc>
        <w:tc>
          <w:tcPr>
            <w:tcW w:w="624" w:type="dxa"/>
          </w:tcPr>
          <w:p w:rsidR="00C060A3" w:rsidP="00B455EB" w:rsidRDefault="00C060A3" w14:paraId="1D44A1EA" w14:textId="77777777">
            <w:pPr>
              <w:pStyle w:val="TableText"/>
            </w:pPr>
          </w:p>
        </w:tc>
        <w:tc>
          <w:tcPr>
            <w:tcW w:w="1872" w:type="dxa"/>
          </w:tcPr>
          <w:p w:rsidR="00C060A3" w:rsidP="00B455EB" w:rsidRDefault="00C060A3" w14:paraId="6D045FD4" w14:textId="77777777">
            <w:pPr>
              <w:pStyle w:val="TableText"/>
            </w:pPr>
            <w:r>
              <w:rPr>
                <w:rFonts w:hint="cs"/>
                <w:rtl/>
              </w:rPr>
              <w:t>"איסור הכנסת חמץ למתחם בית חולים</w:t>
            </w:r>
          </w:p>
        </w:tc>
        <w:tc>
          <w:tcPr>
            <w:tcW w:w="624" w:type="dxa"/>
          </w:tcPr>
          <w:p w:rsidR="00C060A3" w:rsidP="00B455EB" w:rsidRDefault="00C060A3" w14:paraId="5BDD2F57" w14:textId="77777777">
            <w:pPr>
              <w:pStyle w:val="TableText"/>
            </w:pPr>
            <w:r>
              <w:rPr>
                <w:rFonts w:hint="cs"/>
                <w:rtl/>
              </w:rPr>
              <w:t>3א.</w:t>
            </w:r>
          </w:p>
        </w:tc>
        <w:tc>
          <w:tcPr>
            <w:tcW w:w="4650" w:type="dxa"/>
          </w:tcPr>
          <w:p w:rsidR="00C060A3" w:rsidP="00B455EB" w:rsidRDefault="00C060A3" w14:paraId="4F6E0907" w14:textId="77777777">
            <w:pPr>
              <w:pStyle w:val="TableBlock"/>
            </w:pPr>
            <w:r>
              <w:rPr>
                <w:rFonts w:hint="cs"/>
                <w:rtl/>
              </w:rPr>
              <w:t>(א)</w:t>
            </w:r>
            <w:r>
              <w:rPr>
                <w:rtl/>
              </w:rPr>
              <w:tab/>
            </w:r>
            <w:r>
              <w:rPr>
                <w:rFonts w:hint="cs"/>
                <w:rtl/>
              </w:rPr>
              <w:t xml:space="preserve">בית </w:t>
            </w:r>
            <w:r w:rsidRPr="006465E3">
              <w:rPr>
                <w:rtl/>
              </w:rPr>
              <w:t>חולים רשאי לקבוע כי מצהרי יום י"ד בניסן עד עשרים דקות אחרי שקיעת החמה של יום כ"א בניסן, לא יוכנסו מוצרי חמץ, כהגדרתם בסעיף 1 לחוק העיקרי, למתחם בית החולים כולו או חלקו. קבע בית חולים כאמור, יחולו עליו הוראת סעיף קטן (ב).</w:t>
            </w:r>
          </w:p>
        </w:tc>
      </w:tr>
      <w:tr w:rsidR="00C060A3" w:rsidTr="00C060A3" w14:paraId="6D788193" w14:textId="77777777">
        <w:trPr>
          <w:cantSplit/>
          <w:trHeight w:val="60"/>
        </w:trPr>
        <w:tc>
          <w:tcPr>
            <w:tcW w:w="1871" w:type="dxa"/>
          </w:tcPr>
          <w:p w:rsidR="00C060A3" w:rsidP="00B455EB" w:rsidRDefault="00C060A3" w14:paraId="4F61CB44" w14:textId="77777777">
            <w:pPr>
              <w:pStyle w:val="TableSideHeading"/>
            </w:pPr>
          </w:p>
        </w:tc>
        <w:tc>
          <w:tcPr>
            <w:tcW w:w="624" w:type="dxa"/>
          </w:tcPr>
          <w:p w:rsidR="00C060A3" w:rsidP="00B455EB" w:rsidRDefault="00C060A3" w14:paraId="75BFCE1C" w14:textId="77777777">
            <w:pPr>
              <w:pStyle w:val="TableText"/>
            </w:pPr>
          </w:p>
        </w:tc>
        <w:tc>
          <w:tcPr>
            <w:tcW w:w="1872" w:type="dxa"/>
          </w:tcPr>
          <w:p w:rsidR="00C060A3" w:rsidP="00B455EB" w:rsidRDefault="00C060A3" w14:paraId="5A530347" w14:textId="77777777">
            <w:pPr>
              <w:pStyle w:val="TableText"/>
              <w:rPr>
                <w:rtl/>
              </w:rPr>
            </w:pPr>
          </w:p>
        </w:tc>
        <w:tc>
          <w:tcPr>
            <w:tcW w:w="624" w:type="dxa"/>
          </w:tcPr>
          <w:p w:rsidR="00C060A3" w:rsidP="00B455EB" w:rsidRDefault="00C060A3" w14:paraId="3DB1A56B" w14:textId="77777777">
            <w:pPr>
              <w:pStyle w:val="TableText"/>
              <w:rPr>
                <w:rtl/>
              </w:rPr>
            </w:pPr>
          </w:p>
        </w:tc>
        <w:tc>
          <w:tcPr>
            <w:tcW w:w="4650" w:type="dxa"/>
          </w:tcPr>
          <w:p w:rsidR="00C060A3" w:rsidP="00B455EB" w:rsidRDefault="00C060A3" w14:paraId="6323BF8D" w14:textId="77777777">
            <w:pPr>
              <w:pStyle w:val="TableBlock"/>
              <w:rPr>
                <w:rtl/>
              </w:rPr>
            </w:pPr>
            <w:r>
              <w:rPr>
                <w:rFonts w:hint="cs"/>
                <w:rtl/>
              </w:rPr>
              <w:t>(ב)</w:t>
            </w:r>
            <w:r>
              <w:rPr>
                <w:rtl/>
              </w:rPr>
              <w:tab/>
            </w:r>
            <w:r>
              <w:rPr>
                <w:rFonts w:hint="cs"/>
                <w:rtl/>
              </w:rPr>
              <w:t xml:space="preserve">השר </w:t>
            </w:r>
            <w:r w:rsidRPr="00CF3497">
              <w:rPr>
                <w:rtl/>
              </w:rPr>
              <w:t xml:space="preserve">לשירותי דת בהסכמת שר הבריאות ושר המשפטים יקבע הוראות לעניין צריכת מזון שהוא מוצר חמץ, כמשמעותו בסעיף 1 לחוק העיקרי, למאושפזים בבית החולים הרוצים </w:t>
            </w:r>
            <w:r w:rsidRPr="00B8563F">
              <w:rPr>
                <w:rtl/>
              </w:rPr>
              <w:t>בכך</w:t>
            </w:r>
            <w:r w:rsidRPr="00B8563F">
              <w:rPr>
                <w:rFonts w:hint="cs"/>
                <w:rtl/>
              </w:rPr>
              <w:t xml:space="preserve"> </w:t>
            </w:r>
            <w:r w:rsidRPr="004F0E14">
              <w:rPr>
                <w:rFonts w:hint="eastAsia"/>
                <w:rtl/>
              </w:rPr>
              <w:t>בדרך</w:t>
            </w:r>
            <w:r w:rsidRPr="004F0E14">
              <w:rPr>
                <w:rtl/>
              </w:rPr>
              <w:t xml:space="preserve"> </w:t>
            </w:r>
            <w:r w:rsidRPr="004F0E14">
              <w:rPr>
                <w:rFonts w:hint="eastAsia"/>
                <w:rtl/>
              </w:rPr>
              <w:t>שתשמור</w:t>
            </w:r>
            <w:r w:rsidRPr="004F0E14">
              <w:rPr>
                <w:rtl/>
              </w:rPr>
              <w:t xml:space="preserve"> </w:t>
            </w:r>
            <w:r w:rsidRPr="004F0E14">
              <w:rPr>
                <w:rFonts w:hint="eastAsia"/>
                <w:rtl/>
              </w:rPr>
              <w:t>על</w:t>
            </w:r>
            <w:r w:rsidRPr="004F0E14">
              <w:rPr>
                <w:rtl/>
              </w:rPr>
              <w:t xml:space="preserve"> </w:t>
            </w:r>
            <w:r w:rsidRPr="004F0E14">
              <w:rPr>
                <w:rFonts w:hint="eastAsia"/>
                <w:rtl/>
              </w:rPr>
              <w:t>כבודם</w:t>
            </w:r>
            <w:r w:rsidRPr="004F0E14">
              <w:rPr>
                <w:rtl/>
              </w:rPr>
              <w:t xml:space="preserve"> </w:t>
            </w:r>
            <w:r w:rsidRPr="004F0E14">
              <w:rPr>
                <w:rFonts w:hint="eastAsia"/>
                <w:rtl/>
              </w:rPr>
              <w:t>ולא</w:t>
            </w:r>
            <w:r w:rsidRPr="004F0E14">
              <w:rPr>
                <w:rtl/>
              </w:rPr>
              <w:t xml:space="preserve"> </w:t>
            </w:r>
            <w:r w:rsidRPr="004F0E14">
              <w:rPr>
                <w:rFonts w:hint="eastAsia"/>
                <w:rtl/>
              </w:rPr>
              <w:t>תפגע</w:t>
            </w:r>
            <w:r w:rsidRPr="004F0E14">
              <w:rPr>
                <w:rtl/>
              </w:rPr>
              <w:t xml:space="preserve"> </w:t>
            </w:r>
            <w:r w:rsidRPr="004F0E14">
              <w:rPr>
                <w:rFonts w:hint="eastAsia"/>
                <w:rtl/>
              </w:rPr>
              <w:t>בהם</w:t>
            </w:r>
            <w:r w:rsidRPr="004F0E14">
              <w:rPr>
                <w:rtl/>
              </w:rPr>
              <w:t xml:space="preserve"> </w:t>
            </w:r>
            <w:r w:rsidRPr="004F0E14">
              <w:rPr>
                <w:rFonts w:hint="eastAsia"/>
                <w:rtl/>
              </w:rPr>
              <w:t>במידה</w:t>
            </w:r>
            <w:r w:rsidRPr="004F0E14">
              <w:rPr>
                <w:rtl/>
              </w:rPr>
              <w:t xml:space="preserve"> </w:t>
            </w:r>
            <w:r w:rsidRPr="004F0E14">
              <w:rPr>
                <w:rFonts w:hint="eastAsia"/>
                <w:rtl/>
              </w:rPr>
              <w:t>העולה</w:t>
            </w:r>
            <w:r w:rsidRPr="004F0E14">
              <w:rPr>
                <w:rtl/>
              </w:rPr>
              <w:t xml:space="preserve"> </w:t>
            </w:r>
            <w:r w:rsidRPr="004F0E14">
              <w:rPr>
                <w:rFonts w:hint="eastAsia"/>
                <w:rtl/>
              </w:rPr>
              <w:t>על</w:t>
            </w:r>
            <w:r w:rsidRPr="004F0E14">
              <w:rPr>
                <w:rtl/>
              </w:rPr>
              <w:t xml:space="preserve"> </w:t>
            </w:r>
            <w:r w:rsidRPr="004F0E14">
              <w:rPr>
                <w:rFonts w:hint="eastAsia"/>
                <w:rtl/>
              </w:rPr>
              <w:t>הנדרש</w:t>
            </w:r>
            <w:r w:rsidRPr="004F0E14">
              <w:rPr>
                <w:rtl/>
              </w:rPr>
              <w:t>."</w:t>
            </w:r>
          </w:p>
        </w:tc>
      </w:tr>
    </w:tbl>
    <w:p w:rsidR="002D1EE3" w:rsidP="002D1EE3" w:rsidRDefault="002D1EE3" w14:paraId="7F6961CA" w14:textId="77777777">
      <w:pPr>
        <w:pStyle w:val="HeadDivreiHesber"/>
        <w:rPr>
          <w:rtl/>
        </w:rPr>
      </w:pPr>
      <w:r w:rsidRPr="0027450A">
        <w:rPr>
          <w:rFonts w:hint="cs"/>
          <w:rtl/>
        </w:rPr>
        <w:t>דברי הסבר</w:t>
      </w:r>
    </w:p>
    <w:p w:rsidRPr="00D07BE5" w:rsidR="00C060A3" w:rsidP="00D07BE5" w:rsidRDefault="00C060A3" w14:paraId="75A46007" w14:textId="77777777">
      <w:pPr>
        <w:pStyle w:val="Hesber"/>
        <w:rPr>
          <w:rtl/>
        </w:rPr>
      </w:pPr>
      <w:r w:rsidRPr="00C060A3">
        <w:rPr>
          <w:rFonts w:hint="cs"/>
          <w:rtl/>
        </w:rPr>
        <w:t xml:space="preserve">חג </w:t>
      </w:r>
      <w:r w:rsidRPr="00D07BE5">
        <w:rPr>
          <w:rFonts w:hint="cs"/>
          <w:rtl/>
        </w:rPr>
        <w:t>הפסח הוא חג בעל חשיבות גדולה לעם היהודי, הראשון מבין שלוש הרגלים ונחגג במשך שבעה ימים, מט"ו בניסן ועד כ</w:t>
      </w:r>
      <w:r w:rsidRPr="00D07BE5">
        <w:rPr>
          <w:rtl/>
        </w:rPr>
        <w:t xml:space="preserve">"א בניסן. </w:t>
      </w:r>
      <w:r w:rsidRPr="00D07BE5">
        <w:rPr>
          <w:rFonts w:hint="cs"/>
          <w:rtl/>
        </w:rPr>
        <w:t xml:space="preserve">המחוקק הכיר במעמדו הייחודי של חג הפסח, בצורך הנובע בין השאר מאופיים המיוחד של דיני הכשרות בפסח ובאחוז הגבוה של אזרחי המדינה השומרים על הלכות הפסח  וחוקק את </w:t>
      </w:r>
      <w:r w:rsidRPr="00D07BE5">
        <w:rPr>
          <w:rFonts w:hint="eastAsia"/>
          <w:rtl/>
        </w:rPr>
        <w:t>חוק</w:t>
      </w:r>
      <w:r w:rsidRPr="00D07BE5">
        <w:rPr>
          <w:rtl/>
        </w:rPr>
        <w:t xml:space="preserve"> חג המצות (איסורי חמץ), התשמ״ו–1986. החוק ק</w:t>
      </w:r>
      <w:r w:rsidRPr="00D07BE5">
        <w:rPr>
          <w:rFonts w:hint="cs"/>
          <w:rtl/>
        </w:rPr>
        <w:t>ובע כי יש להימנע</w:t>
      </w:r>
      <w:r w:rsidRPr="00D07BE5">
        <w:rPr>
          <w:rtl/>
        </w:rPr>
        <w:t xml:space="preserve"> מחמץ בפסח, אך זאת במסגרת עיצוב המרחב הציבורי המסחרי </w:t>
      </w:r>
      <w:r w:rsidRPr="00D07BE5">
        <w:rPr>
          <w:rFonts w:hint="eastAsia"/>
          <w:rtl/>
        </w:rPr>
        <w:t>ולא</w:t>
      </w:r>
      <w:r w:rsidRPr="00D07BE5">
        <w:rPr>
          <w:rtl/>
        </w:rPr>
        <w:t xml:space="preserve"> </w:t>
      </w:r>
      <w:r w:rsidRPr="00D07BE5">
        <w:rPr>
          <w:rFonts w:hint="eastAsia"/>
          <w:rtl/>
        </w:rPr>
        <w:t>קיים</w:t>
      </w:r>
      <w:r w:rsidRPr="00D07BE5">
        <w:rPr>
          <w:rtl/>
        </w:rPr>
        <w:t xml:space="preserve"> </w:t>
      </w:r>
      <w:r w:rsidRPr="00D07BE5">
        <w:rPr>
          <w:rFonts w:hint="eastAsia"/>
          <w:rtl/>
        </w:rPr>
        <w:t>בו</w:t>
      </w:r>
      <w:r w:rsidRPr="00D07BE5">
        <w:rPr>
          <w:rtl/>
        </w:rPr>
        <w:t xml:space="preserve"> איסור על הימנעות מחמץ במסגרת המרחב הפרטי ולשימוש האישי.  </w:t>
      </w:r>
    </w:p>
    <w:p w:rsidRPr="00D07BE5" w:rsidR="00C060A3" w:rsidP="00D07BE5" w:rsidRDefault="00C060A3" w14:paraId="3E04D990" w14:textId="77777777">
      <w:pPr>
        <w:pStyle w:val="Hesber"/>
        <w:rPr>
          <w:rtl/>
        </w:rPr>
      </w:pPr>
      <w:r w:rsidRPr="00D07BE5">
        <w:rPr>
          <w:rFonts w:hint="cs"/>
          <w:rtl/>
        </w:rPr>
        <w:t xml:space="preserve">בשנים האחרונות נהגה מדיניות בקרב בתי חולים ברחבי הארץ שלפיה נאסר על חולים ומבקרים בבית החולים להכניס מזון לשטחי בית החולים במהלך חג הפסח. מדיניות זו נקבעה על רקע נוהל הרבנות הראשית אשר חייב את בתי החולים לאסור על הכנסת חמץ לבית החולים כתנאי למתן תעודת </w:t>
      </w:r>
      <w:r w:rsidRPr="00D07BE5">
        <w:rPr>
          <w:rFonts w:hint="cs"/>
          <w:rtl/>
        </w:rPr>
        <w:lastRenderedPageBreak/>
        <w:t xml:space="preserve">כשרות בשל אופיים המיוחד של דיני הכשרות לפסח וכן בשל רצונם של בתי החולים להימנע מפגיעה ברגשות הציבור שאחוזים גבוהים ממנו שומרים על מנהגי הפסח. </w:t>
      </w:r>
      <w:r w:rsidRPr="00D07BE5">
        <w:rPr>
          <w:rFonts w:hint="eastAsia"/>
          <w:rtl/>
        </w:rPr>
        <w:t>סיבה</w:t>
      </w:r>
      <w:r w:rsidRPr="00D07BE5">
        <w:rPr>
          <w:rtl/>
        </w:rPr>
        <w:t xml:space="preserve"> נוספת למדיניות זו </w:t>
      </w:r>
      <w:r w:rsidRPr="00D07BE5">
        <w:rPr>
          <w:rFonts w:hint="cs"/>
          <w:rtl/>
        </w:rPr>
        <w:t xml:space="preserve">היה החשש כי הכנסת מוצרי חמץ לבתי החולים תמנע מחולים מסוימים הזקוקים לכך להגיע לבית החולים. </w:t>
      </w:r>
    </w:p>
    <w:p w:rsidRPr="00D07BE5" w:rsidR="00C060A3" w:rsidP="00D07BE5" w:rsidRDefault="00C060A3" w14:paraId="5B1B4E3D" w14:textId="77777777">
      <w:pPr>
        <w:pStyle w:val="Hesber"/>
        <w:rPr>
          <w:rtl/>
        </w:rPr>
      </w:pPr>
      <w:r w:rsidRPr="00D07BE5">
        <w:rPr>
          <w:rFonts w:hint="eastAsia"/>
          <w:rtl/>
        </w:rPr>
        <w:t>על</w:t>
      </w:r>
      <w:r w:rsidRPr="00D07BE5">
        <w:rPr>
          <w:rtl/>
        </w:rPr>
        <w:t xml:space="preserve"> </w:t>
      </w:r>
      <w:r w:rsidRPr="00D07BE5">
        <w:rPr>
          <w:rFonts w:hint="cs"/>
          <w:rtl/>
        </w:rPr>
        <w:t>מדיניות זו</w:t>
      </w:r>
      <w:r w:rsidRPr="00D07BE5">
        <w:rPr>
          <w:rtl/>
        </w:rPr>
        <w:t xml:space="preserve"> הוגשה עתירה לבית המשפט העליו</w:t>
      </w:r>
      <w:r w:rsidRPr="00D07BE5">
        <w:rPr>
          <w:rFonts w:hint="eastAsia"/>
          <w:rtl/>
        </w:rPr>
        <w:t>ן</w:t>
      </w:r>
      <w:r w:rsidRPr="00D07BE5">
        <w:rPr>
          <w:rFonts w:hint="cs"/>
          <w:rtl/>
        </w:rPr>
        <w:t xml:space="preserve">. בית המשפט העליון קיבל את העתירה וקבע כי לא קיימת הסמכה בחוק אשר מאפשרת </w:t>
      </w:r>
      <w:r w:rsidRPr="00D07BE5">
        <w:rPr>
          <w:rFonts w:hint="eastAsia"/>
          <w:rtl/>
        </w:rPr>
        <w:t>איסור</w:t>
      </w:r>
      <w:r w:rsidRPr="00D07BE5">
        <w:rPr>
          <w:rtl/>
        </w:rPr>
        <w:t xml:space="preserve"> הכנסת חמץ </w:t>
      </w:r>
      <w:r w:rsidRPr="00D07BE5">
        <w:rPr>
          <w:rFonts w:hint="cs"/>
          <w:rtl/>
        </w:rPr>
        <w:t xml:space="preserve">לשטחי בית החולים </w:t>
      </w:r>
      <w:r w:rsidRPr="00D07BE5">
        <w:rPr>
          <w:rtl/>
        </w:rPr>
        <w:t xml:space="preserve">ועל כן על </w:t>
      </w:r>
      <w:r w:rsidRPr="00D07BE5">
        <w:rPr>
          <w:rFonts w:hint="eastAsia"/>
          <w:rtl/>
        </w:rPr>
        <w:t>בתי</w:t>
      </w:r>
      <w:r w:rsidRPr="00D07BE5">
        <w:rPr>
          <w:rtl/>
        </w:rPr>
        <w:t xml:space="preserve"> החולים </w:t>
      </w:r>
      <w:r w:rsidRPr="00D07BE5">
        <w:rPr>
          <w:rFonts w:hint="eastAsia"/>
          <w:rtl/>
        </w:rPr>
        <w:t>לאפשר</w:t>
      </w:r>
      <w:r w:rsidRPr="00D07BE5">
        <w:rPr>
          <w:rtl/>
        </w:rPr>
        <w:t xml:space="preserve"> </w:t>
      </w:r>
      <w:r w:rsidRPr="00D07BE5">
        <w:rPr>
          <w:rFonts w:hint="eastAsia"/>
          <w:rtl/>
        </w:rPr>
        <w:t>הכנסת</w:t>
      </w:r>
      <w:r w:rsidRPr="00D07BE5">
        <w:rPr>
          <w:rtl/>
        </w:rPr>
        <w:t xml:space="preserve"> חמץ לשטחיהם בתקופת חג </w:t>
      </w:r>
      <w:r w:rsidRPr="00D07BE5">
        <w:rPr>
          <w:rFonts w:hint="eastAsia"/>
          <w:rtl/>
        </w:rPr>
        <w:t>הפסח</w:t>
      </w:r>
      <w:r w:rsidRPr="00D07BE5">
        <w:rPr>
          <w:rtl/>
        </w:rPr>
        <w:t xml:space="preserve"> </w:t>
      </w:r>
      <w:r w:rsidRPr="00D07BE5">
        <w:rPr>
          <w:rFonts w:hint="eastAsia"/>
          <w:rtl/>
        </w:rPr>
        <w:t>תוך</w:t>
      </w:r>
      <w:r w:rsidRPr="00D07BE5">
        <w:rPr>
          <w:rtl/>
        </w:rPr>
        <w:t xml:space="preserve"> </w:t>
      </w:r>
      <w:r w:rsidRPr="00D07BE5">
        <w:rPr>
          <w:rFonts w:hint="eastAsia"/>
          <w:rtl/>
        </w:rPr>
        <w:t>קביעת</w:t>
      </w:r>
      <w:r w:rsidRPr="00D07BE5">
        <w:rPr>
          <w:rtl/>
        </w:rPr>
        <w:t xml:space="preserve"> </w:t>
      </w:r>
      <w:r w:rsidRPr="00D07BE5">
        <w:rPr>
          <w:rFonts w:hint="eastAsia"/>
          <w:rtl/>
        </w:rPr>
        <w:t>הסדרים</w:t>
      </w:r>
      <w:r w:rsidRPr="00D07BE5">
        <w:rPr>
          <w:rtl/>
        </w:rPr>
        <w:t xml:space="preserve"> </w:t>
      </w:r>
      <w:r w:rsidRPr="00D07BE5">
        <w:rPr>
          <w:rFonts w:hint="eastAsia"/>
          <w:rtl/>
        </w:rPr>
        <w:t>מתאימים</w:t>
      </w:r>
      <w:r w:rsidRPr="00D07BE5">
        <w:rPr>
          <w:rtl/>
        </w:rPr>
        <w:t xml:space="preserve"> </w:t>
      </w:r>
      <w:r w:rsidRPr="00D07BE5">
        <w:rPr>
          <w:rFonts w:hint="eastAsia"/>
          <w:rtl/>
        </w:rPr>
        <w:t>אשר</w:t>
      </w:r>
      <w:r w:rsidRPr="00D07BE5">
        <w:rPr>
          <w:rtl/>
        </w:rPr>
        <w:t xml:space="preserve"> </w:t>
      </w:r>
      <w:r w:rsidRPr="00D07BE5">
        <w:rPr>
          <w:rFonts w:hint="eastAsia"/>
          <w:rtl/>
        </w:rPr>
        <w:t>יאפשרו</w:t>
      </w:r>
      <w:r w:rsidRPr="00D07BE5">
        <w:rPr>
          <w:rtl/>
        </w:rPr>
        <w:t xml:space="preserve"> </w:t>
      </w:r>
      <w:r w:rsidRPr="00D07BE5">
        <w:rPr>
          <w:rFonts w:hint="eastAsia"/>
          <w:rtl/>
        </w:rPr>
        <w:t>שמירה</w:t>
      </w:r>
      <w:r w:rsidRPr="00D07BE5">
        <w:rPr>
          <w:rtl/>
        </w:rPr>
        <w:t xml:space="preserve"> </w:t>
      </w:r>
      <w:r w:rsidRPr="00D07BE5">
        <w:rPr>
          <w:rFonts w:hint="eastAsia"/>
          <w:rtl/>
        </w:rPr>
        <w:t>על</w:t>
      </w:r>
      <w:r w:rsidRPr="00D07BE5">
        <w:rPr>
          <w:rtl/>
        </w:rPr>
        <w:t xml:space="preserve"> </w:t>
      </w:r>
      <w:r w:rsidRPr="00D07BE5">
        <w:rPr>
          <w:rFonts w:hint="eastAsia"/>
          <w:rtl/>
        </w:rPr>
        <w:t>כשרות</w:t>
      </w:r>
      <w:r w:rsidRPr="00D07BE5">
        <w:rPr>
          <w:rtl/>
        </w:rPr>
        <w:t xml:space="preserve"> </w:t>
      </w:r>
      <w:r w:rsidRPr="00D07BE5">
        <w:rPr>
          <w:rFonts w:hint="eastAsia"/>
          <w:rtl/>
        </w:rPr>
        <w:t>המזון</w:t>
      </w:r>
      <w:r w:rsidRPr="00D07BE5">
        <w:rPr>
          <w:rtl/>
        </w:rPr>
        <w:t xml:space="preserve"> </w:t>
      </w:r>
      <w:r w:rsidRPr="00D07BE5">
        <w:rPr>
          <w:rFonts w:hint="eastAsia"/>
          <w:rtl/>
        </w:rPr>
        <w:t>המוגש</w:t>
      </w:r>
      <w:r w:rsidRPr="00D07BE5">
        <w:rPr>
          <w:rtl/>
        </w:rPr>
        <w:t xml:space="preserve"> </w:t>
      </w:r>
      <w:r w:rsidRPr="00D07BE5">
        <w:rPr>
          <w:rFonts w:hint="eastAsia"/>
          <w:rtl/>
        </w:rPr>
        <w:t>על</w:t>
      </w:r>
      <w:r w:rsidRPr="00D07BE5">
        <w:rPr>
          <w:rtl/>
        </w:rPr>
        <w:t xml:space="preserve"> </w:t>
      </w:r>
      <w:r w:rsidRPr="00D07BE5">
        <w:rPr>
          <w:rFonts w:hint="eastAsia"/>
          <w:rtl/>
        </w:rPr>
        <w:t>ידי</w:t>
      </w:r>
      <w:r w:rsidRPr="00D07BE5">
        <w:rPr>
          <w:rtl/>
        </w:rPr>
        <w:t xml:space="preserve"> </w:t>
      </w:r>
      <w:r w:rsidRPr="00D07BE5">
        <w:rPr>
          <w:rFonts w:hint="eastAsia"/>
          <w:rtl/>
        </w:rPr>
        <w:t>בית</w:t>
      </w:r>
      <w:r w:rsidRPr="00D07BE5">
        <w:rPr>
          <w:rtl/>
        </w:rPr>
        <w:t xml:space="preserve"> </w:t>
      </w:r>
      <w:r w:rsidRPr="00D07BE5">
        <w:rPr>
          <w:rFonts w:hint="eastAsia"/>
          <w:rtl/>
        </w:rPr>
        <w:t>החולים</w:t>
      </w:r>
      <w:r w:rsidRPr="00D07BE5">
        <w:rPr>
          <w:rtl/>
        </w:rPr>
        <w:t xml:space="preserve">.  </w:t>
      </w:r>
    </w:p>
    <w:p w:rsidRPr="00D07BE5" w:rsidR="00C060A3" w:rsidP="00D07BE5" w:rsidRDefault="00C060A3" w14:paraId="41956DB3" w14:textId="77777777">
      <w:pPr>
        <w:pStyle w:val="Hesber"/>
        <w:rPr>
          <w:rtl/>
        </w:rPr>
      </w:pPr>
      <w:r w:rsidRPr="00D07BE5">
        <w:rPr>
          <w:rFonts w:hint="cs"/>
          <w:rtl/>
        </w:rPr>
        <w:t>לפיכך, מוצע להסמיך בחוק את בתי החולים הרוצים בכך לקבוע כי במהלך חג הפסח לא יוכנסו מוצרי חמץ למתחם בית החולים, כולו או חלקו. בכך יימנע החשש כי חולים רבים השומרים על הלכות הכשרות בפסח יימנעו מהגעה לבתי החולים בתקופה זו ובכך תיפגע בריאותם וכן יימנע החשש מאי עמידה בהלכות הכשרות לפסח</w:t>
      </w:r>
      <w:r w:rsidRPr="00D07BE5" w:rsidDel="00B90F2F">
        <w:rPr>
          <w:rFonts w:hint="cs"/>
          <w:rtl/>
        </w:rPr>
        <w:t xml:space="preserve"> </w:t>
      </w:r>
      <w:r w:rsidRPr="00D07BE5">
        <w:rPr>
          <w:rFonts w:hint="cs"/>
          <w:rtl/>
        </w:rPr>
        <w:t>בבתי החולים.</w:t>
      </w:r>
    </w:p>
    <w:p w:rsidRPr="00D07BE5" w:rsidR="00C060A3" w:rsidP="00D07BE5" w:rsidRDefault="00C060A3" w14:paraId="1C9E4951" w14:textId="77777777">
      <w:pPr>
        <w:pStyle w:val="Hesber"/>
        <w:rPr>
          <w:rtl/>
        </w:rPr>
      </w:pPr>
      <w:r w:rsidRPr="00D07BE5">
        <w:rPr>
          <w:rFonts w:hint="cs"/>
          <w:rtl/>
        </w:rPr>
        <w:t xml:space="preserve"> יחד עם זאת, על מנת לצמצם את הפגיעה בזכותם של חולים המאושפזים בבתי החולים ואשר מעונייני</w:t>
      </w:r>
      <w:r w:rsidRPr="00D07BE5">
        <w:rPr>
          <w:rFonts w:hint="eastAsia"/>
          <w:rtl/>
        </w:rPr>
        <w:t>ם</w:t>
      </w:r>
      <w:r w:rsidRPr="00D07BE5">
        <w:rPr>
          <w:rFonts w:hint="cs"/>
          <w:rtl/>
        </w:rPr>
        <w:t xml:space="preserve"> לצרוך מזון שאינו כשר, מוצע לקבוע כי השר לשירותי דת בהסכמת שר הבריאות והמשפטים יקבע הוראות אשר יאפשרו לציבור זה להמשיך ולצרוך מזון שאינו כשר לפסח בדרך שתשמור על כבודם ולא תפגע בהם במידה העולה על הנדרש. </w:t>
      </w:r>
    </w:p>
    <w:p w:rsidR="00D07BE5" w:rsidP="00D07BE5" w:rsidRDefault="00C060A3" w14:paraId="4CD1CEE4" w14:textId="77777777">
      <w:pPr>
        <w:pStyle w:val="Hesber"/>
        <w:rPr>
          <w:rtl/>
        </w:rPr>
      </w:pPr>
      <w:r w:rsidRPr="00D07BE5">
        <w:rPr>
          <w:rFonts w:hint="cs"/>
          <w:rtl/>
        </w:rPr>
        <w:t>הצע</w:t>
      </w:r>
      <w:r w:rsidR="00D07BE5">
        <w:rPr>
          <w:rFonts w:hint="cs"/>
          <w:rtl/>
        </w:rPr>
        <w:t>ות חוק זהות הונחו</w:t>
      </w:r>
      <w:r w:rsidRPr="00D07BE5">
        <w:rPr>
          <w:rFonts w:hint="cs"/>
          <w:rtl/>
        </w:rPr>
        <w:t xml:space="preserve"> על שולחן הכנסת העשרים ושלוש על ידי חבר הכנסת ינון אזולא</w:t>
      </w:r>
      <w:r w:rsidR="00D07BE5">
        <w:rPr>
          <w:rFonts w:hint="cs"/>
          <w:rtl/>
        </w:rPr>
        <w:t xml:space="preserve">י וקבוצת חברי הכנסת (פ/1382/23), </w:t>
      </w:r>
      <w:r w:rsidRPr="00D07BE5">
        <w:rPr>
          <w:rFonts w:hint="cs"/>
          <w:rtl/>
        </w:rPr>
        <w:t>על שולחן הכנסת העשרים וארבע על ידי חברי הכנסת ינון אזולאי ומשה ארבל וקבוצת חברי הכנסת (פ/185/24)</w:t>
      </w:r>
      <w:r w:rsidR="00D07BE5">
        <w:rPr>
          <w:rFonts w:hint="cs"/>
          <w:rtl/>
        </w:rPr>
        <w:t>, ו</w:t>
      </w:r>
      <w:r w:rsidRPr="00D07BE5" w:rsidR="0042710B">
        <w:rPr>
          <w:rFonts w:hint="cs"/>
          <w:rtl/>
        </w:rPr>
        <w:t xml:space="preserve">על שולחן הכנסת העשרים וחמש </w:t>
      </w:r>
      <w:r w:rsidRPr="00D07BE5" w:rsidR="00A82876">
        <w:rPr>
          <w:rFonts w:hint="cs"/>
          <w:rtl/>
        </w:rPr>
        <w:t>על ידי חברת הכנסת עידית סילמן (</w:t>
      </w:r>
      <w:r w:rsidR="00D07BE5">
        <w:rPr>
          <w:rFonts w:hint="cs"/>
          <w:rtl/>
        </w:rPr>
        <w:t>פ/397/25</w:t>
      </w:r>
      <w:r w:rsidRPr="00D07BE5" w:rsidR="00A82876">
        <w:rPr>
          <w:rFonts w:hint="cs"/>
          <w:rtl/>
        </w:rPr>
        <w:t>)</w:t>
      </w:r>
      <w:r w:rsidR="00D07BE5">
        <w:rPr>
          <w:rFonts w:hint="cs"/>
          <w:rtl/>
        </w:rPr>
        <w:t>.</w:t>
      </w:r>
    </w:p>
    <w:p w:rsidR="0042710B" w:rsidP="00D07BE5" w:rsidRDefault="00D07BE5" w14:paraId="3E33FB41" w14:textId="73E1EFD3">
      <w:pPr>
        <w:pStyle w:val="Hesber"/>
        <w:rPr>
          <w:rtl/>
        </w:rPr>
      </w:pPr>
      <w:r>
        <w:rPr>
          <w:rFonts w:hint="cs"/>
          <w:rtl/>
        </w:rPr>
        <w:t>הצעת החוק זהה לפ/185/24</w:t>
      </w:r>
      <w:r w:rsidRPr="00D07BE5" w:rsidR="00A82876">
        <w:rPr>
          <w:rFonts w:hint="cs"/>
          <w:rtl/>
        </w:rPr>
        <w:t xml:space="preserve"> </w:t>
      </w:r>
      <w:r>
        <w:rPr>
          <w:rFonts w:hint="cs"/>
          <w:rtl/>
        </w:rPr>
        <w:t xml:space="preserve">ולפיכך </w:t>
      </w:r>
      <w:r w:rsidRPr="00D07BE5" w:rsidR="00A82876">
        <w:rPr>
          <w:rFonts w:hint="cs"/>
          <w:rtl/>
        </w:rPr>
        <w:t xml:space="preserve">לא נבחנה </w:t>
      </w:r>
      <w:r>
        <w:rPr>
          <w:rFonts w:hint="cs"/>
          <w:rtl/>
        </w:rPr>
        <w:t xml:space="preserve">מחדש </w:t>
      </w:r>
      <w:r w:rsidRPr="00D07BE5" w:rsidR="00A82876">
        <w:rPr>
          <w:rFonts w:hint="cs"/>
          <w:rtl/>
        </w:rPr>
        <w:t>על ידי הלשכה המשפטית של הכנסת.</w:t>
      </w:r>
    </w:p>
    <w:p w:rsidR="00D07BE5" w:rsidP="00D07BE5" w:rsidRDefault="00D07BE5" w14:paraId="3DBA7706" w14:textId="77777777">
      <w:pPr>
        <w:pStyle w:val="Hesber"/>
        <w:rPr>
          <w:rtl/>
        </w:rPr>
      </w:pPr>
    </w:p>
    <w:p w:rsidRPr="00D07BE5" w:rsidR="00D07BE5" w:rsidP="00D07BE5" w:rsidRDefault="00D07BE5" w14:paraId="3575074F" w14:textId="77777777">
      <w:pPr>
        <w:pStyle w:val="Hesber"/>
        <w:rPr>
          <w:rtl/>
        </w:rPr>
      </w:pPr>
      <w:bookmarkStart w:name="_GoBack" w:id="8"/>
      <w:bookmarkEnd w:id="8"/>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כ"ה בכסלו התשפ"ג</w:t>
          <w:t xml:space="preserve"> (19.12.2022) </w:t>
        </w:r>
      </w:p>
    </w:p>
    <w:sectPr w:rsidRPr="00D07BE5" w:rsidR="00D07BE5"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2FDA7809"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D07BE5">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430FE02F" w14:textId="77777777" w:rsidR="00C060A3" w:rsidRDefault="00C060A3" w:rsidP="00C060A3">
      <w:pPr>
        <w:pStyle w:val="a4"/>
        <w:rPr>
          <w:rtl/>
        </w:rPr>
      </w:pPr>
      <w:r>
        <w:rPr>
          <w:rStyle w:val="a6"/>
        </w:rPr>
        <w:footnoteRef/>
      </w:r>
      <w:r>
        <w:rPr>
          <w:rtl/>
        </w:rPr>
        <w:t xml:space="preserve"> </w:t>
      </w:r>
      <w:r>
        <w:rPr>
          <w:rFonts w:hint="cs"/>
          <w:rtl/>
        </w:rPr>
        <w:t xml:space="preserve">ס"ח התשמ"ו, עמ' 220.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2E4E"/>
    <w:rsid w:val="003D6E38"/>
    <w:rsid w:val="003D74A0"/>
    <w:rsid w:val="004033D8"/>
    <w:rsid w:val="004073F0"/>
    <w:rsid w:val="00412A7D"/>
    <w:rsid w:val="00416B4D"/>
    <w:rsid w:val="00417CFC"/>
    <w:rsid w:val="0042710B"/>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2083C"/>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876"/>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060A3"/>
    <w:rsid w:val="00C23B1A"/>
    <w:rsid w:val="00C310EB"/>
    <w:rsid w:val="00C9176A"/>
    <w:rsid w:val="00CF1AA2"/>
    <w:rsid w:val="00D07BE5"/>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 w:val="00FE4B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F84692F-296B-4115-BC2C-6DEE84E4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C060A3"/>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290d5b49-c690-4c6f-bbb9-1e50dab33ee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FEF67F2-473A-482C-B73B-EBF93A24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B61252D3-D89D-4D07-9307-3E747DDD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509</Words>
  <Characters>2549</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דפנה ברנאי</cp:lastModifiedBy>
  <cp:revision>10</cp:revision>
  <cp:lastPrinted>2013-07-04T08:25:00Z</cp:lastPrinted>
  <dcterms:created xsi:type="dcterms:W3CDTF">2015-04-20T09:58:00Z</dcterms:created>
  <dcterms:modified xsi:type="dcterms:W3CDTF">2022-12-04T09:01:00Z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2197299</vt:r8>
  </property>
</Properties>
</file>