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2290F4F0" w:rsidR="002C2E29" w:rsidRPr="00E635A2" w:rsidRDefault="00DC389D" w:rsidP="00E635A2">
      <w:pPr>
        <w:jc w:val="right"/>
        <w:rPr>
          <w:b/>
          <w:bCs/>
          <w:sz w:val="20"/>
          <w:szCs w:val="20"/>
        </w:rPr>
      </w:pPr>
      <w:r>
        <w:rPr>
          <w:rFonts w:hint="cs"/>
          <w:sz w:val="20"/>
          <w:szCs w:val="20"/>
          <w:rtl/>
        </w:rPr>
        <w:t>ה</w:t>
      </w:r>
      <w:r w:rsidR="004033D8" w:rsidRPr="00E635A2">
        <w:rPr>
          <w:rFonts w:hint="cs"/>
          <w:sz w:val="20"/>
          <w:szCs w:val="20"/>
          <w:rtl/>
        </w:rPr>
        <w:t xml:space="preserve">מספר פנימי: </w:t>
      </w:r>
      <w:bookmarkStart w:id="0" w:name="LGS_Internal_ID"/>
      <w:r w:rsidR="004033D8">
        <w:rPr>
          <w:rFonts w:hint="cs"/>
          <w:sz w:val="20"/>
          <w:szCs w:val="20"/>
          <w:rtl/>
        </w:rPr>
        <w:t>2197154</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וחמש</w:t>
      </w:r>
      <w:bookmarkEnd w:id="1"/>
    </w:p>
    <w:p w14:paraId="7F6961A3" w14:textId="77777777" w:rsidR="00E13C27" w:rsidRPr="00F67051" w:rsidRDefault="00E13C27" w:rsidP="00E13C27">
      <w:pPr>
        <w:rPr>
          <w:b/>
          <w:bCs/>
          <w:sz w:val="26"/>
          <w:szCs w:val="26"/>
          <w:rtl/>
        </w:rPr>
      </w:pPr>
    </w:p>
    <w:p w14:paraId="7F6961AA" w14:textId="204511EA" w:rsidR="00E13C27" w:rsidRPr="00CF1AA2" w:rsidRDefault="008F6665" w:rsidP="00E23303">
      <w:pPr>
        <w:pStyle w:val="David"/>
        <w:spacing w:before="102"/>
        <w:ind w:left="3544"/>
        <w:rPr>
          <w:b/>
          <w:bCs/>
          <w:sz w:val="16"/>
          <w:szCs w:val="16"/>
          <w:rtl/>
        </w:rPr>
      </w:pPr>
      <w:bookmarkStart w:id="2" w:name="LGS_Initiators_List"/>
      <w:r>
        <w:rPr>
          <w:b/>
          <w:bCs/>
          <w:rtl/>
        </w:rPr>
        <w:t>יוזמת:</w:t>
      </w:r>
      <w:r>
        <w:tab/>
      </w:r>
      <w:r>
        <w:rPr>
          <w:b/>
          <w:bCs/>
          <w:rtl/>
        </w:rPr>
        <w:t xml:space="preserve">      חברת הכנסת</w:t>
      </w:r>
      <w:bookmarkEnd w:id="2"/>
      <w:r w:rsidR="00B35784" w:rsidRPr="00F67051">
        <w:rPr>
          <w:b/>
          <w:bCs/>
        </w:rPr>
        <w:tab/>
      </w:r>
      <w:bookmarkStart w:id="3" w:name="LGS_PM_Names"/>
      <w:r>
        <w:rPr>
          <w:rFonts w:hint="cs"/>
          <w:b/>
          <w:bCs/>
          <w:rtl/>
        </w:rPr>
        <w:t>שרן מרים השכל</w:t>
      </w:r>
      <w:bookmarkStart w:id="4" w:name="LGS_Join_List"/>
      <w:bookmarkEnd w:id="3"/>
      <w:r w:rsidR="007D585A">
        <w:rPr>
          <w:rtl/>
        </w:rPr>
        <w:t xml:space="preserve"> </w:t>
      </w:r>
      <w:bookmarkEnd w:id="4"/>
      <w:r w:rsidR="002200A1" w:rsidRPr="00CF1AA2">
        <w:rPr>
          <w:rFonts w:hint="cs"/>
          <w:rtl/>
        </w:rPr>
        <w:tab/>
      </w:r>
      <w:bookmarkStart w:id="5" w:name="LGS_PM_NamesJoin"/>
      <w:r w:rsidR="007D585A">
        <w:rPr>
          <w:rFonts w:hint="cs"/>
          <w:rtl/>
        </w:rPr>
        <w:t xml:space="preserve"> </w:t>
      </w:r>
      <w:bookmarkEnd w:id="5"/>
    </w:p>
    <w:p w14:paraId="34DB4103" w14:textId="77777777" w:rsidR="00904591" w:rsidRPr="00904591" w:rsidRDefault="00266D86" w:rsidP="0036422C">
      <w:pPr>
        <w:pStyle w:val="David"/>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66092CF4" w:rsidR="00E13C27" w:rsidRPr="00E06736" w:rsidRDefault="00904591" w:rsidP="00E23303">
      <w:pPr>
        <w:pStyle w:val="David"/>
        <w:spacing w:line="240" w:lineRule="auto"/>
        <w:ind w:left="6424" w:firstLine="56"/>
        <w:rPr>
          <w:rtl/>
        </w:rPr>
      </w:pPr>
      <w:bookmarkStart w:id="6" w:name="Private_Number"/>
      <w:r>
        <w:rPr>
          <w:rFonts w:hint="cs"/>
          <w:rtl/>
        </w:rPr>
        <w:t>פ/741/25</w:t>
      </w:r>
      <w:bookmarkEnd w:id="6"/>
    </w:p>
    <w:p w14:paraId="7F6961AD" w14:textId="000A0CE2" w:rsidR="00E13C27" w:rsidRPr="00F67051" w:rsidRDefault="00A443CF" w:rsidP="005C1A60">
      <w:pPr>
        <w:pStyle w:val="HeadHatzaotHok"/>
        <w:rPr>
          <w:rtl/>
        </w:rPr>
      </w:pPr>
      <w:bookmarkStart w:id="7" w:name="LGS_Subject"/>
      <w:r>
        <w:rPr>
          <w:rFonts w:hint="cs"/>
          <w:rtl/>
        </w:rPr>
        <w:t>הצעת חוק להפסקת פעילות סוכנות הסעד והתעסוקה של האו"ם לפליטי פלסטין במזרח הקרוב (אונר"א), התשפ"ג</w:t>
      </w:r>
      <w:r w:rsidR="005C1A60">
        <w:rPr>
          <w:rFonts w:hint="eastAsia"/>
          <w:rtl/>
        </w:rPr>
        <w:t>–</w:t>
      </w:r>
      <w:r>
        <w:rPr>
          <w:rFonts w:hint="cs"/>
          <w:rtl/>
        </w:rPr>
        <w:t>2022</w:t>
      </w:r>
      <w:bookmarkEnd w:id="7"/>
    </w:p>
    <w:p w14:paraId="7F6961AE" w14:textId="77777777" w:rsidR="00E13C27" w:rsidRDefault="00E13C27" w:rsidP="0021633A">
      <w:pPr>
        <w:pStyle w:val="HeadDivreiHesber"/>
        <w:spacing w:before="0" w:after="0"/>
        <w:rPr>
          <w:rtl/>
        </w:rPr>
      </w:pPr>
    </w:p>
    <w:tbl>
      <w:tblPr>
        <w:bidiVisual/>
        <w:tblW w:w="9638"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7143"/>
      </w:tblGrid>
      <w:tr w:rsidR="00DC389D" w14:paraId="745D04DE" w14:textId="77777777" w:rsidTr="00D23411">
        <w:trPr>
          <w:cantSplit/>
        </w:trPr>
        <w:tc>
          <w:tcPr>
            <w:tcW w:w="1871" w:type="dxa"/>
          </w:tcPr>
          <w:p w14:paraId="474600A6" w14:textId="77777777" w:rsidR="00DC389D" w:rsidRDefault="00DC389D" w:rsidP="006C5B27">
            <w:pPr>
              <w:pStyle w:val="TableSideHeading"/>
              <w:keepLines w:val="0"/>
            </w:pPr>
            <w:r>
              <w:rPr>
                <w:rFonts w:hint="cs"/>
                <w:rtl/>
              </w:rPr>
              <w:t>מטרה</w:t>
            </w:r>
          </w:p>
        </w:tc>
        <w:tc>
          <w:tcPr>
            <w:tcW w:w="624" w:type="dxa"/>
          </w:tcPr>
          <w:p w14:paraId="6393CAA0" w14:textId="0BD9C7B1" w:rsidR="00DC389D" w:rsidRDefault="00E23303" w:rsidP="00E23303">
            <w:pPr>
              <w:pStyle w:val="TableText"/>
              <w:keepLines w:val="0"/>
              <w:tabs>
                <w:tab w:val="clear" w:pos="624"/>
              </w:tabs>
            </w:pPr>
            <w:r>
              <w:rPr>
                <w:rFonts w:hint="cs"/>
                <w:rtl/>
              </w:rPr>
              <w:t>1.</w:t>
            </w:r>
          </w:p>
        </w:tc>
        <w:tc>
          <w:tcPr>
            <w:tcW w:w="7143" w:type="dxa"/>
          </w:tcPr>
          <w:p w14:paraId="37D152AA" w14:textId="77777777" w:rsidR="00DC389D" w:rsidRPr="00F54754" w:rsidRDefault="00DC389D" w:rsidP="00D23411">
            <w:pPr>
              <w:pStyle w:val="TableBlock"/>
              <w:rPr>
                <w:rtl/>
              </w:rPr>
            </w:pPr>
            <w:r w:rsidRPr="00F54754">
              <w:rPr>
                <w:rtl/>
              </w:rPr>
              <w:t xml:space="preserve">חוק זה מטרתו לממש את ריבונות </w:t>
            </w:r>
            <w:r>
              <w:rPr>
                <w:rFonts w:hint="cs"/>
                <w:rtl/>
              </w:rPr>
              <w:t xml:space="preserve">מדינת ישראל </w:t>
            </w:r>
            <w:r w:rsidRPr="00F54754">
              <w:rPr>
                <w:rtl/>
              </w:rPr>
              <w:t xml:space="preserve">וליישם </w:t>
            </w:r>
            <w:r>
              <w:rPr>
                <w:rFonts w:hint="cs"/>
                <w:rtl/>
              </w:rPr>
              <w:t xml:space="preserve">את </w:t>
            </w:r>
            <w:r w:rsidRPr="00F54754">
              <w:rPr>
                <w:rtl/>
              </w:rPr>
              <w:t>חוק-יסוד: ירושלים בירת ישראל</w:t>
            </w:r>
            <w:r>
              <w:rPr>
                <w:rFonts w:hint="cs"/>
                <w:rtl/>
              </w:rPr>
              <w:t>,</w:t>
            </w:r>
            <w:r w:rsidRPr="00F54754">
              <w:rPr>
                <w:rtl/>
              </w:rPr>
              <w:t xml:space="preserve"> על יד</w:t>
            </w:r>
            <w:r w:rsidRPr="00F54754">
              <w:rPr>
                <w:rFonts w:hint="cs"/>
                <w:rtl/>
              </w:rPr>
              <w:t>י</w:t>
            </w:r>
            <w:r w:rsidRPr="00F54754">
              <w:rPr>
                <w:rtl/>
              </w:rPr>
              <w:t xml:space="preserve"> מניעת כל פעילות של סוכנות הסעד והתעסוקה של האו"ם לפליטי פלסטין במזרח הקרוב (</w:t>
            </w:r>
            <w:r>
              <w:rPr>
                <w:rFonts w:hint="cs"/>
                <w:rtl/>
              </w:rPr>
              <w:t xml:space="preserve">להלן </w:t>
            </w:r>
            <w:r>
              <w:rPr>
                <w:rFonts w:hint="eastAsia"/>
                <w:rtl/>
              </w:rPr>
              <w:t>–</w:t>
            </w:r>
            <w:r>
              <w:rPr>
                <w:rFonts w:hint="cs"/>
                <w:rtl/>
              </w:rPr>
              <w:t xml:space="preserve"> </w:t>
            </w:r>
            <w:r w:rsidRPr="00F54754">
              <w:rPr>
                <w:rtl/>
              </w:rPr>
              <w:t>אונר"א) ב</w:t>
            </w:r>
            <w:r>
              <w:rPr>
                <w:rFonts w:hint="cs"/>
                <w:rtl/>
              </w:rPr>
              <w:t xml:space="preserve">שטח מדינת </w:t>
            </w:r>
            <w:r w:rsidRPr="00F54754">
              <w:rPr>
                <w:rtl/>
              </w:rPr>
              <w:t>ישראל</w:t>
            </w:r>
            <w:r>
              <w:rPr>
                <w:rFonts w:hint="cs"/>
                <w:rtl/>
              </w:rPr>
              <w:t>.</w:t>
            </w:r>
          </w:p>
        </w:tc>
      </w:tr>
      <w:tr w:rsidR="00DC389D" w14:paraId="638C67D6" w14:textId="77777777" w:rsidTr="00D23411">
        <w:trPr>
          <w:cantSplit/>
        </w:trPr>
        <w:tc>
          <w:tcPr>
            <w:tcW w:w="1871" w:type="dxa"/>
          </w:tcPr>
          <w:p w14:paraId="2F90B2EF" w14:textId="77777777" w:rsidR="00DC389D" w:rsidRPr="00F54754" w:rsidRDefault="00DC389D" w:rsidP="006C5B27">
            <w:pPr>
              <w:pStyle w:val="TableSideHeading"/>
              <w:keepLines w:val="0"/>
              <w:rPr>
                <w:rtl/>
              </w:rPr>
            </w:pPr>
            <w:r>
              <w:rPr>
                <w:rFonts w:hint="cs"/>
                <w:rtl/>
              </w:rPr>
              <w:t>איסור פעילות בשטחי מדינת ישראל</w:t>
            </w:r>
          </w:p>
        </w:tc>
        <w:tc>
          <w:tcPr>
            <w:tcW w:w="624" w:type="dxa"/>
          </w:tcPr>
          <w:p w14:paraId="5D2D3F15" w14:textId="590800A1" w:rsidR="00DC389D" w:rsidRDefault="00E23303" w:rsidP="00E23303">
            <w:pPr>
              <w:pStyle w:val="TableText"/>
              <w:keepLines w:val="0"/>
              <w:tabs>
                <w:tab w:val="clear" w:pos="624"/>
              </w:tabs>
            </w:pPr>
            <w:r>
              <w:rPr>
                <w:rFonts w:hint="cs"/>
                <w:rtl/>
              </w:rPr>
              <w:t>2.</w:t>
            </w:r>
          </w:p>
        </w:tc>
        <w:tc>
          <w:tcPr>
            <w:tcW w:w="7143" w:type="dxa"/>
          </w:tcPr>
          <w:p w14:paraId="2BD9F4AD" w14:textId="77777777" w:rsidR="00DC389D" w:rsidRPr="00C475A1" w:rsidRDefault="00DC389D" w:rsidP="00D23411">
            <w:pPr>
              <w:pStyle w:val="TableBlock"/>
              <w:rPr>
                <w:rtl/>
              </w:rPr>
            </w:pPr>
            <w:r w:rsidRPr="00C475A1">
              <w:rPr>
                <w:rtl/>
              </w:rPr>
              <w:t xml:space="preserve">אונר"א </w:t>
            </w:r>
            <w:r>
              <w:rPr>
                <w:rFonts w:hint="cs"/>
                <w:rtl/>
              </w:rPr>
              <w:t>לא תפעיל</w:t>
            </w:r>
            <w:r w:rsidRPr="00C475A1">
              <w:rPr>
                <w:rtl/>
              </w:rPr>
              <w:t xml:space="preserve"> כל נציגות, </w:t>
            </w:r>
            <w:r>
              <w:rPr>
                <w:rFonts w:hint="cs"/>
                <w:rtl/>
              </w:rPr>
              <w:t>לא ת</w:t>
            </w:r>
            <w:r w:rsidRPr="00C475A1">
              <w:rPr>
                <w:rtl/>
              </w:rPr>
              <w:t>ספק כל שירות ול</w:t>
            </w:r>
            <w:r>
              <w:rPr>
                <w:rFonts w:hint="cs"/>
                <w:rtl/>
              </w:rPr>
              <w:t>א ת</w:t>
            </w:r>
            <w:r w:rsidRPr="00C475A1">
              <w:rPr>
                <w:rtl/>
              </w:rPr>
              <w:t>קיים כל פעילות</w:t>
            </w:r>
            <w:r>
              <w:rPr>
                <w:rFonts w:hint="cs"/>
                <w:rtl/>
              </w:rPr>
              <w:t xml:space="preserve">, </w:t>
            </w:r>
            <w:r w:rsidRPr="00C475A1">
              <w:rPr>
                <w:rtl/>
              </w:rPr>
              <w:t>ב</w:t>
            </w:r>
            <w:r>
              <w:rPr>
                <w:rFonts w:hint="cs"/>
                <w:rtl/>
              </w:rPr>
              <w:t xml:space="preserve">ין  במישרין ובין בעקיפין, בשטחה הריבוני של מדינת </w:t>
            </w:r>
            <w:r w:rsidRPr="00C475A1">
              <w:rPr>
                <w:rtl/>
              </w:rPr>
              <w:t>ישראל</w:t>
            </w:r>
            <w:r w:rsidRPr="00C4756B">
              <w:rPr>
                <w:rFonts w:asciiTheme="majorBidi" w:hAnsiTheme="majorBidi"/>
                <w:sz w:val="24"/>
                <w:szCs w:val="24"/>
                <w:rtl/>
              </w:rPr>
              <w:t>.</w:t>
            </w:r>
          </w:p>
        </w:tc>
      </w:tr>
      <w:tr w:rsidR="00DC389D" w14:paraId="1704405E" w14:textId="77777777" w:rsidTr="00D23411">
        <w:trPr>
          <w:cantSplit/>
        </w:trPr>
        <w:tc>
          <w:tcPr>
            <w:tcW w:w="1871" w:type="dxa"/>
          </w:tcPr>
          <w:p w14:paraId="1C787887" w14:textId="77777777" w:rsidR="00DC389D" w:rsidRPr="00F54754" w:rsidRDefault="00DC389D" w:rsidP="006C5B27">
            <w:pPr>
              <w:pStyle w:val="TableSideHeading"/>
              <w:keepLines w:val="0"/>
              <w:rPr>
                <w:rtl/>
              </w:rPr>
            </w:pPr>
            <w:r>
              <w:rPr>
                <w:rFonts w:hint="cs"/>
                <w:rtl/>
              </w:rPr>
              <w:t>אכיפה</w:t>
            </w:r>
          </w:p>
        </w:tc>
        <w:tc>
          <w:tcPr>
            <w:tcW w:w="624" w:type="dxa"/>
          </w:tcPr>
          <w:p w14:paraId="54B48937" w14:textId="44FD4DE7" w:rsidR="00DC389D" w:rsidRDefault="00E23303" w:rsidP="00E23303">
            <w:pPr>
              <w:pStyle w:val="TableText"/>
              <w:keepLines w:val="0"/>
              <w:tabs>
                <w:tab w:val="clear" w:pos="624"/>
              </w:tabs>
            </w:pPr>
            <w:r>
              <w:rPr>
                <w:rFonts w:hint="cs"/>
                <w:rtl/>
              </w:rPr>
              <w:t>3.</w:t>
            </w:r>
          </w:p>
        </w:tc>
        <w:tc>
          <w:tcPr>
            <w:tcW w:w="7143" w:type="dxa"/>
          </w:tcPr>
          <w:p w14:paraId="2D00E956" w14:textId="77777777" w:rsidR="00DC389D" w:rsidRPr="00F54754" w:rsidRDefault="00DC389D" w:rsidP="00D23411">
            <w:pPr>
              <w:pStyle w:val="TableBlock"/>
              <w:rPr>
                <w:rtl/>
              </w:rPr>
            </w:pPr>
            <w:r>
              <w:rPr>
                <w:rFonts w:hint="cs"/>
                <w:rtl/>
              </w:rPr>
              <w:t>הפרה</w:t>
            </w:r>
            <w:r w:rsidRPr="00F54754">
              <w:rPr>
                <w:rtl/>
              </w:rPr>
              <w:t xml:space="preserve"> אונר"א </w:t>
            </w:r>
            <w:r>
              <w:rPr>
                <w:rFonts w:hint="cs"/>
                <w:rtl/>
              </w:rPr>
              <w:t xml:space="preserve">את </w:t>
            </w:r>
            <w:r w:rsidRPr="00F54754">
              <w:rPr>
                <w:rtl/>
              </w:rPr>
              <w:t>הוראות סעיף 2</w:t>
            </w:r>
            <w:r>
              <w:rPr>
                <w:rFonts w:hint="cs"/>
                <w:rtl/>
              </w:rPr>
              <w:t>,</w:t>
            </w:r>
            <w:r w:rsidRPr="00F54754">
              <w:rPr>
                <w:rtl/>
              </w:rPr>
              <w:t xml:space="preserve"> תפעל משטרת ישראל למנוע את הפעילות ובכלל זה תורה על סגירה של כל מקום בו מתקיימת הפעילות או שממנו פועלת הנציגות.</w:t>
            </w:r>
          </w:p>
        </w:tc>
      </w:tr>
      <w:tr w:rsidR="00DC389D" w:rsidRPr="00593D3E" w14:paraId="4CC440CB" w14:textId="77777777" w:rsidTr="00D23411">
        <w:trPr>
          <w:cantSplit/>
        </w:trPr>
        <w:tc>
          <w:tcPr>
            <w:tcW w:w="1871" w:type="dxa"/>
          </w:tcPr>
          <w:p w14:paraId="19260B80" w14:textId="77777777" w:rsidR="00DC389D" w:rsidRDefault="00DC389D" w:rsidP="006C5B27">
            <w:pPr>
              <w:pStyle w:val="TableSideHeading"/>
              <w:keepLines w:val="0"/>
              <w:rPr>
                <w:rtl/>
              </w:rPr>
            </w:pPr>
            <w:r>
              <w:rPr>
                <w:rFonts w:hint="cs"/>
                <w:rtl/>
              </w:rPr>
              <w:t>תחילה</w:t>
            </w:r>
          </w:p>
        </w:tc>
        <w:tc>
          <w:tcPr>
            <w:tcW w:w="624" w:type="dxa"/>
          </w:tcPr>
          <w:p w14:paraId="6393ED90" w14:textId="258D8281" w:rsidR="00DC389D" w:rsidRDefault="00E23303" w:rsidP="00E23303">
            <w:pPr>
              <w:pStyle w:val="TableText"/>
              <w:keepLines w:val="0"/>
              <w:tabs>
                <w:tab w:val="clear" w:pos="624"/>
              </w:tabs>
            </w:pPr>
            <w:r>
              <w:rPr>
                <w:rFonts w:hint="cs"/>
                <w:rtl/>
              </w:rPr>
              <w:t>4.</w:t>
            </w:r>
          </w:p>
        </w:tc>
        <w:tc>
          <w:tcPr>
            <w:tcW w:w="7143" w:type="dxa"/>
          </w:tcPr>
          <w:p w14:paraId="3D0D92C4" w14:textId="530F805E" w:rsidR="00DC389D" w:rsidRPr="00593D3E" w:rsidRDefault="00DC389D" w:rsidP="00D23411">
            <w:pPr>
              <w:pStyle w:val="TableBlock"/>
              <w:rPr>
                <w:highlight w:val="yellow"/>
                <w:rtl/>
              </w:rPr>
            </w:pPr>
            <w:r w:rsidRPr="00FE7A31">
              <w:rPr>
                <w:rtl/>
              </w:rPr>
              <w:t xml:space="preserve">תחילתו של חוק זה </w:t>
            </w:r>
            <w:r w:rsidR="00FE7A31" w:rsidRPr="00FE7A31">
              <w:rPr>
                <w:rFonts w:hint="cs"/>
                <w:rtl/>
              </w:rPr>
              <w:t>שישה חודשים מיום פרסומו.</w:t>
            </w:r>
          </w:p>
        </w:tc>
      </w:tr>
    </w:tbl>
    <w:p w14:paraId="7F6961CA" w14:textId="77777777" w:rsidR="002D1EE3" w:rsidRDefault="002D1EE3" w:rsidP="002D1EE3">
      <w:pPr>
        <w:pStyle w:val="HeadDivreiHesber"/>
        <w:rPr>
          <w:rtl/>
        </w:rPr>
      </w:pPr>
      <w:r w:rsidRPr="0027450A">
        <w:rPr>
          <w:rFonts w:hint="cs"/>
          <w:rtl/>
        </w:rPr>
        <w:t>דברי הסבר</w:t>
      </w:r>
    </w:p>
    <w:p w14:paraId="548DB973" w14:textId="77777777" w:rsidR="00DC389D" w:rsidRDefault="00DC389D" w:rsidP="00D23411">
      <w:pPr>
        <w:pStyle w:val="Hesber"/>
        <w:spacing w:line="276" w:lineRule="auto"/>
        <w:rPr>
          <w:rtl/>
        </w:rPr>
      </w:pPr>
      <w:r>
        <w:rPr>
          <w:rtl/>
        </w:rPr>
        <w:t>בשנת 1949 הוקמה סוכנות הסעד והתעסוקה של האו"ם לפליטי פלסטין במזרח הקרוב (להלן – אונר"א), על מנת לספק פתרון לבעיית הפליטים הפלסטינים. אונר"א נועדה להיות סוכנות סעד זמנית שאמורה לסיים את פעילותה עד לשנת 1952, אך היא ממשיכה לפעול מכוח מנדט שניתן לה על ידי האו"ם ואשר מתחדש מדי 3 שנים. מדינת ישראל הסכימה לאחר מלחמת ששת הימים לאפשר לאונר"א  לפעול בשטחי הגדה המערבית, רצועת עזה ומזרח ירושלים. זאת, על אף שהחילה את החוק הישראלי על מזרח ירושלים.</w:t>
      </w:r>
    </w:p>
    <w:p w14:paraId="5C1050D6" w14:textId="77777777" w:rsidR="00DC389D" w:rsidRDefault="00DC389D" w:rsidP="00D23411">
      <w:pPr>
        <w:pStyle w:val="Hesber"/>
        <w:spacing w:line="276" w:lineRule="auto"/>
        <w:rPr>
          <w:rtl/>
        </w:rPr>
      </w:pPr>
      <w:r>
        <w:rPr>
          <w:rtl/>
        </w:rPr>
        <w:t>מטרתה של הצעת חוק זו הינה להפסיק את פעילותה של אונר"א בתוך שטח מדינת ישראל החל מיום כ"ז בכסלו התשפ"ב  (1 בדצמבר 2021), לרבות במוסדות החינוך.</w:t>
      </w:r>
    </w:p>
    <w:p w14:paraId="78F9F655" w14:textId="4881BADF" w:rsidR="00DC389D" w:rsidRDefault="00DC389D" w:rsidP="00D23411">
      <w:pPr>
        <w:pStyle w:val="Hesber"/>
        <w:spacing w:line="276" w:lineRule="auto"/>
        <w:rPr>
          <w:rtl/>
        </w:rPr>
      </w:pPr>
      <w:r>
        <w:rPr>
          <w:rtl/>
        </w:rPr>
        <w:t>בשנים האחרונות התושבים הערבים במזרח ירושלים מעדיפים לצרוך את השירותים העירוניים על פני השירותים הנחותים שמספקת אונר"א, כך שכיום אונר"א מעניקה שירותים לפחות מ-2% מהתושבים הערבים בירושלים. בתחום החינוך מופעלים ללא פיקוח מספר בתי ספר המונים כ-1,800 תלמידים בלבד (מתוך כ</w:t>
      </w:r>
      <w:r w:rsidR="00D23411">
        <w:rPr>
          <w:rFonts w:hint="cs"/>
          <w:rtl/>
        </w:rPr>
        <w:t>-</w:t>
      </w:r>
      <w:r>
        <w:rPr>
          <w:rtl/>
        </w:rPr>
        <w:t xml:space="preserve">110,000 תלמידים במזרח העיר סך הכול). בתחום הבריאות אונר"א מפעילה רק שתי מרפאות הפועלות ללא רישיון ופיקוח של משרד הבריאות. בתחום התברואה ניתנים שירותי ניקיון ופינוי אשפה ברמה ירודה ובמקומות שבהם העירייה ממילא מספקת שירותים. </w:t>
      </w:r>
    </w:p>
    <w:p w14:paraId="286C1DDB" w14:textId="77777777" w:rsidR="00DC389D" w:rsidRDefault="00DC389D" w:rsidP="00D23411">
      <w:pPr>
        <w:pStyle w:val="Hesber"/>
        <w:spacing w:line="276" w:lineRule="auto"/>
        <w:rPr>
          <w:rtl/>
        </w:rPr>
      </w:pPr>
      <w:r>
        <w:rPr>
          <w:rtl/>
        </w:rPr>
        <w:lastRenderedPageBreak/>
        <w:t xml:space="preserve">בשנת 2018 החליט נשיא ארה"ב דאז, דונלד טראמפ, להפסיק את המימון השנתי שמעבירה ארצות הברית אונר"א. עיריית ירושלים בראשות ראש העיר דאז, ניר ברקת, הכינה תכנית, בגיבוי ממשלת ישראל, להספקת כל השירותים העירוניים שאונר"א העניקה ובכך ייתרה לחלוטין את הצורך בפעילותה בירושלים. יישום חוק זה הינו החוליה האחרונה בשרשרת שתסתום את הגולל על פעילותה של אונר"א בישראל באופן סופי ומוחלט.  </w:t>
      </w:r>
    </w:p>
    <w:p w14:paraId="56C22184" w14:textId="77777777" w:rsidR="00DC389D" w:rsidRDefault="00DC389D" w:rsidP="00D23411">
      <w:pPr>
        <w:pStyle w:val="Hesber"/>
        <w:spacing w:line="276" w:lineRule="auto"/>
        <w:rPr>
          <w:rtl/>
        </w:rPr>
      </w:pPr>
      <w:r>
        <w:rPr>
          <w:rtl/>
        </w:rPr>
        <w:t>תפקידה של אונר"א הינו טיפול בפליטים פלסטינים בלבד ומכאן שאין מקום לכך שתעניק שירותים כלשהם בשטח מדינת ישראל, בה אין פליטים פלסטינים אלא תושבי המדינה המקבלים שירותים ממוסדות ממוסדותיה השונים. ודוק: המדובר בתושבים הזכאים לקבלת קצבאות מהביטוח הלאומי ולשירותים ציבוריים כגון: שירותי רפואה, חינוך, רווחה, ניקיון וכדומה. יוער, כי גם לשיטת האו"ם לא מדובר בפליטים העונים להגדרה הקבועה באמנה בדבר מעמדם של פליטים אלא בהמצאה שנולדה בחטא וראוי שתעלם מהעולם.</w:t>
      </w:r>
    </w:p>
    <w:p w14:paraId="708C9F50" w14:textId="77777777" w:rsidR="00DC389D" w:rsidRDefault="00DC389D" w:rsidP="00D23411">
      <w:pPr>
        <w:pStyle w:val="Hesber"/>
        <w:spacing w:line="276" w:lineRule="auto"/>
        <w:rPr>
          <w:rtl/>
        </w:rPr>
      </w:pPr>
      <w:r>
        <w:rPr>
          <w:rtl/>
        </w:rPr>
        <w:t>אונר"א משמשת במה להסתה וחינוך לשנאת ישראל ופגיעה בתושביה היהודים. בבתי הספר שהיא מפעילה בירושלים נלמדים תכנים אנטישמים ובספרי הלימוד מפארים מחבלים שרצחו ילדים ונשים. מוסדותיה של אונר"א משמשים "קרקע פורה" לביצוע פעולות והסתה כנגד מדינת ישראל. כך למשל בהתאם לדו"ח ועדת חקירה של האו"ם בשנת 2015, לאחר מבצע צוק איתן, נתגלה כי מוסדותיה של אונר"א בעזה שימשו את ארגוני הטרור לאחסון ולירי טילים על ישראל.</w:t>
      </w:r>
    </w:p>
    <w:p w14:paraId="5DC8C283" w14:textId="77777777" w:rsidR="00DC389D" w:rsidRDefault="00DC389D" w:rsidP="00D23411">
      <w:pPr>
        <w:pStyle w:val="Hesber"/>
        <w:spacing w:line="276" w:lineRule="auto"/>
        <w:rPr>
          <w:rtl/>
        </w:rPr>
      </w:pPr>
      <w:r>
        <w:rPr>
          <w:rtl/>
        </w:rPr>
        <w:t xml:space="preserve">בהתאם לדוחות שהוכנו על ידי האו"ם ואונר"א עצמה נמצא כי אונר"א הינה גוף מושחת, לא יעיל ורצוף באי סדרים ניהוליים אשר נכשל לחלוטין במתן שירותים לתושבים הערבים. השירותים הבודדים אותם מספקת אונר"א בשטח ישראל הינם ברמה ירודה, ואף התושבים המעטים שצורכים אותם מתלוננים על כך. </w:t>
      </w:r>
    </w:p>
    <w:p w14:paraId="79DAFE91" w14:textId="77777777" w:rsidR="00DC389D" w:rsidRDefault="00DC389D" w:rsidP="00D23411">
      <w:pPr>
        <w:pStyle w:val="Hesber"/>
        <w:spacing w:line="276" w:lineRule="auto"/>
        <w:rPr>
          <w:rtl/>
        </w:rPr>
      </w:pPr>
      <w:r>
        <w:rPr>
          <w:rtl/>
        </w:rPr>
        <w:t>פעילותה של אונר"א אינה נחוצה גם בשטחים שבריבונות פלסטינית, וראוי ונכון שהרשות הפלסטינית תיקח אחריות על תושביה ולא תסתתר מאחורי ארגון מושחת שמספק לתושביה שירותים ברמה ירודה ומקבע את תחושת הקורבנות בתוך העם הפלסטיני. המשך קיומו של ארגון זה בשטח מדינת ישראל מרחיק את אזורנו מכל תקווה לדו קיום וביתר שאת פוגע במרקם החיים בקרב תושבי ירושלים.</w:t>
      </w:r>
    </w:p>
    <w:p w14:paraId="7F6961CB" w14:textId="0A10CA87" w:rsidR="00E13C27" w:rsidRDefault="00DC389D" w:rsidP="00D23411">
      <w:pPr>
        <w:pStyle w:val="Hesber"/>
        <w:spacing w:line="276" w:lineRule="auto"/>
        <w:rPr>
          <w:rtl/>
        </w:rPr>
      </w:pPr>
      <w:r>
        <w:rPr>
          <w:rtl/>
        </w:rPr>
        <w:t>הצעת חוק זו באה בעקבות החלטת העצרת הכללית באו"ם מיום י"ז חשוון התש"ף (15 בנובמבר 2019) במסגרתה הוחלט על הארכת המנדט לאונר"א.</w:t>
      </w:r>
    </w:p>
    <w:p w14:paraId="33EAEAA3" w14:textId="77777777" w:rsidR="00D23411" w:rsidRDefault="00DC389D" w:rsidP="00D23411">
      <w:pPr>
        <w:pStyle w:val="Hesber"/>
        <w:spacing w:line="276" w:lineRule="auto"/>
        <w:rPr>
          <w:rtl/>
        </w:rPr>
      </w:pPr>
      <w:r w:rsidRPr="00DC389D">
        <w:rPr>
          <w:rtl/>
        </w:rPr>
        <w:t>הצעת חוק זהה הונחה על שולחן הכנסת העשרים וארבע על ידי חבר הכנסת</w:t>
      </w:r>
      <w:r>
        <w:rPr>
          <w:rFonts w:hint="cs"/>
          <w:rtl/>
        </w:rPr>
        <w:t xml:space="preserve"> ניר ברקת</w:t>
      </w:r>
      <w:r w:rsidRPr="00DC389D">
        <w:rPr>
          <w:rtl/>
        </w:rPr>
        <w:t xml:space="preserve"> וקבוצת חברי הכנסת (פ/</w:t>
      </w:r>
      <w:r>
        <w:rPr>
          <w:rFonts w:hint="cs"/>
          <w:rtl/>
        </w:rPr>
        <w:t>2240</w:t>
      </w:r>
      <w:r w:rsidRPr="00DC389D">
        <w:rPr>
          <w:rtl/>
        </w:rPr>
        <w:t>/24).</w:t>
      </w:r>
      <w:r w:rsidR="005C1A60">
        <w:rPr>
          <w:rFonts w:hint="cs"/>
          <w:rtl/>
        </w:rPr>
        <w:t xml:space="preserve"> </w:t>
      </w:r>
    </w:p>
    <w:p w14:paraId="3A81EFD7" w14:textId="56382FBA" w:rsidR="00DC389D" w:rsidRDefault="005C1A60" w:rsidP="00D23411">
      <w:pPr>
        <w:pStyle w:val="Hesber"/>
        <w:spacing w:line="276" w:lineRule="auto"/>
        <w:rPr>
          <w:rtl/>
        </w:rPr>
      </w:pPr>
      <w:r>
        <w:rPr>
          <w:rFonts w:hint="cs"/>
          <w:rtl/>
        </w:rPr>
        <w:t>הצעת החוק זהה לפ/2240/24 ולפיכך לא נבדקה מחדש על ידי הלשכה המשפטית של הכנסת.</w:t>
      </w:r>
    </w:p>
    <w:p w14:paraId="239D8898" w14:textId="77777777" w:rsidR="00D23411" w:rsidRDefault="00D23411" w:rsidP="00D23411">
      <w:pPr>
        <w:spacing w:line="276" w:lineRule="auto"/>
        <w:jc w:val="left"/>
        <w:rPr>
          <w:rFonts w:eastAsia="David"/>
          <w:sz w:val="26"/>
          <w:szCs w:val="26"/>
          <w:rtl/>
        </w:rPr>
      </w:pPr>
      <w:bookmarkStart w:id="8" w:name="selectedDocDateB"/>
      <w:bookmarkEnd w:id="8"/>
    </w:p>
    <w:p w14:paraId="00A5711B" w14:textId="77777777" w:rsidR="006F32A0" w:rsidRDefault="00D23411" w:rsidP="00D23411">
      <w:pPr>
        <w:spacing w:line="276" w:lineRule="auto"/>
        <w:jc w:val="left"/>
      </w:pPr>
      <w:bookmarkStart w:id="9" w:name="_GoBack"/>
      <w:bookmarkEnd w:id="9"/>
      <w:r>
        <w:rPr>
          <w:rFonts w:eastAsia="David" w:hint="cs"/>
          <w:sz w:val="26"/>
          <w:szCs w:val="26"/>
          <w:rtl/>
        </w:rPr>
        <w:t>--------------------------------</w:t>
      </w:r>
    </w:p>
    <w:p w14:paraId="65F0CB62" w14:textId="77777777" w:rsidR="006F32A0" w:rsidRDefault="00D23411" w:rsidP="00D23411">
      <w:pPr>
        <w:spacing w:line="276" w:lineRule="auto"/>
        <w:jc w:val="left"/>
      </w:pPr>
      <w:r>
        <w:rPr>
          <w:rFonts w:eastAsia="David" w:hint="cs"/>
          <w:sz w:val="26"/>
          <w:szCs w:val="26"/>
          <w:rtl/>
        </w:rPr>
        <w:t>הוגשה ליו"ר הכנסת והסגנים</w:t>
      </w:r>
    </w:p>
    <w:p w14:paraId="61B75FBE" w14:textId="77777777" w:rsidR="006F32A0" w:rsidRDefault="00D23411" w:rsidP="00D23411">
      <w:pPr>
        <w:spacing w:line="276" w:lineRule="auto"/>
        <w:jc w:val="left"/>
      </w:pPr>
      <w:r>
        <w:rPr>
          <w:rFonts w:eastAsia="David" w:hint="cs"/>
          <w:sz w:val="26"/>
          <w:szCs w:val="26"/>
          <w:rtl/>
        </w:rPr>
        <w:t>והונחה על שולחן הכנסת ביום</w:t>
      </w:r>
    </w:p>
    <w:p w14:paraId="52E0EBF7" w14:textId="77777777" w:rsidR="006F32A0" w:rsidRDefault="00D23411" w:rsidP="00D23411">
      <w:pPr>
        <w:spacing w:line="276" w:lineRule="auto"/>
        <w:jc w:val="left"/>
      </w:pPr>
      <w:r>
        <w:rPr>
          <w:rFonts w:eastAsia="David" w:hint="cs"/>
          <w:sz w:val="26"/>
          <w:szCs w:val="26"/>
          <w:rtl/>
        </w:rPr>
        <w:t xml:space="preserve">כ"ה בכסלו התשפ"ג (19.12.2022) </w:t>
      </w:r>
    </w:p>
    <w:p w14:paraId="7364E4AB" w14:textId="77777777" w:rsidR="006F32A0" w:rsidRDefault="006F32A0">
      <w:pPr>
        <w:spacing w:line="276" w:lineRule="auto"/>
        <w:jc w:val="left"/>
      </w:pPr>
    </w:p>
    <w:sectPr w:rsidR="006F32A0" w:rsidSect="00D23411">
      <w:footerReference w:type="even" r:id="rId11"/>
      <w:footerReference w:type="default" r:id="rId12"/>
      <w:pgSz w:w="11907" w:h="16840" w:code="9"/>
      <w:pgMar w:top="1701" w:right="1134" w:bottom="1417" w:left="1134" w:header="680" w:footer="680" w:gutter="0"/>
      <w:cols w:space="720"/>
      <w:noEndnote/>
      <w:titlePg/>
      <w:bidi/>
      <w:rtlGutter/>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end"/>
    </w:r>
  </w:p>
  <w:p w14:paraId="7F6961D6" w14:textId="77777777" w:rsidR="002C3041" w:rsidRDefault="002C304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0722F4DA"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separate"/>
    </w:r>
    <w:r w:rsidR="00D23411">
      <w:rPr>
        <w:rStyle w:val="aa"/>
        <w:noProof/>
        <w:rtl/>
      </w:rPr>
      <w:t>2</w:t>
    </w:r>
    <w:r>
      <w:rPr>
        <w:rStyle w:val="aa"/>
        <w:rtl/>
      </w:rPr>
      <w:fldChar w:fldCharType="end"/>
    </w:r>
  </w:p>
  <w:p w14:paraId="7F6961D8" w14:textId="77777777" w:rsidR="002C3041" w:rsidRDefault="002C304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49435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A2E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E00D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D24B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168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CA2E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EA33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8CFF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38A5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B852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B3B28B0"/>
    <w:multiLevelType w:val="hybridMultilevel"/>
    <w:tmpl w:val="41ACEA96"/>
    <w:lvl w:ilvl="0" w:tplc="06A8C010">
      <w:start w:val="1"/>
      <w:numFmt w:val="decimal"/>
      <w:pStyle w:val="TOC3"/>
      <w:lvlText w:val="%1."/>
      <w:lvlJc w:val="left"/>
      <w:pPr>
        <w:ind w:left="1287" w:hanging="360"/>
      </w:pPr>
      <w:rPr>
        <w:rFonts w:cs="David" w:hint="default"/>
        <w:bCs w:val="0"/>
        <w:iCs w:val="0"/>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1"/>
  </w:num>
  <w:num w:numId="14">
    <w:abstractNumId w:val="16"/>
  </w:num>
  <w:num w:numId="15">
    <w:abstractNumId w:val="13"/>
  </w:num>
  <w:num w:numId="16">
    <w:abstractNumId w:val="13"/>
    <w:lvlOverride w:ilvl="0">
      <w:startOverride w:val="1"/>
    </w:lvlOverride>
  </w:num>
  <w:num w:numId="17">
    <w:abstractNumId w:val="10"/>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B064E"/>
    <w:rsid w:val="005C1A60"/>
    <w:rsid w:val="005D51AE"/>
    <w:rsid w:val="0062674B"/>
    <w:rsid w:val="006363B2"/>
    <w:rsid w:val="00644940"/>
    <w:rsid w:val="006818A9"/>
    <w:rsid w:val="006A2D81"/>
    <w:rsid w:val="006C1D0D"/>
    <w:rsid w:val="006F32A0"/>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733A7"/>
    <w:rsid w:val="00B75C91"/>
    <w:rsid w:val="00B975AD"/>
    <w:rsid w:val="00BC45FB"/>
    <w:rsid w:val="00BF148D"/>
    <w:rsid w:val="00C23B1A"/>
    <w:rsid w:val="00C310EB"/>
    <w:rsid w:val="00C9176A"/>
    <w:rsid w:val="00CF1AA2"/>
    <w:rsid w:val="00D142D3"/>
    <w:rsid w:val="00D17774"/>
    <w:rsid w:val="00D23411"/>
    <w:rsid w:val="00D63620"/>
    <w:rsid w:val="00D8410D"/>
    <w:rsid w:val="00D867D7"/>
    <w:rsid w:val="00DB7060"/>
    <w:rsid w:val="00DC389D"/>
    <w:rsid w:val="00DE3153"/>
    <w:rsid w:val="00E06736"/>
    <w:rsid w:val="00E13C27"/>
    <w:rsid w:val="00E23303"/>
    <w:rsid w:val="00E33BBD"/>
    <w:rsid w:val="00E374F2"/>
    <w:rsid w:val="00E45103"/>
    <w:rsid w:val="00E55A60"/>
    <w:rsid w:val="00E62778"/>
    <w:rsid w:val="00E635A2"/>
    <w:rsid w:val="00E63D38"/>
    <w:rsid w:val="00E665B9"/>
    <w:rsid w:val="00EA01E6"/>
    <w:rsid w:val="00EA3DE8"/>
    <w:rsid w:val="00EA758F"/>
    <w:rsid w:val="00ED4A6F"/>
    <w:rsid w:val="00EF3A3A"/>
    <w:rsid w:val="00F628D6"/>
    <w:rsid w:val="00F67051"/>
    <w:rsid w:val="00F86A1E"/>
    <w:rsid w:val="00FA5E88"/>
    <w:rsid w:val="00FE7A3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8B47C76E-7B09-46F8-AF93-DB173E74E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3411"/>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D23411"/>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D23411"/>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D23411"/>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D23411"/>
    <w:pPr>
      <w:numPr>
        <w:numId w:val="18"/>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D23411"/>
    <w:pPr>
      <w:spacing w:line="259" w:lineRule="auto"/>
      <w:outlineLvl w:val="4"/>
    </w:pPr>
    <w:rPr>
      <w:color w:val="000000" w:themeColor="text1"/>
    </w:rPr>
  </w:style>
  <w:style w:type="character" w:default="1" w:styleId="a0">
    <w:name w:val="Default Paragraph Font"/>
    <w:uiPriority w:val="1"/>
    <w:semiHidden/>
    <w:unhideWhenUsed/>
    <w:rsid w:val="00D23411"/>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D23411"/>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D23411"/>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D23411"/>
    <w:rPr>
      <w:sz w:val="36"/>
      <w:szCs w:val="52"/>
    </w:rPr>
  </w:style>
  <w:style w:type="paragraph" w:customStyle="1" w:styleId="Cover3-Haknesset">
    <w:name w:val="Cover 3-Haknesset"/>
    <w:basedOn w:val="Cover1-Reshumot"/>
    <w:rsid w:val="00D23411"/>
    <w:rPr>
      <w:b/>
      <w:bCs/>
      <w:spacing w:val="60"/>
    </w:rPr>
  </w:style>
  <w:style w:type="paragraph" w:customStyle="1" w:styleId="Cover4-Date">
    <w:name w:val="Cover 4-Date"/>
    <w:basedOn w:val="a"/>
    <w:rsid w:val="00D23411"/>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D23411"/>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a"/>
    <w:rsid w:val="00D23411"/>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D23411"/>
    <w:pPr>
      <w:spacing w:before="120" w:after="120"/>
    </w:pPr>
    <w:rPr>
      <w:color w:val="FF0000"/>
      <w:w w:val="80"/>
    </w:rPr>
  </w:style>
  <w:style w:type="paragraph" w:styleId="a3">
    <w:name w:val="endnote text"/>
    <w:basedOn w:val="a"/>
    <w:semiHidden/>
    <w:rsid w:val="00D23411"/>
    <w:pPr>
      <w:ind w:left="227" w:hanging="227"/>
    </w:pPr>
    <w:rPr>
      <w:sz w:val="14"/>
      <w:szCs w:val="22"/>
    </w:rPr>
  </w:style>
  <w:style w:type="paragraph" w:customStyle="1" w:styleId="TableText">
    <w:name w:val="Table Text"/>
    <w:basedOn w:val="a"/>
    <w:rsid w:val="00D23411"/>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rsid w:val="00D23411"/>
    <w:pPr>
      <w:outlineLvl w:val="2"/>
    </w:pPr>
  </w:style>
  <w:style w:type="paragraph" w:customStyle="1" w:styleId="TableBlock">
    <w:name w:val="Table Block"/>
    <w:basedOn w:val="TableText"/>
    <w:rsid w:val="00D23411"/>
    <w:pPr>
      <w:jc w:val="both"/>
    </w:pPr>
  </w:style>
  <w:style w:type="paragraph" w:customStyle="1" w:styleId="TableHead">
    <w:name w:val="Table Head"/>
    <w:basedOn w:val="TableText"/>
    <w:rsid w:val="00D23411"/>
    <w:pPr>
      <w:jc w:val="center"/>
      <w:outlineLvl w:val="1"/>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D23411"/>
    <w:pPr>
      <w:outlineLvl w:val="9"/>
    </w:pPr>
  </w:style>
  <w:style w:type="paragraph" w:customStyle="1" w:styleId="Hesber">
    <w:name w:val="Hesber"/>
    <w:basedOn w:val="a"/>
    <w:rsid w:val="00D23411"/>
    <w:pPr>
      <w:snapToGrid w:val="0"/>
      <w:ind w:left="0" w:firstLine="340"/>
    </w:pPr>
    <w:rPr>
      <w:rFonts w:ascii="Arial" w:eastAsia="Arial Unicode MS" w:hAnsi="Arial"/>
      <w:snapToGrid w:val="0"/>
      <w:sz w:val="20"/>
      <w:szCs w:val="26"/>
    </w:rPr>
  </w:style>
  <w:style w:type="paragraph" w:styleId="a4">
    <w:name w:val="footnote text"/>
    <w:basedOn w:val="a"/>
    <w:autoRedefine/>
    <w:semiHidden/>
    <w:rsid w:val="00D23411"/>
    <w:pPr>
      <w:snapToGrid w:val="0"/>
      <w:spacing w:line="240" w:lineRule="auto"/>
      <w:ind w:left="0"/>
      <w:jc w:val="left"/>
    </w:pPr>
    <w:rPr>
      <w:rFonts w:ascii="Arial" w:eastAsia="Arial Unicode MS" w:hAnsi="Arial"/>
      <w:snapToGrid w:val="0"/>
      <w:sz w:val="14"/>
      <w:szCs w:val="20"/>
    </w:rPr>
  </w:style>
  <w:style w:type="character" w:styleId="a5">
    <w:name w:val="footnote reference"/>
    <w:aliases w:val="Footnote Reference"/>
    <w:basedOn w:val="a0"/>
    <w:semiHidden/>
    <w:rsid w:val="00D23411"/>
    <w:rPr>
      <w:vertAlign w:val="superscript"/>
    </w:rPr>
  </w:style>
  <w:style w:type="paragraph" w:customStyle="1" w:styleId="HesberHeading">
    <w:name w:val="Hesber Heading"/>
    <w:basedOn w:val="Hesber"/>
    <w:rsid w:val="00D23411"/>
    <w:pPr>
      <w:tabs>
        <w:tab w:val="left" w:pos="624"/>
        <w:tab w:val="left" w:pos="1247"/>
      </w:tabs>
    </w:pPr>
    <w:rPr>
      <w:b/>
      <w:bCs/>
    </w:rPr>
  </w:style>
  <w:style w:type="paragraph" w:customStyle="1" w:styleId="HesberWriters">
    <w:name w:val="Hesber Writers"/>
    <w:basedOn w:val="Hesber"/>
    <w:rsid w:val="00D23411"/>
    <w:pPr>
      <w:spacing w:before="120" w:after="120"/>
      <w:ind w:left="1418"/>
      <w:jc w:val="right"/>
    </w:pPr>
    <w:rPr>
      <w:b/>
      <w:bCs/>
    </w:rPr>
  </w:style>
  <w:style w:type="paragraph" w:customStyle="1" w:styleId="Hesber1st">
    <w:name w:val="Hesber 1st"/>
    <w:basedOn w:val="Hesber"/>
    <w:rsid w:val="00D23411"/>
    <w:pPr>
      <w:tabs>
        <w:tab w:val="left" w:pos="680"/>
        <w:tab w:val="left" w:pos="1020"/>
      </w:tabs>
      <w:ind w:firstLine="0"/>
    </w:pPr>
  </w:style>
  <w:style w:type="character" w:styleId="a6">
    <w:name w:val="endnote reference"/>
    <w:basedOn w:val="a0"/>
    <w:semiHidden/>
    <w:rsid w:val="00D23411"/>
    <w:rPr>
      <w:vertAlign w:val="superscript"/>
    </w:rPr>
  </w:style>
  <w:style w:type="paragraph" w:customStyle="1" w:styleId="TableBlockOutdent">
    <w:name w:val="Table BlockOutdent"/>
    <w:basedOn w:val="TableBlock"/>
    <w:rsid w:val="00D23411"/>
    <w:pPr>
      <w:ind w:left="624" w:hanging="624"/>
    </w:pPr>
  </w:style>
  <w:style w:type="paragraph" w:styleId="a7">
    <w:name w:val="header"/>
    <w:basedOn w:val="a"/>
    <w:rsid w:val="00D23411"/>
    <w:pPr>
      <w:tabs>
        <w:tab w:val="center" w:pos="4153"/>
        <w:tab w:val="right" w:pos="8306"/>
      </w:tabs>
    </w:pPr>
  </w:style>
  <w:style w:type="paragraph" w:styleId="a8">
    <w:name w:val="footer"/>
    <w:basedOn w:val="a"/>
    <w:rsid w:val="00D23411"/>
    <w:pPr>
      <w:tabs>
        <w:tab w:val="center" w:pos="4153"/>
        <w:tab w:val="right" w:pos="8306"/>
      </w:tabs>
    </w:pPr>
  </w:style>
  <w:style w:type="paragraph" w:customStyle="1" w:styleId="HeadDivreiHesber">
    <w:name w:val="Head DivreiHesber"/>
    <w:basedOn w:val="a"/>
    <w:rsid w:val="00D23411"/>
    <w:pPr>
      <w:snapToGrid w:val="0"/>
      <w:spacing w:before="360" w:after="120"/>
      <w:jc w:val="center"/>
      <w:outlineLvl w:val="1"/>
    </w:pPr>
    <w:rPr>
      <w:rFonts w:ascii="Arial" w:eastAsia="Arial Unicode MS" w:hAnsi="Arial"/>
      <w:b/>
      <w:snapToGrid w:val="0"/>
      <w:spacing w:val="40"/>
      <w:sz w:val="20"/>
      <w:szCs w:val="26"/>
    </w:rPr>
  </w:style>
  <w:style w:type="paragraph" w:customStyle="1" w:styleId="Ragil">
    <w:name w:val="Ragil"/>
    <w:basedOn w:val="a"/>
    <w:rsid w:val="00D23411"/>
    <w:pPr>
      <w:snapToGrid w:val="0"/>
      <w:jc w:val="left"/>
    </w:pPr>
    <w:rPr>
      <w:rFonts w:ascii="Arial" w:eastAsia="Arial Unicode MS" w:hAnsi="Arial"/>
      <w:snapToGrid w:val="0"/>
      <w:sz w:val="20"/>
      <w:szCs w:val="26"/>
    </w:rPr>
  </w:style>
  <w:style w:type="paragraph" w:styleId="a9">
    <w:name w:val="Title"/>
    <w:basedOn w:val="a"/>
    <w:qFormat/>
    <w:rsid w:val="00943386"/>
    <w:pPr>
      <w:jc w:val="center"/>
    </w:pPr>
    <w:rPr>
      <w:b/>
      <w:bCs/>
      <w:sz w:val="28"/>
      <w:szCs w:val="28"/>
      <w:u w:val="single"/>
    </w:rPr>
  </w:style>
  <w:style w:type="character" w:styleId="aa">
    <w:name w:val="page number"/>
    <w:basedOn w:val="a0"/>
    <w:rsid w:val="00D23411"/>
  </w:style>
  <w:style w:type="paragraph" w:customStyle="1" w:styleId="David">
    <w:name w:val="רגיל + (עברית ושפות אחרות) David"/>
    <w:aliases w:val="‏13 נק',מודגש,אחרי:  6 נק'"/>
    <w:basedOn w:val="a"/>
    <w:rsid w:val="001207F8"/>
    <w:pPr>
      <w:jc w:val="left"/>
    </w:pPr>
    <w:rPr>
      <w:sz w:val="26"/>
      <w:szCs w:val="26"/>
    </w:rPr>
  </w:style>
  <w:style w:type="paragraph" w:styleId="ab">
    <w:name w:val="Balloon Text"/>
    <w:basedOn w:val="a"/>
    <w:link w:val="ac"/>
    <w:semiHidden/>
    <w:unhideWhenUsed/>
    <w:rsid w:val="00325C14"/>
    <w:pPr>
      <w:spacing w:line="240" w:lineRule="auto"/>
    </w:pPr>
    <w:rPr>
      <w:rFonts w:ascii="Tahoma" w:hAnsi="Tahoma" w:cs="Tahoma"/>
      <w:sz w:val="16"/>
      <w:szCs w:val="16"/>
    </w:rPr>
  </w:style>
  <w:style w:type="character" w:customStyle="1" w:styleId="ac">
    <w:name w:val="טקסט בלונים תו"/>
    <w:basedOn w:val="a0"/>
    <w:link w:val="ab"/>
    <w:semiHidden/>
    <w:rsid w:val="00325C14"/>
    <w:rPr>
      <w:rFonts w:ascii="Tahoma" w:hAnsi="Tahoma" w:cs="Tahoma"/>
      <w:color w:val="000000"/>
      <w:spacing w:val="1"/>
      <w:sz w:val="16"/>
      <w:szCs w:val="16"/>
      <w:lang w:eastAsia="ja-JP"/>
    </w:rPr>
  </w:style>
  <w:style w:type="character" w:customStyle="1" w:styleId="10">
    <w:name w:val="כותרת 1 תו"/>
    <w:basedOn w:val="a0"/>
    <w:link w:val="1"/>
    <w:uiPriority w:val="9"/>
    <w:rsid w:val="00D23411"/>
    <w:rPr>
      <w:rFonts w:asciiTheme="majorHAnsi" w:eastAsiaTheme="majorEastAsia" w:hAnsiTheme="majorHAnsi" w:cs="David"/>
      <w:bCs/>
      <w:sz w:val="32"/>
      <w:szCs w:val="36"/>
    </w:rPr>
  </w:style>
  <w:style w:type="character" w:customStyle="1" w:styleId="20">
    <w:name w:val="כותרת 2 תו"/>
    <w:basedOn w:val="a0"/>
    <w:link w:val="2"/>
    <w:rsid w:val="00D23411"/>
    <w:rPr>
      <w:rFonts w:asciiTheme="majorHAnsi" w:eastAsiaTheme="majorEastAsia" w:hAnsiTheme="majorHAnsi" w:cs="David"/>
      <w:bCs/>
      <w:sz w:val="26"/>
      <w:szCs w:val="36"/>
      <w:u w:val="single"/>
    </w:rPr>
  </w:style>
  <w:style w:type="character" w:customStyle="1" w:styleId="30">
    <w:name w:val="כותרת 3 תו"/>
    <w:basedOn w:val="a0"/>
    <w:link w:val="3"/>
    <w:rsid w:val="00D23411"/>
    <w:rPr>
      <w:rFonts w:asciiTheme="majorHAnsi" w:eastAsiaTheme="majorEastAsia" w:hAnsiTheme="majorHAnsi" w:cs="David"/>
      <w:sz w:val="24"/>
      <w:szCs w:val="28"/>
      <w:u w:val="double"/>
    </w:rPr>
  </w:style>
  <w:style w:type="character" w:customStyle="1" w:styleId="40">
    <w:name w:val="כותרת 4 תו"/>
    <w:basedOn w:val="a0"/>
    <w:link w:val="4"/>
    <w:uiPriority w:val="9"/>
    <w:rsid w:val="00D23411"/>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D23411"/>
    <w:rPr>
      <w:rFonts w:ascii="David" w:eastAsiaTheme="minorHAnsi" w:hAnsi="David" w:cs="David"/>
      <w:color w:val="000000" w:themeColor="text1"/>
      <w:sz w:val="24"/>
      <w:szCs w:val="24"/>
    </w:rPr>
  </w:style>
  <w:style w:type="paragraph" w:styleId="ad">
    <w:name w:val="TOC Heading"/>
    <w:basedOn w:val="1"/>
    <w:next w:val="a"/>
    <w:uiPriority w:val="39"/>
    <w:unhideWhenUsed/>
    <w:qFormat/>
    <w:rsid w:val="00D23411"/>
    <w:pPr>
      <w:widowControl/>
      <w:spacing w:before="120" w:after="120"/>
      <w:outlineLvl w:val="9"/>
    </w:pPr>
    <w:rPr>
      <w:rtl/>
      <w:cs/>
    </w:rPr>
  </w:style>
  <w:style w:type="paragraph" w:styleId="TOC1">
    <w:name w:val="toc 1"/>
    <w:basedOn w:val="a"/>
    <w:next w:val="a"/>
    <w:autoRedefine/>
    <w:uiPriority w:val="39"/>
    <w:unhideWhenUsed/>
    <w:rsid w:val="00D23411"/>
    <w:pPr>
      <w:tabs>
        <w:tab w:val="right" w:leader="dot" w:pos="9629"/>
      </w:tabs>
      <w:spacing w:after="100"/>
    </w:pPr>
    <w:rPr>
      <w:bCs/>
      <w:szCs w:val="22"/>
    </w:rPr>
  </w:style>
  <w:style w:type="paragraph" w:styleId="TOC2">
    <w:name w:val="toc 2"/>
    <w:basedOn w:val="a"/>
    <w:next w:val="a"/>
    <w:uiPriority w:val="39"/>
    <w:unhideWhenUsed/>
    <w:rsid w:val="00D23411"/>
    <w:pPr>
      <w:tabs>
        <w:tab w:val="right" w:leader="dot" w:pos="9628"/>
      </w:tabs>
      <w:spacing w:after="100"/>
    </w:pPr>
    <w:rPr>
      <w:szCs w:val="22"/>
    </w:rPr>
  </w:style>
  <w:style w:type="character" w:styleId="Hyperlink">
    <w:name w:val="Hyperlink"/>
    <w:basedOn w:val="a0"/>
    <w:uiPriority w:val="99"/>
    <w:unhideWhenUsed/>
    <w:rsid w:val="00D23411"/>
    <w:rPr>
      <w:color w:val="0000FF" w:themeColor="hyperlink"/>
      <w:u w:val="single"/>
    </w:rPr>
  </w:style>
  <w:style w:type="paragraph" w:styleId="TOC3">
    <w:name w:val="toc 3"/>
    <w:basedOn w:val="a"/>
    <w:next w:val="a"/>
    <w:uiPriority w:val="39"/>
    <w:unhideWhenUsed/>
    <w:rsid w:val="00D23411"/>
    <w:pPr>
      <w:numPr>
        <w:numId w:val="21"/>
      </w:numPr>
      <w:tabs>
        <w:tab w:val="right" w:leader="dot" w:pos="9629"/>
      </w:tabs>
      <w:spacing w:after="100"/>
      <w:ind w:left="811" w:hanging="357"/>
    </w:pPr>
    <w:rPr>
      <w:szCs w:val="22"/>
    </w:rPr>
  </w:style>
  <w:style w:type="paragraph" w:styleId="TOC4">
    <w:name w:val="toc 4"/>
    <w:basedOn w:val="a"/>
    <w:next w:val="a"/>
    <w:autoRedefine/>
    <w:unhideWhenUsed/>
    <w:qFormat/>
    <w:rsid w:val="00D23411"/>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D23411"/>
    <w:pPr>
      <w:tabs>
        <w:tab w:val="right" w:leader="dot" w:pos="9628"/>
      </w:tabs>
      <w:spacing w:after="100"/>
      <w:ind w:left="567"/>
    </w:pPr>
    <w:rPr>
      <w:szCs w:val="22"/>
    </w:rPr>
  </w:style>
  <w:style w:type="paragraph" w:styleId="TOC6">
    <w:name w:val="toc 6"/>
    <w:basedOn w:val="a"/>
    <w:next w:val="a"/>
    <w:autoRedefine/>
    <w:semiHidden/>
    <w:unhideWhenUsed/>
    <w:rsid w:val="00D23411"/>
    <w:pPr>
      <w:spacing w:after="100"/>
      <w:ind w:left="850"/>
    </w:pPr>
  </w:style>
  <w:style w:type="paragraph" w:styleId="TOC7">
    <w:name w:val="toc 7"/>
    <w:basedOn w:val="a"/>
    <w:next w:val="a"/>
    <w:autoRedefine/>
    <w:semiHidden/>
    <w:unhideWhenUsed/>
    <w:rsid w:val="00D23411"/>
    <w:pPr>
      <w:spacing w:after="100"/>
      <w:ind w:left="1020"/>
    </w:pPr>
  </w:style>
  <w:style w:type="paragraph" w:styleId="TOC8">
    <w:name w:val="toc 8"/>
    <w:basedOn w:val="a"/>
    <w:next w:val="a"/>
    <w:autoRedefine/>
    <w:semiHidden/>
    <w:unhideWhenUsed/>
    <w:rsid w:val="00D23411"/>
    <w:pPr>
      <w:spacing w:after="100"/>
      <w:ind w:left="1190"/>
    </w:pPr>
  </w:style>
  <w:style w:type="paragraph" w:styleId="TOC9">
    <w:name w:val="toc 9"/>
    <w:basedOn w:val="a"/>
    <w:next w:val="a"/>
    <w:autoRedefine/>
    <w:semiHidden/>
    <w:unhideWhenUsed/>
    <w:rsid w:val="00D23411"/>
    <w:pPr>
      <w:spacing w:after="100"/>
      <w:ind w:left="1360"/>
    </w:pPr>
  </w:style>
  <w:style w:type="paragraph" w:customStyle="1" w:styleId="TableHead2">
    <w:name w:val="Table Head2"/>
    <w:basedOn w:val="TableHead"/>
    <w:qFormat/>
    <w:rsid w:val="00D23411"/>
    <w:pPr>
      <w:outlineLvl w:val="9"/>
    </w:pPr>
  </w:style>
  <w:style w:type="paragraph" w:customStyle="1" w:styleId="TableSideHeading2">
    <w:name w:val="Table SideHeading2"/>
    <w:basedOn w:val="TableSideHeading"/>
    <w:autoRedefine/>
    <w:qFormat/>
    <w:rsid w:val="00D23411"/>
    <w:pPr>
      <w:keepLines w:val="0"/>
      <w:outlineLvl w:val="9"/>
    </w:pPr>
  </w:style>
  <w:style w:type="paragraph" w:customStyle="1" w:styleId="0">
    <w:name w:val="סגנון שורה ראשונה:  0  ס''מ"/>
    <w:basedOn w:val="2"/>
    <w:rsid w:val="00D23411"/>
    <w:rPr>
      <w:rFonts w:eastAsia="Times New Roman"/>
    </w:rPr>
  </w:style>
  <w:style w:type="paragraph" w:styleId="ae">
    <w:name w:val="List Paragraph"/>
    <w:basedOn w:val="a"/>
    <w:uiPriority w:val="34"/>
    <w:qFormat/>
    <w:rsid w:val="00D23411"/>
    <w:pPr>
      <w:widowControl/>
      <w:spacing w:line="259" w:lineRule="auto"/>
    </w:pPr>
    <w:rPr>
      <w:rFonts w:asciiTheme="minorHAnsi" w:hAnsiTheme="minorHAnsi"/>
      <w:sz w:val="22"/>
    </w:rPr>
  </w:style>
  <w:style w:type="table" w:styleId="af">
    <w:name w:val="Table Grid"/>
    <w:basedOn w:val="a1"/>
    <w:rsid w:val="00D234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D2341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D2341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0">
    <w:name w:val="טבלת חקיקה"/>
    <w:basedOn w:val="a1"/>
    <w:uiPriority w:val="99"/>
    <w:rsid w:val="00D23411"/>
    <w:pPr>
      <w:jc w:val="center"/>
    </w:pPr>
    <w:rPr>
      <w:rFonts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D23411"/>
    <w:tblPr/>
    <w:tblStylePr w:type="firstCol">
      <w:pPr>
        <w:keepNext w:val="0"/>
        <w:keepLines/>
        <w:pageBreakBefore w:val="0"/>
        <w:widowControl w:val="0"/>
        <w:suppressLineNumbers w:val="0"/>
        <w:suppressAutoHyphens w:val="0"/>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54E21C28B32ECF49ADBB6A5BBBCCB3CD" ma:contentTypeVersion="" ma:contentTypeDescription="צור מסמך חדש." ma:contentTypeScope="" ma:versionID="f81d89568b860eeaa06327f0f2d2f14b">
  <xsd:schema xmlns:xsd="http://www.w3.org/2001/XMLSchema" xmlns:xs="http://www.w3.org/2001/XMLSchema" xmlns:p="http://schemas.microsoft.com/office/2006/metadata/properties" xmlns:ns2="290d5b49-c690-4c6f-bbb9-1e50dab33eee" targetNamespace="http://schemas.microsoft.com/office/2006/metadata/properties" ma:root="true" ma:fieldsID="a6db6e33f8462d87724f237088727803"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025031-5F64-45AD-BCCB-7F9FA03B4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3.xml><?xml version="1.0" encoding="utf-8"?>
<ds:datastoreItem xmlns:ds="http://schemas.openxmlformats.org/officeDocument/2006/customXml" ds:itemID="{88F4AFE3-9455-419C-8851-785A55F44517}">
  <ds:schemaRef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290d5b49-c690-4c6f-bbb9-1e50dab33eee"/>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56F01F97-D44E-46FA-891C-166BD5923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618</Words>
  <Characters>3529</Characters>
  <Application>Microsoft Office Word</Application>
  <DocSecurity>0</DocSecurity>
  <Lines>29</Lines>
  <Paragraphs>8</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רשומות</vt:lpstr>
      <vt:lpstr>רשומות</vt:lpstr>
    </vt:vector>
  </TitlesOfParts>
  <Company>Knesset</Company>
  <LinksUpToDate>false</LinksUpToDate>
  <CharactersWithSpaces>4139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טליה ווייס עמר</cp:lastModifiedBy>
  <cp:revision>8</cp:revision>
  <cp:lastPrinted>2013-07-04T08:25:00Z</cp:lastPrinted>
  <dcterms:created xsi:type="dcterms:W3CDTF">2015-04-20T09:58:00Z</dcterms:created>
  <dcterms:modified xsi:type="dcterms:W3CDTF">2022-12-15T09:30:00Z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0x01010054E21C28B32ECF49ADBB6A5BBBCCB3CD</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2197154</vt:r8>
  </property>
</Properties>
</file>