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2195837</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6" w14:textId="49F8E355" w:rsidR="00E13C27" w:rsidRDefault="008F6665" w:rsidP="00930EFE">
      <w:pPr>
        <w:pStyle w:val="David"/>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 xml:space="preserve">מיכל </w:t>
      </w:r>
      <w:r w:rsidR="00A73341">
        <w:rPr>
          <w:rFonts w:hint="cs"/>
          <w:b/>
          <w:bCs/>
          <w:rtl/>
        </w:rPr>
        <w:t xml:space="preserve">מרים </w:t>
      </w:r>
      <w:r>
        <w:rPr>
          <w:rFonts w:hint="cs"/>
          <w:b/>
          <w:bCs/>
          <w:rtl/>
        </w:rPr>
        <w:t>וולדיגר</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3602FD48"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F87627">
        <w:rPr>
          <w:rtl/>
        </w:rPr>
        <w:tab/>
      </w:r>
      <w:r>
        <w:rPr>
          <w:rFonts w:hint="cs"/>
          <w:rtl/>
        </w:rPr>
        <w:t>פ/44/25</w:t>
      </w:r>
      <w:bookmarkEnd w:id="6"/>
    </w:p>
    <w:p w14:paraId="7F6961AC" w14:textId="77777777" w:rsidR="00E13C27" w:rsidRDefault="00E13C27" w:rsidP="00E13C27">
      <w:pPr>
        <w:ind w:left="2880" w:firstLine="720"/>
        <w:rPr>
          <w:sz w:val="26"/>
          <w:szCs w:val="26"/>
          <w:rtl/>
        </w:rPr>
      </w:pPr>
    </w:p>
    <w:p w14:paraId="0678F62B" w14:textId="77777777" w:rsidR="00F87627" w:rsidRDefault="00A443CF" w:rsidP="0021633A">
      <w:pPr>
        <w:pStyle w:val="HeadHatzaotHok"/>
        <w:rPr>
          <w:rtl/>
        </w:rPr>
      </w:pPr>
      <w:bookmarkStart w:id="7" w:name="LGS_Subject"/>
      <w:r>
        <w:rPr>
          <w:rFonts w:hint="cs"/>
          <w:rtl/>
        </w:rPr>
        <w:t xml:space="preserve">הצעת חוק הסדרת העיסוק במקצועות הבריאות (תיקון – טיפול באמצעות אמנויות), </w:t>
      </w:r>
    </w:p>
    <w:p w14:paraId="7F6961AD" w14:textId="6988892A" w:rsidR="00E13C27" w:rsidRPr="00F67051" w:rsidRDefault="00A443CF" w:rsidP="0021633A">
      <w:pPr>
        <w:pStyle w:val="HeadHatzaotHok"/>
        <w:rPr>
          <w:rtl/>
        </w:rPr>
      </w:pPr>
      <w:r>
        <w:rPr>
          <w:rFonts w:hint="cs"/>
          <w:rtl/>
        </w:rPr>
        <w:t>התשפ"ג–2022</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11"/>
        <w:gridCol w:w="2700"/>
        <w:gridCol w:w="3835"/>
      </w:tblGrid>
      <w:tr w:rsidR="00BA1A0F" w:rsidRPr="00BA5F88" w14:paraId="69FAA41E" w14:textId="77777777" w:rsidTr="00F87627">
        <w:trPr>
          <w:cantSplit/>
        </w:trPr>
        <w:tc>
          <w:tcPr>
            <w:tcW w:w="1871" w:type="dxa"/>
            <w:shd w:val="clear" w:color="auto" w:fill="auto"/>
            <w:tcMar>
              <w:top w:w="91" w:type="dxa"/>
              <w:left w:w="0" w:type="dxa"/>
              <w:bottom w:w="91" w:type="dxa"/>
              <w:right w:w="0" w:type="dxa"/>
            </w:tcMar>
          </w:tcPr>
          <w:p w14:paraId="5DDADDE4" w14:textId="77777777" w:rsidR="00BA1A0F" w:rsidRPr="00BA5F88" w:rsidRDefault="00BA1A0F" w:rsidP="000E2540">
            <w:pPr>
              <w:pStyle w:val="TableSideHeading"/>
              <w:rPr>
                <w:rtl/>
              </w:rPr>
            </w:pPr>
            <w:r w:rsidRPr="00BA5F88">
              <w:rPr>
                <w:rtl/>
              </w:rPr>
              <w:t>תיקון סעיף 2</w:t>
            </w:r>
            <w:r w:rsidRPr="00BA5F88">
              <w:rPr>
                <w:rtl/>
              </w:rPr>
              <w:tab/>
            </w:r>
          </w:p>
        </w:tc>
        <w:tc>
          <w:tcPr>
            <w:tcW w:w="624" w:type="dxa"/>
            <w:shd w:val="clear" w:color="auto" w:fill="auto"/>
            <w:tcMar>
              <w:top w:w="91" w:type="dxa"/>
              <w:left w:w="0" w:type="dxa"/>
              <w:bottom w:w="91" w:type="dxa"/>
              <w:right w:w="0" w:type="dxa"/>
            </w:tcMar>
          </w:tcPr>
          <w:p w14:paraId="307F6DE3" w14:textId="02ADC030" w:rsidR="00BA1A0F" w:rsidRPr="00BA5F88" w:rsidRDefault="00F87627" w:rsidP="000E2540">
            <w:pPr>
              <w:pStyle w:val="TableText"/>
              <w:rPr>
                <w:rtl/>
              </w:rPr>
            </w:pPr>
            <w:r>
              <w:rPr>
                <w:rFonts w:hint="cs"/>
                <w:rtl/>
              </w:rPr>
              <w:t>1.</w:t>
            </w:r>
          </w:p>
        </w:tc>
        <w:tc>
          <w:tcPr>
            <w:tcW w:w="7143" w:type="dxa"/>
            <w:gridSpan w:val="3"/>
            <w:shd w:val="clear" w:color="auto" w:fill="auto"/>
            <w:tcMar>
              <w:top w:w="91" w:type="dxa"/>
              <w:left w:w="0" w:type="dxa"/>
              <w:bottom w:w="91" w:type="dxa"/>
              <w:right w:w="0" w:type="dxa"/>
            </w:tcMar>
          </w:tcPr>
          <w:p w14:paraId="23A7732F" w14:textId="77777777" w:rsidR="00BA1A0F" w:rsidRPr="00F87627" w:rsidRDefault="00BA1A0F" w:rsidP="00F87627">
            <w:pPr>
              <w:pStyle w:val="TableBlock"/>
              <w:rPr>
                <w:rtl/>
              </w:rPr>
            </w:pPr>
            <w:r w:rsidRPr="00F87627">
              <w:rPr>
                <w:rtl/>
              </w:rPr>
              <w:t>בחוק הסדרת העיסוק במקצועות הבריאות, התשס"ח–2008‏</w:t>
            </w:r>
            <w:r w:rsidRPr="00F87627">
              <w:rPr>
                <w:rFonts w:ascii="David" w:hAnsi="David"/>
                <w:sz w:val="26"/>
                <w:vertAlign w:val="superscript"/>
                <w:rtl/>
              </w:rPr>
              <w:footnoteReference w:id="2"/>
            </w:r>
            <w:r w:rsidRPr="00F87627">
              <w:rPr>
                <w:vertAlign w:val="superscript"/>
                <w:rtl/>
              </w:rPr>
              <w:t xml:space="preserve"> </w:t>
            </w:r>
            <w:r w:rsidRPr="00F87627">
              <w:rPr>
                <w:rtl/>
              </w:rPr>
              <w:t>(להלן – החוק העיקרי), בסעיף 2, אחרי ההגדרה "</w:t>
            </w:r>
            <w:r w:rsidRPr="00F87627">
              <w:rPr>
                <w:rFonts w:hint="cs"/>
                <w:rtl/>
              </w:rPr>
              <w:t>מחלקה מוכרת לאורתופדיה</w:t>
            </w:r>
            <w:r w:rsidRPr="00F87627">
              <w:rPr>
                <w:rtl/>
              </w:rPr>
              <w:t>" יבוא:</w:t>
            </w:r>
          </w:p>
        </w:tc>
      </w:tr>
      <w:tr w:rsidR="00BA1A0F" w:rsidRPr="0087170A" w14:paraId="320E505D" w14:textId="77777777" w:rsidTr="00F87627">
        <w:trPr>
          <w:cantSplit/>
        </w:trPr>
        <w:tc>
          <w:tcPr>
            <w:tcW w:w="1871" w:type="dxa"/>
            <w:shd w:val="clear" w:color="auto" w:fill="auto"/>
            <w:tcMar>
              <w:top w:w="91" w:type="dxa"/>
              <w:left w:w="0" w:type="dxa"/>
              <w:bottom w:w="91" w:type="dxa"/>
              <w:right w:w="0" w:type="dxa"/>
            </w:tcMar>
          </w:tcPr>
          <w:p w14:paraId="4F770F21" w14:textId="77777777" w:rsidR="00BA1A0F" w:rsidRPr="00BA5F88" w:rsidRDefault="00BA1A0F" w:rsidP="000E2540">
            <w:pPr>
              <w:pStyle w:val="TableSideHeading"/>
              <w:rPr>
                <w:rtl/>
              </w:rPr>
            </w:pPr>
          </w:p>
        </w:tc>
        <w:tc>
          <w:tcPr>
            <w:tcW w:w="624" w:type="dxa"/>
            <w:shd w:val="clear" w:color="auto" w:fill="auto"/>
            <w:tcMar>
              <w:top w:w="91" w:type="dxa"/>
              <w:left w:w="0" w:type="dxa"/>
              <w:bottom w:w="91" w:type="dxa"/>
              <w:right w:w="0" w:type="dxa"/>
            </w:tcMar>
          </w:tcPr>
          <w:p w14:paraId="258C44F9" w14:textId="77777777" w:rsidR="00BA1A0F" w:rsidRPr="00BA5F88" w:rsidRDefault="00BA1A0F" w:rsidP="000E2540">
            <w:pPr>
              <w:pStyle w:val="TableText"/>
              <w:rPr>
                <w:rtl/>
              </w:rPr>
            </w:pPr>
          </w:p>
        </w:tc>
        <w:tc>
          <w:tcPr>
            <w:tcW w:w="7143" w:type="dxa"/>
            <w:gridSpan w:val="3"/>
            <w:shd w:val="clear" w:color="auto" w:fill="auto"/>
            <w:tcMar>
              <w:top w:w="91" w:type="dxa"/>
              <w:left w:w="0" w:type="dxa"/>
              <w:bottom w:w="91" w:type="dxa"/>
              <w:right w:w="0" w:type="dxa"/>
            </w:tcMar>
          </w:tcPr>
          <w:p w14:paraId="113ED216" w14:textId="77777777" w:rsidR="00BA1A0F" w:rsidRPr="0087170A" w:rsidRDefault="00BA1A0F" w:rsidP="00F87627">
            <w:pPr>
              <w:pStyle w:val="TableBlockOutdent"/>
              <w:rPr>
                <w:rtl/>
              </w:rPr>
            </w:pPr>
            <w:r w:rsidRPr="0087170A">
              <w:rPr>
                <w:rFonts w:hint="cs"/>
                <w:rtl/>
              </w:rPr>
              <w:t xml:space="preserve">""מטפל </w:t>
            </w:r>
            <w:r w:rsidRPr="00507CBD">
              <w:rPr>
                <w:rFonts w:hint="cs"/>
                <w:rtl/>
              </w:rPr>
              <w:t>ב</w:t>
            </w:r>
            <w:r w:rsidRPr="00507CBD">
              <w:rPr>
                <w:rFonts w:hint="eastAsia"/>
                <w:rtl/>
              </w:rPr>
              <w:t>אמצעות</w:t>
            </w:r>
            <w:r w:rsidRPr="00507CBD">
              <w:rPr>
                <w:rFonts w:hint="cs"/>
                <w:rtl/>
              </w:rPr>
              <w:t xml:space="preserve"> </w:t>
            </w:r>
            <w:r>
              <w:rPr>
                <w:rFonts w:hint="cs"/>
                <w:rtl/>
              </w:rPr>
              <w:t>אמנו</w:t>
            </w:r>
            <w:r w:rsidRPr="00507CBD">
              <w:rPr>
                <w:rFonts w:hint="cs"/>
                <w:rtl/>
              </w:rPr>
              <w:t xml:space="preserve">יות" – מי שניתנה לו תעודת מטפל באמצעות </w:t>
            </w:r>
            <w:r>
              <w:rPr>
                <w:rFonts w:hint="cs"/>
                <w:rtl/>
              </w:rPr>
              <w:t>אמנו</w:t>
            </w:r>
            <w:r w:rsidRPr="00507CBD">
              <w:rPr>
                <w:rFonts w:hint="cs"/>
                <w:rtl/>
              </w:rPr>
              <w:t>יות המנויה בטור</w:t>
            </w:r>
            <w:r w:rsidRPr="0087170A">
              <w:rPr>
                <w:rFonts w:hint="cs"/>
                <w:rtl/>
              </w:rPr>
              <w:t xml:space="preserve"> ג' בתוספת הראשונה;"</w:t>
            </w:r>
            <w:r>
              <w:rPr>
                <w:rFonts w:hint="cs"/>
                <w:rtl/>
              </w:rPr>
              <w:t>.</w:t>
            </w:r>
            <w:r w:rsidRPr="0087170A">
              <w:rPr>
                <w:rFonts w:hint="cs"/>
                <w:rtl/>
              </w:rPr>
              <w:t xml:space="preserve"> </w:t>
            </w:r>
          </w:p>
        </w:tc>
      </w:tr>
      <w:tr w:rsidR="00BA1A0F" w:rsidRPr="0087170A" w14:paraId="4A5AF79D" w14:textId="77777777" w:rsidTr="00F87627">
        <w:trPr>
          <w:cantSplit/>
        </w:trPr>
        <w:tc>
          <w:tcPr>
            <w:tcW w:w="1871" w:type="dxa"/>
            <w:shd w:val="clear" w:color="auto" w:fill="auto"/>
            <w:tcMar>
              <w:top w:w="91" w:type="dxa"/>
              <w:left w:w="0" w:type="dxa"/>
              <w:bottom w:w="91" w:type="dxa"/>
              <w:right w:w="0" w:type="dxa"/>
            </w:tcMar>
          </w:tcPr>
          <w:p w14:paraId="6A2DC65E" w14:textId="77777777" w:rsidR="00BA1A0F" w:rsidRPr="00BA5F88" w:rsidRDefault="00BA1A0F" w:rsidP="000E2540">
            <w:pPr>
              <w:pStyle w:val="TableSideHeading"/>
              <w:rPr>
                <w:rtl/>
              </w:rPr>
            </w:pPr>
            <w:r>
              <w:rPr>
                <w:rFonts w:hint="cs"/>
                <w:rtl/>
              </w:rPr>
              <w:t>תיקון סעיף 58</w:t>
            </w:r>
          </w:p>
        </w:tc>
        <w:tc>
          <w:tcPr>
            <w:tcW w:w="624" w:type="dxa"/>
            <w:shd w:val="clear" w:color="auto" w:fill="auto"/>
            <w:tcMar>
              <w:top w:w="91" w:type="dxa"/>
              <w:left w:w="0" w:type="dxa"/>
              <w:bottom w:w="91" w:type="dxa"/>
              <w:right w:w="0" w:type="dxa"/>
            </w:tcMar>
          </w:tcPr>
          <w:p w14:paraId="791FE208" w14:textId="77777777" w:rsidR="00BA1A0F" w:rsidRPr="00BA5F88" w:rsidRDefault="00BA1A0F" w:rsidP="000E2540">
            <w:pPr>
              <w:pStyle w:val="TableText"/>
              <w:rPr>
                <w:rtl/>
              </w:rPr>
            </w:pPr>
            <w:r>
              <w:rPr>
                <w:rFonts w:hint="cs"/>
                <w:rtl/>
              </w:rPr>
              <w:t>2</w:t>
            </w:r>
            <w:r w:rsidRPr="00BA5F88">
              <w:rPr>
                <w:rFonts w:hint="cs"/>
                <w:rtl/>
              </w:rPr>
              <w:t>.</w:t>
            </w:r>
          </w:p>
        </w:tc>
        <w:tc>
          <w:tcPr>
            <w:tcW w:w="7143" w:type="dxa"/>
            <w:gridSpan w:val="3"/>
            <w:shd w:val="clear" w:color="auto" w:fill="auto"/>
            <w:tcMar>
              <w:top w:w="91" w:type="dxa"/>
              <w:left w:w="0" w:type="dxa"/>
              <w:bottom w:w="91" w:type="dxa"/>
              <w:right w:w="0" w:type="dxa"/>
            </w:tcMar>
          </w:tcPr>
          <w:p w14:paraId="572F3D99" w14:textId="77777777" w:rsidR="00BA1A0F" w:rsidRPr="00F87627" w:rsidRDefault="00BA1A0F" w:rsidP="00F87627">
            <w:pPr>
              <w:pStyle w:val="TableBlock"/>
              <w:rPr>
                <w:rtl/>
              </w:rPr>
            </w:pPr>
            <w:r w:rsidRPr="00F87627">
              <w:rPr>
                <w:rFonts w:hint="cs"/>
                <w:rtl/>
              </w:rPr>
              <w:t>בסעיף 58 לחוק העיקרי, אחרי סעיף קטן (כא) יבוא:</w:t>
            </w:r>
          </w:p>
        </w:tc>
      </w:tr>
      <w:tr w:rsidR="00BA1A0F" w:rsidRPr="000C6222" w14:paraId="4B1ECE4B" w14:textId="77777777" w:rsidTr="00F87627">
        <w:trPr>
          <w:cantSplit/>
        </w:trPr>
        <w:tc>
          <w:tcPr>
            <w:tcW w:w="1871" w:type="dxa"/>
            <w:shd w:val="clear" w:color="auto" w:fill="auto"/>
            <w:tcMar>
              <w:top w:w="91" w:type="dxa"/>
              <w:left w:w="0" w:type="dxa"/>
              <w:bottom w:w="91" w:type="dxa"/>
              <w:right w:w="0" w:type="dxa"/>
            </w:tcMar>
          </w:tcPr>
          <w:p w14:paraId="1EDA247E" w14:textId="77777777" w:rsidR="00BA1A0F" w:rsidRPr="00BA5F88" w:rsidRDefault="00BA1A0F" w:rsidP="000E2540">
            <w:pPr>
              <w:pStyle w:val="TableSideHeading"/>
              <w:rPr>
                <w:rtl/>
              </w:rPr>
            </w:pPr>
          </w:p>
        </w:tc>
        <w:tc>
          <w:tcPr>
            <w:tcW w:w="624" w:type="dxa"/>
            <w:shd w:val="clear" w:color="auto" w:fill="auto"/>
            <w:tcMar>
              <w:top w:w="91" w:type="dxa"/>
              <w:left w:w="0" w:type="dxa"/>
              <w:bottom w:w="91" w:type="dxa"/>
              <w:right w:w="0" w:type="dxa"/>
            </w:tcMar>
          </w:tcPr>
          <w:p w14:paraId="31B6C32D" w14:textId="77777777" w:rsidR="00BA1A0F" w:rsidRPr="00BA5F88" w:rsidRDefault="00BA1A0F" w:rsidP="000E2540">
            <w:pPr>
              <w:pStyle w:val="TableText"/>
              <w:rPr>
                <w:rtl/>
              </w:rPr>
            </w:pPr>
          </w:p>
        </w:tc>
        <w:tc>
          <w:tcPr>
            <w:tcW w:w="7143" w:type="dxa"/>
            <w:gridSpan w:val="3"/>
            <w:shd w:val="clear" w:color="auto" w:fill="auto"/>
            <w:tcMar>
              <w:top w:w="91" w:type="dxa"/>
              <w:left w:w="0" w:type="dxa"/>
              <w:bottom w:w="91" w:type="dxa"/>
              <w:right w:w="0" w:type="dxa"/>
            </w:tcMar>
          </w:tcPr>
          <w:p w14:paraId="4B6A612D" w14:textId="7427E780" w:rsidR="00BA1A0F" w:rsidRPr="000C6222" w:rsidRDefault="00BA1A0F" w:rsidP="00F87627">
            <w:pPr>
              <w:pStyle w:val="TableBlock"/>
              <w:rPr>
                <w:rtl/>
              </w:rPr>
            </w:pPr>
            <w:r w:rsidRPr="000C6222">
              <w:rPr>
                <w:rFonts w:hint="cs"/>
                <w:rtl/>
              </w:rPr>
              <w:t>"(כב)</w:t>
            </w:r>
            <w:r w:rsidRPr="000C6222">
              <w:rPr>
                <w:rtl/>
              </w:rPr>
              <w:tab/>
            </w:r>
            <w:r w:rsidRPr="000C6222">
              <w:rPr>
                <w:rFonts w:hint="cs"/>
                <w:rtl/>
              </w:rPr>
              <w:t xml:space="preserve">מי שיש לו תואר אקדמי ראשון </w:t>
            </w:r>
            <w:r w:rsidR="009414ED">
              <w:rPr>
                <w:rFonts w:hint="cs"/>
                <w:rtl/>
              </w:rPr>
              <w:t xml:space="preserve">שניתן על ידי </w:t>
            </w:r>
            <w:r w:rsidRPr="000C6222">
              <w:rPr>
                <w:rFonts w:hint="cs"/>
                <w:rtl/>
              </w:rPr>
              <w:t xml:space="preserve">מוסד מוכר להשכלה גבוהה, והיתה בידו עד יום כ"ט בטבת התשע"ט (31 בדצמבר 2018) תעודה המעידה על סיום לימודיו בתכנית </w:t>
            </w:r>
            <w:r w:rsidR="00393DA0">
              <w:rPr>
                <w:rFonts w:hint="cs"/>
                <w:rtl/>
              </w:rPr>
              <w:t>ללימודי תעודה ב</w:t>
            </w:r>
            <w:r w:rsidRPr="000C6222">
              <w:rPr>
                <w:rFonts w:hint="cs"/>
                <w:rtl/>
              </w:rPr>
              <w:t xml:space="preserve">טיפול באמצעות אמנויות </w:t>
            </w:r>
            <w:r w:rsidR="00D336A4">
              <w:rPr>
                <w:rFonts w:hint="cs"/>
                <w:rtl/>
              </w:rPr>
              <w:t>ב</w:t>
            </w:r>
            <w:r w:rsidRPr="000C6222">
              <w:rPr>
                <w:rFonts w:hint="eastAsia"/>
                <w:rtl/>
              </w:rPr>
              <w:t>מוסד</w:t>
            </w:r>
            <w:r w:rsidRPr="000C6222">
              <w:rPr>
                <w:rtl/>
              </w:rPr>
              <w:t xml:space="preserve"> </w:t>
            </w:r>
            <w:r w:rsidRPr="000C6222">
              <w:rPr>
                <w:rFonts w:hint="eastAsia"/>
                <w:rtl/>
              </w:rPr>
              <w:t>מוכר</w:t>
            </w:r>
            <w:r w:rsidRPr="000C6222">
              <w:rPr>
                <w:rtl/>
              </w:rPr>
              <w:t xml:space="preserve"> </w:t>
            </w:r>
            <w:r w:rsidRPr="000C6222">
              <w:rPr>
                <w:rFonts w:hint="eastAsia"/>
                <w:rtl/>
              </w:rPr>
              <w:t>להשכלה</w:t>
            </w:r>
            <w:r w:rsidRPr="000C6222">
              <w:rPr>
                <w:rtl/>
              </w:rPr>
              <w:t xml:space="preserve"> </w:t>
            </w:r>
            <w:r w:rsidRPr="000C6222">
              <w:rPr>
                <w:rFonts w:hint="eastAsia"/>
                <w:rtl/>
              </w:rPr>
              <w:t>גבוהה</w:t>
            </w:r>
            <w:r w:rsidRPr="000C6222">
              <w:rPr>
                <w:rtl/>
              </w:rPr>
              <w:t>,</w:t>
            </w:r>
            <w:r w:rsidR="00393DA0">
              <w:rPr>
                <w:rFonts w:hint="cs"/>
                <w:rtl/>
              </w:rPr>
              <w:t xml:space="preserve"> זכאי לקבל תעודת</w:t>
            </w:r>
            <w:r w:rsidRPr="000C6222">
              <w:rPr>
                <w:rFonts w:hint="cs"/>
                <w:rtl/>
              </w:rPr>
              <w:t xml:space="preserve"> מטפל באמצעות אמנויות לפי חוק זה,</w:t>
            </w:r>
            <w:r w:rsidRPr="000C6222">
              <w:rPr>
                <w:rtl/>
              </w:rPr>
              <w:t xml:space="preserve"> </w:t>
            </w:r>
            <w:r w:rsidRPr="000C6222">
              <w:rPr>
                <w:rFonts w:hint="cs"/>
                <w:rtl/>
              </w:rPr>
              <w:t>ובלבד שהגיש בקשה לכך ומתקיימים בו התנאים הקבועים בפסקאות (1), (2), (4) ו-(5) שבסעיף 8.</w:t>
            </w:r>
            <w:r w:rsidRPr="000C6222">
              <w:rPr>
                <w:rtl/>
              </w:rPr>
              <w:t xml:space="preserve"> </w:t>
            </w:r>
          </w:p>
        </w:tc>
      </w:tr>
      <w:tr w:rsidR="00BA1A0F" w:rsidRPr="000C6222" w14:paraId="387C24E2" w14:textId="77777777" w:rsidTr="00F87627">
        <w:trPr>
          <w:cantSplit/>
        </w:trPr>
        <w:tc>
          <w:tcPr>
            <w:tcW w:w="1871" w:type="dxa"/>
            <w:shd w:val="clear" w:color="auto" w:fill="auto"/>
            <w:tcMar>
              <w:top w:w="91" w:type="dxa"/>
              <w:left w:w="0" w:type="dxa"/>
              <w:bottom w:w="91" w:type="dxa"/>
              <w:right w:w="0" w:type="dxa"/>
            </w:tcMar>
          </w:tcPr>
          <w:p w14:paraId="77DCF001" w14:textId="77777777" w:rsidR="00BA1A0F" w:rsidRPr="00BA5F88" w:rsidRDefault="00BA1A0F" w:rsidP="000E2540">
            <w:pPr>
              <w:pStyle w:val="TableSideHeading"/>
              <w:rPr>
                <w:rtl/>
              </w:rPr>
            </w:pPr>
          </w:p>
        </w:tc>
        <w:tc>
          <w:tcPr>
            <w:tcW w:w="624" w:type="dxa"/>
            <w:shd w:val="clear" w:color="auto" w:fill="auto"/>
            <w:tcMar>
              <w:top w:w="91" w:type="dxa"/>
              <w:left w:w="0" w:type="dxa"/>
              <w:bottom w:w="91" w:type="dxa"/>
              <w:right w:w="0" w:type="dxa"/>
            </w:tcMar>
          </w:tcPr>
          <w:p w14:paraId="71F0519E" w14:textId="77777777" w:rsidR="00BA1A0F" w:rsidRPr="00BA5F88" w:rsidRDefault="00BA1A0F" w:rsidP="000E2540">
            <w:pPr>
              <w:pStyle w:val="TableText"/>
              <w:rPr>
                <w:rtl/>
              </w:rPr>
            </w:pPr>
          </w:p>
        </w:tc>
        <w:tc>
          <w:tcPr>
            <w:tcW w:w="7143" w:type="dxa"/>
            <w:gridSpan w:val="3"/>
            <w:shd w:val="clear" w:color="auto" w:fill="auto"/>
            <w:tcMar>
              <w:top w:w="91" w:type="dxa"/>
              <w:left w:w="0" w:type="dxa"/>
              <w:bottom w:w="91" w:type="dxa"/>
              <w:right w:w="0" w:type="dxa"/>
            </w:tcMar>
          </w:tcPr>
          <w:p w14:paraId="2B7812F6" w14:textId="04CE5ACF" w:rsidR="00BA1A0F" w:rsidRPr="000C6222" w:rsidRDefault="00BA1A0F" w:rsidP="00F87627">
            <w:pPr>
              <w:pStyle w:val="TableBlock"/>
              <w:rPr>
                <w:rtl/>
              </w:rPr>
            </w:pPr>
            <w:r w:rsidRPr="000C6222">
              <w:rPr>
                <w:rFonts w:hint="cs"/>
                <w:rtl/>
              </w:rPr>
              <w:t>(כג)</w:t>
            </w:r>
            <w:r w:rsidRPr="000C6222">
              <w:rPr>
                <w:rtl/>
              </w:rPr>
              <w:tab/>
            </w:r>
            <w:r w:rsidRPr="000C6222">
              <w:rPr>
                <w:rFonts w:hint="cs"/>
                <w:rtl/>
              </w:rPr>
              <w:t>מי שסיים את לימודיו והוא זכאי לתואר אק</w:t>
            </w:r>
            <w:r w:rsidR="00B814EE">
              <w:rPr>
                <w:rFonts w:hint="cs"/>
                <w:rtl/>
              </w:rPr>
              <w:t xml:space="preserve">דמי שני בטיפול באמצעות אמנויות שניתן על ידי </w:t>
            </w:r>
            <w:r w:rsidRPr="000C6222">
              <w:rPr>
                <w:rFonts w:hint="cs"/>
                <w:rtl/>
              </w:rPr>
              <w:t>מוסד מוכר להשכלה גבוהה, גם אם טרם הוענק לו</w:t>
            </w:r>
            <w:r w:rsidR="00393DA0">
              <w:rPr>
                <w:rFonts w:hint="cs"/>
                <w:rtl/>
              </w:rPr>
              <w:t xml:space="preserve"> התואר האמור, זכאי לקבל תעודת</w:t>
            </w:r>
            <w:r w:rsidRPr="000C6222">
              <w:rPr>
                <w:rFonts w:hint="cs"/>
                <w:rtl/>
              </w:rPr>
              <w:t xml:space="preserve"> מטפל באמצעות אמנויות לפי חוק זה, ובלבד שהגיש בקשה לכך ומתקיימים בו התנאים הקבועים בפסקאות (1), (2), (4) ו-(5) שבסעיף 8.</w:t>
            </w:r>
          </w:p>
        </w:tc>
      </w:tr>
      <w:tr w:rsidR="00BA1A0F" w:rsidRPr="000C6222" w14:paraId="2BA3DC7D" w14:textId="77777777" w:rsidTr="00F87627">
        <w:trPr>
          <w:cantSplit/>
        </w:trPr>
        <w:tc>
          <w:tcPr>
            <w:tcW w:w="1871" w:type="dxa"/>
            <w:shd w:val="clear" w:color="auto" w:fill="auto"/>
            <w:tcMar>
              <w:top w:w="91" w:type="dxa"/>
              <w:left w:w="0" w:type="dxa"/>
              <w:bottom w:w="91" w:type="dxa"/>
              <w:right w:w="0" w:type="dxa"/>
            </w:tcMar>
          </w:tcPr>
          <w:p w14:paraId="0D9FD0D0" w14:textId="77777777" w:rsidR="00BA1A0F" w:rsidRPr="00BA5F88" w:rsidRDefault="00BA1A0F" w:rsidP="000E2540">
            <w:pPr>
              <w:pStyle w:val="TableSideHeading"/>
              <w:rPr>
                <w:rtl/>
              </w:rPr>
            </w:pPr>
          </w:p>
        </w:tc>
        <w:tc>
          <w:tcPr>
            <w:tcW w:w="624" w:type="dxa"/>
            <w:shd w:val="clear" w:color="auto" w:fill="auto"/>
            <w:tcMar>
              <w:top w:w="91" w:type="dxa"/>
              <w:left w:w="0" w:type="dxa"/>
              <w:bottom w:w="91" w:type="dxa"/>
              <w:right w:w="0" w:type="dxa"/>
            </w:tcMar>
          </w:tcPr>
          <w:p w14:paraId="471A85D1" w14:textId="77777777" w:rsidR="00BA1A0F" w:rsidRPr="00BA5F88" w:rsidRDefault="00BA1A0F" w:rsidP="000E2540">
            <w:pPr>
              <w:pStyle w:val="TableText"/>
              <w:rPr>
                <w:rtl/>
              </w:rPr>
            </w:pPr>
          </w:p>
        </w:tc>
        <w:tc>
          <w:tcPr>
            <w:tcW w:w="7143" w:type="dxa"/>
            <w:gridSpan w:val="3"/>
            <w:shd w:val="clear" w:color="auto" w:fill="auto"/>
            <w:tcMar>
              <w:top w:w="91" w:type="dxa"/>
              <w:left w:w="0" w:type="dxa"/>
              <w:bottom w:w="91" w:type="dxa"/>
              <w:right w:w="0" w:type="dxa"/>
            </w:tcMar>
          </w:tcPr>
          <w:p w14:paraId="5F8C7CFD" w14:textId="1B1025FC" w:rsidR="00BA1A0F" w:rsidRPr="000C6222" w:rsidRDefault="00BA1A0F" w:rsidP="00F87627">
            <w:pPr>
              <w:pStyle w:val="TableBlock"/>
              <w:rPr>
                <w:rtl/>
              </w:rPr>
            </w:pPr>
            <w:r w:rsidRPr="000C6222">
              <w:rPr>
                <w:rFonts w:hint="cs"/>
                <w:rtl/>
              </w:rPr>
              <w:t>(כד)</w:t>
            </w:r>
            <w:r w:rsidRPr="000C6222">
              <w:rPr>
                <w:rtl/>
              </w:rPr>
              <w:tab/>
            </w:r>
            <w:r w:rsidRPr="000C6222">
              <w:rPr>
                <w:rFonts w:hint="cs"/>
                <w:rtl/>
              </w:rPr>
              <w:t xml:space="preserve">מי שהיתה בידו ביום ט"ו בתמוז התשס"ה (22 ביולי 2005) תעודת הכרה במעמד במקצוע </w:t>
            </w:r>
            <w:r w:rsidR="00B814EE">
              <w:rPr>
                <w:rFonts w:hint="cs"/>
                <w:rtl/>
              </w:rPr>
              <w:t>טיפול</w:t>
            </w:r>
            <w:r w:rsidRPr="000C6222">
              <w:rPr>
                <w:rFonts w:hint="cs"/>
                <w:rtl/>
              </w:rPr>
              <w:t xml:space="preserve"> באמצעות אמנויות, לרבות תעודת הכרה זמנית, זכאי לקבל תעודת מטפל באמצעות אמנויות לפי חוק זה ובלבד שהגיש בקשה לכך ומתקיימים בו התנאים הקבועים בפסקאות (1), (2), (4) ו-(5) שבסעיף 8</w:t>
            </w:r>
            <w:r>
              <w:rPr>
                <w:rFonts w:hint="cs"/>
                <w:rtl/>
              </w:rPr>
              <w:t>.</w:t>
            </w:r>
            <w:r w:rsidRPr="000C6222">
              <w:rPr>
                <w:rFonts w:hint="cs"/>
                <w:rtl/>
              </w:rPr>
              <w:t>"</w:t>
            </w:r>
          </w:p>
        </w:tc>
      </w:tr>
      <w:tr w:rsidR="00BA1A0F" w:rsidRPr="00BA5F88" w14:paraId="68762F2D" w14:textId="77777777" w:rsidTr="00F87627">
        <w:tc>
          <w:tcPr>
            <w:tcW w:w="1871" w:type="dxa"/>
            <w:shd w:val="clear" w:color="auto" w:fill="auto"/>
            <w:tcMar>
              <w:top w:w="91" w:type="dxa"/>
              <w:left w:w="0" w:type="dxa"/>
              <w:bottom w:w="91" w:type="dxa"/>
              <w:right w:w="0" w:type="dxa"/>
            </w:tcMar>
          </w:tcPr>
          <w:p w14:paraId="484E7470" w14:textId="77777777" w:rsidR="00BA1A0F" w:rsidRPr="00BA5F88" w:rsidRDefault="00BA1A0F" w:rsidP="000E2540">
            <w:pPr>
              <w:pStyle w:val="TableSideHeading"/>
              <w:rPr>
                <w:rtl/>
              </w:rPr>
            </w:pPr>
            <w:r w:rsidRPr="00BA5F88">
              <w:rPr>
                <w:rtl/>
              </w:rPr>
              <w:t>תיקון התוספת הראשונה</w:t>
            </w:r>
          </w:p>
        </w:tc>
        <w:tc>
          <w:tcPr>
            <w:tcW w:w="624" w:type="dxa"/>
            <w:shd w:val="clear" w:color="auto" w:fill="auto"/>
            <w:tcMar>
              <w:top w:w="91" w:type="dxa"/>
              <w:left w:w="0" w:type="dxa"/>
              <w:bottom w:w="91" w:type="dxa"/>
              <w:right w:w="0" w:type="dxa"/>
            </w:tcMar>
          </w:tcPr>
          <w:p w14:paraId="04D5BC0A" w14:textId="77777777" w:rsidR="00BA1A0F" w:rsidRPr="00BA5F88" w:rsidRDefault="00BA1A0F" w:rsidP="000E2540">
            <w:pPr>
              <w:pStyle w:val="TableText"/>
              <w:rPr>
                <w:rtl/>
              </w:rPr>
            </w:pPr>
            <w:r>
              <w:rPr>
                <w:rFonts w:hint="cs"/>
                <w:rtl/>
              </w:rPr>
              <w:t>3.</w:t>
            </w:r>
          </w:p>
        </w:tc>
        <w:tc>
          <w:tcPr>
            <w:tcW w:w="7146" w:type="dxa"/>
            <w:gridSpan w:val="3"/>
            <w:shd w:val="clear" w:color="auto" w:fill="auto"/>
            <w:tcMar>
              <w:top w:w="91" w:type="dxa"/>
              <w:left w:w="0" w:type="dxa"/>
              <w:bottom w:w="91" w:type="dxa"/>
              <w:right w:w="0" w:type="dxa"/>
            </w:tcMar>
          </w:tcPr>
          <w:p w14:paraId="169B8CD3" w14:textId="77777777" w:rsidR="00BA1A0F" w:rsidRPr="00BA5F88" w:rsidRDefault="00BA1A0F" w:rsidP="000E2540">
            <w:pPr>
              <w:pStyle w:val="TableBlock"/>
              <w:rPr>
                <w:rtl/>
              </w:rPr>
            </w:pPr>
            <w:r w:rsidRPr="00BA5F88">
              <w:rPr>
                <w:rtl/>
              </w:rPr>
              <w:t>בתוספת הראשונה</w:t>
            </w:r>
            <w:r>
              <w:rPr>
                <w:rFonts w:hint="cs"/>
                <w:rtl/>
              </w:rPr>
              <w:t xml:space="preserve"> לחוק העיקרי</w:t>
            </w:r>
            <w:r w:rsidRPr="00BA5F88">
              <w:rPr>
                <w:rtl/>
              </w:rPr>
              <w:t>,</w:t>
            </w:r>
            <w:r>
              <w:rPr>
                <w:rtl/>
              </w:rPr>
              <w:t xml:space="preserve"> </w:t>
            </w:r>
            <w:r w:rsidRPr="00BA5F88">
              <w:rPr>
                <w:rtl/>
              </w:rPr>
              <w:t xml:space="preserve">אחרי פרט </w:t>
            </w:r>
            <w:r w:rsidRPr="00BA5F88">
              <w:rPr>
                <w:rFonts w:hint="cs"/>
                <w:rtl/>
              </w:rPr>
              <w:t>8</w:t>
            </w:r>
            <w:r w:rsidRPr="00BA5F88">
              <w:rPr>
                <w:rtl/>
              </w:rPr>
              <w:t xml:space="preserve"> יבוא:</w:t>
            </w:r>
          </w:p>
        </w:tc>
      </w:tr>
      <w:tr w:rsidR="00BA1A0F" w14:paraId="431E019E" w14:textId="77777777" w:rsidTr="00F87627">
        <w:tc>
          <w:tcPr>
            <w:tcW w:w="1871" w:type="dxa"/>
            <w:shd w:val="clear" w:color="auto" w:fill="auto"/>
            <w:tcMar>
              <w:top w:w="91" w:type="dxa"/>
              <w:left w:w="0" w:type="dxa"/>
              <w:bottom w:w="91" w:type="dxa"/>
              <w:right w:w="0" w:type="dxa"/>
            </w:tcMar>
          </w:tcPr>
          <w:p w14:paraId="18FCB7DA" w14:textId="77777777" w:rsidR="00BA1A0F" w:rsidRPr="00BA5F88" w:rsidRDefault="00BA1A0F" w:rsidP="000E2540">
            <w:pPr>
              <w:pStyle w:val="TableSideHeading"/>
              <w:rPr>
                <w:rtl/>
              </w:rPr>
            </w:pPr>
          </w:p>
        </w:tc>
        <w:tc>
          <w:tcPr>
            <w:tcW w:w="624" w:type="dxa"/>
            <w:shd w:val="clear" w:color="auto" w:fill="auto"/>
            <w:tcMar>
              <w:top w:w="91" w:type="dxa"/>
              <w:left w:w="0" w:type="dxa"/>
              <w:bottom w:w="91" w:type="dxa"/>
              <w:right w:w="0" w:type="dxa"/>
            </w:tcMar>
          </w:tcPr>
          <w:p w14:paraId="3225EC41" w14:textId="77777777" w:rsidR="00BA1A0F" w:rsidRPr="00BA5F88" w:rsidRDefault="00BA1A0F" w:rsidP="000E2540">
            <w:pPr>
              <w:pStyle w:val="TableText"/>
              <w:rPr>
                <w:rtl/>
              </w:rPr>
            </w:pPr>
          </w:p>
        </w:tc>
        <w:tc>
          <w:tcPr>
            <w:tcW w:w="7146" w:type="dxa"/>
            <w:gridSpan w:val="3"/>
            <w:shd w:val="clear" w:color="auto" w:fill="auto"/>
            <w:tcMar>
              <w:top w:w="91" w:type="dxa"/>
              <w:left w:w="0" w:type="dxa"/>
              <w:bottom w:w="91" w:type="dxa"/>
              <w:right w:w="0" w:type="dxa"/>
            </w:tcMar>
          </w:tcPr>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8"/>
              <w:gridCol w:w="2379"/>
              <w:gridCol w:w="2379"/>
            </w:tblGrid>
            <w:tr w:rsidR="00BA1A0F" w14:paraId="6322BB80" w14:textId="77777777" w:rsidTr="000E2540">
              <w:tc>
                <w:tcPr>
                  <w:tcW w:w="2378" w:type="dxa"/>
                  <w:tcBorders>
                    <w:top w:val="single" w:sz="4" w:space="0" w:color="auto"/>
                  </w:tcBorders>
                </w:tcPr>
                <w:p w14:paraId="73E54D15" w14:textId="77777777" w:rsidR="00BA1A0F" w:rsidRDefault="00BA1A0F" w:rsidP="000E2540">
                  <w:pPr>
                    <w:pStyle w:val="TableBlock"/>
                    <w:rPr>
                      <w:rtl/>
                    </w:rPr>
                  </w:pPr>
                  <w:r>
                    <w:rPr>
                      <w:rFonts w:hint="cs"/>
                      <w:rtl/>
                    </w:rPr>
                    <w:t>"9.</w:t>
                  </w:r>
                  <w:r>
                    <w:rPr>
                      <w:rtl/>
                    </w:rPr>
                    <w:tab/>
                  </w:r>
                  <w:r>
                    <w:rPr>
                      <w:rFonts w:hint="cs"/>
                      <w:rtl/>
                    </w:rPr>
                    <w:t>טיפול באמצעות אמנויות</w:t>
                  </w:r>
                </w:p>
              </w:tc>
              <w:tc>
                <w:tcPr>
                  <w:tcW w:w="2379" w:type="dxa"/>
                  <w:tcBorders>
                    <w:top w:val="single" w:sz="4" w:space="0" w:color="auto"/>
                  </w:tcBorders>
                </w:tcPr>
                <w:p w14:paraId="3ECB05CE" w14:textId="3BF908E1" w:rsidR="00BA1A0F" w:rsidRPr="0059542B" w:rsidRDefault="00BA1A0F" w:rsidP="000E2540">
                  <w:pPr>
                    <w:pStyle w:val="TableBlock"/>
                    <w:jc w:val="left"/>
                    <w:rPr>
                      <w:rtl/>
                    </w:rPr>
                  </w:pPr>
                  <w:r w:rsidRPr="0059542B">
                    <w:rPr>
                      <w:rFonts w:hint="cs"/>
                      <w:rtl/>
                    </w:rPr>
                    <w:t>(1)</w:t>
                  </w:r>
                  <w:r w:rsidRPr="0059542B">
                    <w:rPr>
                      <w:rtl/>
                    </w:rPr>
                    <w:tab/>
                  </w:r>
                  <w:r w:rsidRPr="0059542B">
                    <w:rPr>
                      <w:rFonts w:hint="cs"/>
                      <w:rtl/>
                    </w:rPr>
                    <w:t xml:space="preserve">תואר </w:t>
                  </w:r>
                  <w:r w:rsidRPr="0059542B">
                    <w:rPr>
                      <w:rFonts w:hint="eastAsia"/>
                      <w:rtl/>
                    </w:rPr>
                    <w:t>אקדמי</w:t>
                  </w:r>
                  <w:r w:rsidRPr="0059542B">
                    <w:rPr>
                      <w:rtl/>
                    </w:rPr>
                    <w:t xml:space="preserve"> שני </w:t>
                  </w:r>
                  <w:r w:rsidRPr="0059542B">
                    <w:rPr>
                      <w:rFonts w:hint="eastAsia"/>
                      <w:rtl/>
                    </w:rPr>
                    <w:t>בטיפול</w:t>
                  </w:r>
                  <w:r w:rsidRPr="0059542B">
                    <w:rPr>
                      <w:rtl/>
                    </w:rPr>
                    <w:t xml:space="preserve"> </w:t>
                  </w:r>
                  <w:r w:rsidRPr="0059542B">
                    <w:rPr>
                      <w:rFonts w:hint="eastAsia"/>
                      <w:rtl/>
                    </w:rPr>
                    <w:t>באמצעות</w:t>
                  </w:r>
                  <w:r w:rsidRPr="0059542B">
                    <w:rPr>
                      <w:rtl/>
                    </w:rPr>
                    <w:t xml:space="preserve"> </w:t>
                  </w:r>
                  <w:r>
                    <w:rPr>
                      <w:rFonts w:hint="eastAsia"/>
                      <w:rtl/>
                    </w:rPr>
                    <w:t>אמנו</w:t>
                  </w:r>
                  <w:r w:rsidRPr="0059542B">
                    <w:rPr>
                      <w:rFonts w:hint="eastAsia"/>
                      <w:rtl/>
                    </w:rPr>
                    <w:t>יות</w:t>
                  </w:r>
                  <w:r>
                    <w:rPr>
                      <w:rFonts w:hint="cs"/>
                      <w:rtl/>
                    </w:rPr>
                    <w:t xml:space="preserve">, </w:t>
                  </w:r>
                  <w:r w:rsidR="000C31CE">
                    <w:rPr>
                      <w:rFonts w:hint="cs"/>
                      <w:rtl/>
                    </w:rPr>
                    <w:t>ה</w:t>
                  </w:r>
                  <w:r>
                    <w:rPr>
                      <w:rFonts w:hint="cs"/>
                      <w:rtl/>
                    </w:rPr>
                    <w:t>כולל 600 שעות הכשרה מעשית,</w:t>
                  </w:r>
                  <w:r>
                    <w:rPr>
                      <w:rtl/>
                    </w:rPr>
                    <w:t xml:space="preserve"> באחד מתחומים אלה (בפרט זה</w:t>
                  </w:r>
                  <w:r>
                    <w:rPr>
                      <w:rFonts w:hint="cs"/>
                      <w:rtl/>
                    </w:rPr>
                    <w:t xml:space="preserve"> – </w:t>
                  </w:r>
                  <w:r w:rsidRPr="0059542B">
                    <w:rPr>
                      <w:rtl/>
                    </w:rPr>
                    <w:t>תחום הטיפול):</w:t>
                  </w:r>
                </w:p>
              </w:tc>
              <w:tc>
                <w:tcPr>
                  <w:tcW w:w="2379" w:type="dxa"/>
                  <w:tcBorders>
                    <w:top w:val="single" w:sz="4" w:space="0" w:color="auto"/>
                  </w:tcBorders>
                </w:tcPr>
                <w:p w14:paraId="0DAA8E53" w14:textId="77777777" w:rsidR="00BA1A0F" w:rsidRDefault="00BA1A0F" w:rsidP="000E2540">
                  <w:pPr>
                    <w:pStyle w:val="TableBlock"/>
                    <w:rPr>
                      <w:rtl/>
                    </w:rPr>
                  </w:pPr>
                  <w:r>
                    <w:rPr>
                      <w:rtl/>
                    </w:rPr>
                    <w:t>תעודת מטפל באמצעות א</w:t>
                  </w:r>
                  <w:r w:rsidRPr="00E66194">
                    <w:rPr>
                      <w:rtl/>
                    </w:rPr>
                    <w:t>מנויות, בציון תחום הטיפול</w:t>
                  </w:r>
                </w:p>
              </w:tc>
            </w:tr>
            <w:tr w:rsidR="00BA1A0F" w14:paraId="4AB2AA5D" w14:textId="77777777" w:rsidTr="000E2540">
              <w:tc>
                <w:tcPr>
                  <w:tcW w:w="2378" w:type="dxa"/>
                </w:tcPr>
                <w:p w14:paraId="468003ED" w14:textId="77777777" w:rsidR="00BA1A0F" w:rsidRDefault="00BA1A0F" w:rsidP="000E2540">
                  <w:pPr>
                    <w:pStyle w:val="TableBlock"/>
                    <w:rPr>
                      <w:rtl/>
                    </w:rPr>
                  </w:pPr>
                </w:p>
              </w:tc>
              <w:tc>
                <w:tcPr>
                  <w:tcW w:w="2379" w:type="dxa"/>
                </w:tcPr>
                <w:p w14:paraId="3823808D" w14:textId="77777777" w:rsidR="00BA1A0F" w:rsidRPr="00BA5F88" w:rsidRDefault="00BA1A0F" w:rsidP="000E2540">
                  <w:pPr>
                    <w:pStyle w:val="TableBlock"/>
                    <w:tabs>
                      <w:tab w:val="clear" w:pos="624"/>
                      <w:tab w:val="left" w:pos="765"/>
                    </w:tabs>
                    <w:ind w:left="340"/>
                    <w:rPr>
                      <w:rtl/>
                    </w:rPr>
                  </w:pPr>
                  <w:r w:rsidRPr="00BA5F88">
                    <w:rPr>
                      <w:rFonts w:hint="cs"/>
                      <w:rtl/>
                    </w:rPr>
                    <w:t>(א)</w:t>
                  </w:r>
                  <w:r w:rsidRPr="00BA5F88">
                    <w:rPr>
                      <w:rtl/>
                    </w:rPr>
                    <w:tab/>
                  </w:r>
                  <w:r>
                    <w:rPr>
                      <w:rFonts w:hint="cs"/>
                      <w:rtl/>
                    </w:rPr>
                    <w:t>אמנו</w:t>
                  </w:r>
                  <w:r w:rsidRPr="00BA5F88">
                    <w:rPr>
                      <w:rFonts w:hint="cs"/>
                      <w:rtl/>
                    </w:rPr>
                    <w:t>ת חזותית;</w:t>
                  </w:r>
                </w:p>
              </w:tc>
              <w:tc>
                <w:tcPr>
                  <w:tcW w:w="2379" w:type="dxa"/>
                </w:tcPr>
                <w:p w14:paraId="450778D0" w14:textId="77777777" w:rsidR="00BA1A0F" w:rsidRDefault="00BA1A0F" w:rsidP="000E2540">
                  <w:pPr>
                    <w:pStyle w:val="TableBlock"/>
                    <w:rPr>
                      <w:rtl/>
                    </w:rPr>
                  </w:pPr>
                </w:p>
              </w:tc>
            </w:tr>
            <w:tr w:rsidR="00BA1A0F" w14:paraId="7C8CCB9F" w14:textId="77777777" w:rsidTr="000E2540">
              <w:tc>
                <w:tcPr>
                  <w:tcW w:w="2378" w:type="dxa"/>
                </w:tcPr>
                <w:p w14:paraId="433E93B7" w14:textId="77777777" w:rsidR="00BA1A0F" w:rsidRDefault="00BA1A0F" w:rsidP="000E2540">
                  <w:pPr>
                    <w:pStyle w:val="TableBlock"/>
                    <w:rPr>
                      <w:rtl/>
                    </w:rPr>
                  </w:pPr>
                </w:p>
              </w:tc>
              <w:tc>
                <w:tcPr>
                  <w:tcW w:w="2379" w:type="dxa"/>
                </w:tcPr>
                <w:p w14:paraId="52B5BCD4" w14:textId="77777777" w:rsidR="00BA1A0F" w:rsidRPr="00BA5F88" w:rsidRDefault="00BA1A0F" w:rsidP="000E2540">
                  <w:pPr>
                    <w:pStyle w:val="TableBlock"/>
                    <w:tabs>
                      <w:tab w:val="clear" w:pos="624"/>
                      <w:tab w:val="left" w:pos="765"/>
                    </w:tabs>
                    <w:ind w:left="340"/>
                    <w:rPr>
                      <w:rtl/>
                    </w:rPr>
                  </w:pPr>
                  <w:r w:rsidRPr="00BA5F88">
                    <w:rPr>
                      <w:rFonts w:hint="cs"/>
                      <w:rtl/>
                    </w:rPr>
                    <w:t>(ב)</w:t>
                  </w:r>
                  <w:r w:rsidRPr="00BA5F88">
                    <w:rPr>
                      <w:rtl/>
                    </w:rPr>
                    <w:tab/>
                  </w:r>
                  <w:r w:rsidRPr="00BA5F88">
                    <w:rPr>
                      <w:rFonts w:hint="cs"/>
                      <w:rtl/>
                    </w:rPr>
                    <w:t>ביבליותרפיה;</w:t>
                  </w:r>
                </w:p>
              </w:tc>
              <w:tc>
                <w:tcPr>
                  <w:tcW w:w="2379" w:type="dxa"/>
                </w:tcPr>
                <w:p w14:paraId="2119F9B1" w14:textId="77777777" w:rsidR="00BA1A0F" w:rsidRDefault="00BA1A0F" w:rsidP="000E2540">
                  <w:pPr>
                    <w:pStyle w:val="TableBlock"/>
                    <w:rPr>
                      <w:rtl/>
                    </w:rPr>
                  </w:pPr>
                </w:p>
              </w:tc>
            </w:tr>
            <w:tr w:rsidR="00BA1A0F" w14:paraId="340B5F1E" w14:textId="77777777" w:rsidTr="000E2540">
              <w:tc>
                <w:tcPr>
                  <w:tcW w:w="2378" w:type="dxa"/>
                </w:tcPr>
                <w:p w14:paraId="406C882D" w14:textId="77777777" w:rsidR="00BA1A0F" w:rsidRDefault="00BA1A0F" w:rsidP="000E2540">
                  <w:pPr>
                    <w:pStyle w:val="TableBlock"/>
                    <w:rPr>
                      <w:rtl/>
                    </w:rPr>
                  </w:pPr>
                </w:p>
              </w:tc>
              <w:tc>
                <w:tcPr>
                  <w:tcW w:w="2379" w:type="dxa"/>
                </w:tcPr>
                <w:p w14:paraId="1EB0F21A" w14:textId="77777777" w:rsidR="00BA1A0F" w:rsidRPr="00BA5F88" w:rsidRDefault="00BA1A0F" w:rsidP="000E2540">
                  <w:pPr>
                    <w:pStyle w:val="TableBlock"/>
                    <w:tabs>
                      <w:tab w:val="clear" w:pos="624"/>
                      <w:tab w:val="left" w:pos="765"/>
                    </w:tabs>
                    <w:ind w:left="340"/>
                    <w:rPr>
                      <w:rtl/>
                    </w:rPr>
                  </w:pPr>
                  <w:r w:rsidRPr="00BA5F88">
                    <w:rPr>
                      <w:rFonts w:hint="cs"/>
                      <w:rtl/>
                    </w:rPr>
                    <w:t>(ג)</w:t>
                  </w:r>
                  <w:r w:rsidRPr="00BA5F88">
                    <w:rPr>
                      <w:rtl/>
                    </w:rPr>
                    <w:tab/>
                  </w:r>
                  <w:r w:rsidRPr="00BA5F88">
                    <w:rPr>
                      <w:rFonts w:hint="cs"/>
                      <w:rtl/>
                    </w:rPr>
                    <w:t>תנועה ומחול;</w:t>
                  </w:r>
                </w:p>
              </w:tc>
              <w:tc>
                <w:tcPr>
                  <w:tcW w:w="2379" w:type="dxa"/>
                </w:tcPr>
                <w:p w14:paraId="05449B6D" w14:textId="77777777" w:rsidR="00BA1A0F" w:rsidRDefault="00BA1A0F" w:rsidP="000E2540">
                  <w:pPr>
                    <w:pStyle w:val="TableBlock"/>
                    <w:rPr>
                      <w:rtl/>
                    </w:rPr>
                  </w:pPr>
                </w:p>
              </w:tc>
            </w:tr>
            <w:tr w:rsidR="00BA1A0F" w14:paraId="70F5EFE4" w14:textId="77777777" w:rsidTr="000E2540">
              <w:tc>
                <w:tcPr>
                  <w:tcW w:w="2378" w:type="dxa"/>
                </w:tcPr>
                <w:p w14:paraId="334CD66B" w14:textId="77777777" w:rsidR="00BA1A0F" w:rsidRDefault="00BA1A0F" w:rsidP="000E2540">
                  <w:pPr>
                    <w:pStyle w:val="TableBlock"/>
                    <w:rPr>
                      <w:rtl/>
                    </w:rPr>
                  </w:pPr>
                </w:p>
              </w:tc>
              <w:tc>
                <w:tcPr>
                  <w:tcW w:w="2379" w:type="dxa"/>
                </w:tcPr>
                <w:p w14:paraId="25CA9C84" w14:textId="77777777" w:rsidR="00BA1A0F" w:rsidRPr="00BA5F88" w:rsidRDefault="00BA1A0F" w:rsidP="000E2540">
                  <w:pPr>
                    <w:pStyle w:val="TableBlock"/>
                    <w:tabs>
                      <w:tab w:val="clear" w:pos="624"/>
                      <w:tab w:val="left" w:pos="765"/>
                    </w:tabs>
                    <w:ind w:left="340"/>
                    <w:rPr>
                      <w:rtl/>
                    </w:rPr>
                  </w:pPr>
                  <w:r w:rsidRPr="00BA5F88">
                    <w:rPr>
                      <w:rFonts w:hint="cs"/>
                      <w:rtl/>
                    </w:rPr>
                    <w:t>(ד)</w:t>
                  </w:r>
                  <w:r w:rsidRPr="00BA5F88">
                    <w:rPr>
                      <w:rtl/>
                    </w:rPr>
                    <w:tab/>
                  </w:r>
                  <w:r w:rsidRPr="00BA5F88">
                    <w:rPr>
                      <w:rFonts w:hint="cs"/>
                      <w:rtl/>
                    </w:rPr>
                    <w:t>מוסיקה;</w:t>
                  </w:r>
                </w:p>
              </w:tc>
              <w:tc>
                <w:tcPr>
                  <w:tcW w:w="2379" w:type="dxa"/>
                </w:tcPr>
                <w:p w14:paraId="68E33F07" w14:textId="77777777" w:rsidR="00BA1A0F" w:rsidRDefault="00BA1A0F" w:rsidP="000E2540">
                  <w:pPr>
                    <w:pStyle w:val="TableBlock"/>
                    <w:rPr>
                      <w:rtl/>
                    </w:rPr>
                  </w:pPr>
                </w:p>
              </w:tc>
            </w:tr>
            <w:tr w:rsidR="00BA1A0F" w14:paraId="1934915F" w14:textId="77777777" w:rsidTr="000E2540">
              <w:tc>
                <w:tcPr>
                  <w:tcW w:w="2378" w:type="dxa"/>
                </w:tcPr>
                <w:p w14:paraId="260103CD" w14:textId="77777777" w:rsidR="00BA1A0F" w:rsidRDefault="00BA1A0F" w:rsidP="000E2540">
                  <w:pPr>
                    <w:pStyle w:val="TableBlock"/>
                    <w:rPr>
                      <w:rtl/>
                    </w:rPr>
                  </w:pPr>
                </w:p>
              </w:tc>
              <w:tc>
                <w:tcPr>
                  <w:tcW w:w="2379" w:type="dxa"/>
                </w:tcPr>
                <w:p w14:paraId="0FFBA0A0" w14:textId="77777777" w:rsidR="00BA1A0F" w:rsidRPr="00BA5F88" w:rsidRDefault="00BA1A0F" w:rsidP="000E2540">
                  <w:pPr>
                    <w:pStyle w:val="TableBlock"/>
                    <w:tabs>
                      <w:tab w:val="clear" w:pos="624"/>
                      <w:tab w:val="left" w:pos="765"/>
                    </w:tabs>
                    <w:ind w:left="340"/>
                    <w:rPr>
                      <w:rtl/>
                    </w:rPr>
                  </w:pPr>
                  <w:r w:rsidRPr="00BA5F88">
                    <w:rPr>
                      <w:rFonts w:hint="cs"/>
                      <w:rtl/>
                    </w:rPr>
                    <w:t>(ה)</w:t>
                  </w:r>
                  <w:r w:rsidRPr="00BA5F88">
                    <w:rPr>
                      <w:rtl/>
                    </w:rPr>
                    <w:tab/>
                  </w:r>
                  <w:r w:rsidRPr="00BA5F88">
                    <w:rPr>
                      <w:rFonts w:hint="cs"/>
                      <w:rtl/>
                    </w:rPr>
                    <w:t>דרמה תרפיה;</w:t>
                  </w:r>
                </w:p>
              </w:tc>
              <w:tc>
                <w:tcPr>
                  <w:tcW w:w="2379" w:type="dxa"/>
                </w:tcPr>
                <w:p w14:paraId="434DC2BC" w14:textId="77777777" w:rsidR="00BA1A0F" w:rsidRDefault="00BA1A0F" w:rsidP="000E2540">
                  <w:pPr>
                    <w:pStyle w:val="TableBlock"/>
                    <w:rPr>
                      <w:rtl/>
                    </w:rPr>
                  </w:pPr>
                </w:p>
              </w:tc>
            </w:tr>
            <w:tr w:rsidR="00BA1A0F" w14:paraId="26207F25" w14:textId="77777777" w:rsidTr="000E2540">
              <w:tc>
                <w:tcPr>
                  <w:tcW w:w="2378" w:type="dxa"/>
                </w:tcPr>
                <w:p w14:paraId="10B9B2A5" w14:textId="77777777" w:rsidR="00BA1A0F" w:rsidRDefault="00BA1A0F" w:rsidP="000E2540">
                  <w:pPr>
                    <w:pStyle w:val="TableBlock"/>
                    <w:rPr>
                      <w:rtl/>
                    </w:rPr>
                  </w:pPr>
                </w:p>
              </w:tc>
              <w:tc>
                <w:tcPr>
                  <w:tcW w:w="2379" w:type="dxa"/>
                </w:tcPr>
                <w:p w14:paraId="3F072235" w14:textId="77777777" w:rsidR="00BA1A0F" w:rsidRPr="00BA5F88" w:rsidRDefault="00BA1A0F" w:rsidP="000E2540">
                  <w:pPr>
                    <w:pStyle w:val="TableBlock"/>
                    <w:tabs>
                      <w:tab w:val="clear" w:pos="624"/>
                      <w:tab w:val="left" w:pos="765"/>
                    </w:tabs>
                    <w:ind w:left="340"/>
                    <w:rPr>
                      <w:rtl/>
                    </w:rPr>
                  </w:pPr>
                  <w:r w:rsidRPr="00BA5F88">
                    <w:rPr>
                      <w:rFonts w:hint="cs"/>
                      <w:rtl/>
                    </w:rPr>
                    <w:t>(ו)</w:t>
                  </w:r>
                  <w:r w:rsidRPr="00BA5F88">
                    <w:rPr>
                      <w:rtl/>
                    </w:rPr>
                    <w:tab/>
                  </w:r>
                  <w:r w:rsidRPr="00BA5F88">
                    <w:rPr>
                      <w:rFonts w:hint="cs"/>
                      <w:rtl/>
                    </w:rPr>
                    <w:t>פסיכודרמה;</w:t>
                  </w:r>
                </w:p>
              </w:tc>
              <w:tc>
                <w:tcPr>
                  <w:tcW w:w="2379" w:type="dxa"/>
                </w:tcPr>
                <w:p w14:paraId="0FB822EC" w14:textId="77777777" w:rsidR="00BA1A0F" w:rsidRDefault="00BA1A0F" w:rsidP="000E2540">
                  <w:pPr>
                    <w:pStyle w:val="TableBlock"/>
                    <w:rPr>
                      <w:rtl/>
                    </w:rPr>
                  </w:pPr>
                </w:p>
              </w:tc>
            </w:tr>
            <w:tr w:rsidR="00BA1A0F" w14:paraId="40CE57F0" w14:textId="77777777" w:rsidTr="000E2540">
              <w:tc>
                <w:tcPr>
                  <w:tcW w:w="2378" w:type="dxa"/>
                </w:tcPr>
                <w:p w14:paraId="47BA65E3" w14:textId="77777777" w:rsidR="00BA1A0F" w:rsidRDefault="00BA1A0F" w:rsidP="000E2540">
                  <w:pPr>
                    <w:pStyle w:val="TableBlock"/>
                    <w:rPr>
                      <w:rtl/>
                    </w:rPr>
                  </w:pPr>
                </w:p>
              </w:tc>
              <w:tc>
                <w:tcPr>
                  <w:tcW w:w="2379" w:type="dxa"/>
                </w:tcPr>
                <w:p w14:paraId="54E39F30" w14:textId="383EDB34" w:rsidR="00BA1A0F" w:rsidRPr="00BA5F88" w:rsidRDefault="00BA1A0F" w:rsidP="00F2575B">
                  <w:pPr>
                    <w:pStyle w:val="TableBlock"/>
                    <w:rPr>
                      <w:rtl/>
                    </w:rPr>
                  </w:pPr>
                  <w:r w:rsidRPr="00BA5F88">
                    <w:rPr>
                      <w:rFonts w:hint="cs"/>
                      <w:rtl/>
                    </w:rPr>
                    <w:t>(2)</w:t>
                  </w:r>
                  <w:r w:rsidRPr="00BA5F88">
                    <w:rPr>
                      <w:rtl/>
                    </w:rPr>
                    <w:tab/>
                  </w:r>
                  <w:r w:rsidRPr="00BA5F88">
                    <w:rPr>
                      <w:rFonts w:hint="cs"/>
                      <w:rtl/>
                    </w:rPr>
                    <w:t>הכשרה</w:t>
                  </w:r>
                  <w:r>
                    <w:rPr>
                      <w:rFonts w:hint="cs"/>
                      <w:rtl/>
                    </w:rPr>
                    <w:t xml:space="preserve"> מעשית מתקדמת, </w:t>
                  </w:r>
                  <w:r w:rsidR="000C31CE">
                    <w:rPr>
                      <w:rFonts w:hint="cs"/>
                      <w:rtl/>
                    </w:rPr>
                    <w:t>ה</w:t>
                  </w:r>
                  <w:r>
                    <w:rPr>
                      <w:rFonts w:hint="cs"/>
                      <w:rtl/>
                    </w:rPr>
                    <w:t>כולל</w:t>
                  </w:r>
                  <w:r w:rsidR="000C31CE">
                    <w:rPr>
                      <w:rFonts w:hint="cs"/>
                      <w:rtl/>
                    </w:rPr>
                    <w:t>ת</w:t>
                  </w:r>
                  <w:r>
                    <w:rPr>
                      <w:rFonts w:hint="cs"/>
                      <w:rtl/>
                    </w:rPr>
                    <w:t xml:space="preserve"> הדרכה, בהיקף של 960 שעות</w:t>
                  </w:r>
                  <w:r w:rsidR="000C31CE">
                    <w:rPr>
                      <w:rFonts w:hint="cs"/>
                      <w:rtl/>
                    </w:rPr>
                    <w:t>,</w:t>
                  </w:r>
                  <w:r>
                    <w:rPr>
                      <w:rFonts w:hint="cs"/>
                      <w:rtl/>
                    </w:rPr>
                    <w:t xml:space="preserve"> במסגרת מוסד מוכר להשכלה גבוה</w:t>
                  </w:r>
                  <w:r w:rsidR="004D30C5">
                    <w:rPr>
                      <w:rFonts w:hint="cs"/>
                      <w:rtl/>
                    </w:rPr>
                    <w:t>ה</w:t>
                  </w:r>
                  <w:r>
                    <w:rPr>
                      <w:rFonts w:hint="cs"/>
                      <w:rtl/>
                    </w:rPr>
                    <w:t xml:space="preserve"> שמעניק תואר אקדמי שני בטיפול באמצעות אמנויות ובפיקוחו, נוסף על הכשרה מעשית בהיקף של 600 שעות שנכללת בלימודי התואר האקדמי השני</w:t>
                  </w:r>
                  <w:r w:rsidR="00D72F96">
                    <w:rPr>
                      <w:rFonts w:hint="cs"/>
                      <w:rtl/>
                    </w:rPr>
                    <w:t xml:space="preserve"> בטיפול באמצעות אומנויות</w:t>
                  </w:r>
                  <w:r>
                    <w:rPr>
                      <w:rFonts w:hint="cs"/>
                      <w:rtl/>
                    </w:rPr>
                    <w:t>;</w:t>
                  </w:r>
                </w:p>
              </w:tc>
              <w:tc>
                <w:tcPr>
                  <w:tcW w:w="2379" w:type="dxa"/>
                </w:tcPr>
                <w:p w14:paraId="3B5ED997" w14:textId="77777777" w:rsidR="00BA1A0F" w:rsidRPr="00A77FC7" w:rsidRDefault="00BA1A0F" w:rsidP="000E2540">
                  <w:pPr>
                    <w:rPr>
                      <w:rtl/>
                    </w:rPr>
                  </w:pPr>
                </w:p>
              </w:tc>
            </w:tr>
            <w:tr w:rsidR="00BA1A0F" w14:paraId="6330879B" w14:textId="77777777" w:rsidTr="000E2540">
              <w:tc>
                <w:tcPr>
                  <w:tcW w:w="2378" w:type="dxa"/>
                </w:tcPr>
                <w:p w14:paraId="4710631C" w14:textId="77777777" w:rsidR="00BA1A0F" w:rsidRDefault="00BA1A0F" w:rsidP="000E2540">
                  <w:pPr>
                    <w:pStyle w:val="TableBlock"/>
                    <w:rPr>
                      <w:rtl/>
                    </w:rPr>
                  </w:pPr>
                </w:p>
              </w:tc>
              <w:tc>
                <w:tcPr>
                  <w:tcW w:w="2379" w:type="dxa"/>
                </w:tcPr>
                <w:p w14:paraId="5AB7099A" w14:textId="77777777" w:rsidR="00BA1A0F" w:rsidRDefault="00BA1A0F" w:rsidP="000E2540">
                  <w:pPr>
                    <w:pStyle w:val="TableBlock"/>
                    <w:rPr>
                      <w:rtl/>
                    </w:rPr>
                  </w:pPr>
                  <w:r w:rsidRPr="00BA5F88">
                    <w:rPr>
                      <w:rFonts w:hint="cs"/>
                      <w:rtl/>
                    </w:rPr>
                    <w:t>(3)</w:t>
                  </w:r>
                  <w:r w:rsidRPr="00BA5F88">
                    <w:rPr>
                      <w:rtl/>
                    </w:rPr>
                    <w:tab/>
                  </w:r>
                  <w:r w:rsidRPr="00BA5F88">
                    <w:rPr>
                      <w:rFonts w:hint="cs"/>
                      <w:rtl/>
                    </w:rPr>
                    <w:t>עמידה בבחינות שקבע המנהל.</w:t>
                  </w:r>
                  <w:r>
                    <w:rPr>
                      <w:rFonts w:hint="cs"/>
                      <w:rtl/>
                    </w:rPr>
                    <w:t>"</w:t>
                  </w:r>
                </w:p>
              </w:tc>
              <w:tc>
                <w:tcPr>
                  <w:tcW w:w="2379" w:type="dxa"/>
                </w:tcPr>
                <w:p w14:paraId="3AF85062" w14:textId="77777777" w:rsidR="00BA1A0F" w:rsidRDefault="00BA1A0F" w:rsidP="000E2540">
                  <w:pPr>
                    <w:pStyle w:val="TableBlock"/>
                    <w:rPr>
                      <w:rtl/>
                    </w:rPr>
                  </w:pPr>
                </w:p>
              </w:tc>
            </w:tr>
          </w:tbl>
          <w:p w14:paraId="57CF3480" w14:textId="77777777" w:rsidR="00BA1A0F" w:rsidRDefault="00BA1A0F" w:rsidP="000E2540">
            <w:pPr>
              <w:pStyle w:val="TableBlock"/>
              <w:rPr>
                <w:rtl/>
              </w:rPr>
            </w:pPr>
          </w:p>
        </w:tc>
      </w:tr>
      <w:tr w:rsidR="00BA1A0F" w:rsidRPr="00BA5F88" w14:paraId="2EAB0F78" w14:textId="77777777" w:rsidTr="00F87627">
        <w:trPr>
          <w:cantSplit/>
        </w:trPr>
        <w:tc>
          <w:tcPr>
            <w:tcW w:w="1871" w:type="dxa"/>
            <w:shd w:val="clear" w:color="auto" w:fill="auto"/>
            <w:tcMar>
              <w:top w:w="91" w:type="dxa"/>
              <w:left w:w="0" w:type="dxa"/>
              <w:bottom w:w="91" w:type="dxa"/>
              <w:right w:w="0" w:type="dxa"/>
            </w:tcMar>
          </w:tcPr>
          <w:p w14:paraId="7130F28C" w14:textId="77777777" w:rsidR="00BA1A0F" w:rsidRPr="00BA5F88" w:rsidRDefault="00BA1A0F" w:rsidP="000E2540">
            <w:pPr>
              <w:pStyle w:val="TableSideHeading"/>
              <w:rPr>
                <w:rtl/>
              </w:rPr>
            </w:pPr>
            <w:r w:rsidRPr="00BA5F88">
              <w:rPr>
                <w:rFonts w:hint="cs"/>
                <w:rtl/>
              </w:rPr>
              <w:lastRenderedPageBreak/>
              <w:t>תיקון התוספת השלישית</w:t>
            </w:r>
          </w:p>
        </w:tc>
        <w:tc>
          <w:tcPr>
            <w:tcW w:w="624" w:type="dxa"/>
            <w:shd w:val="clear" w:color="auto" w:fill="auto"/>
            <w:tcMar>
              <w:top w:w="91" w:type="dxa"/>
              <w:left w:w="0" w:type="dxa"/>
              <w:bottom w:w="91" w:type="dxa"/>
              <w:right w:w="0" w:type="dxa"/>
            </w:tcMar>
          </w:tcPr>
          <w:p w14:paraId="7DD5D121" w14:textId="77777777" w:rsidR="00BA1A0F" w:rsidRPr="00BA5F88" w:rsidRDefault="00BA1A0F" w:rsidP="000E2540">
            <w:pPr>
              <w:pStyle w:val="TableText"/>
              <w:rPr>
                <w:rtl/>
              </w:rPr>
            </w:pPr>
            <w:r>
              <w:rPr>
                <w:rFonts w:hint="cs"/>
                <w:rtl/>
              </w:rPr>
              <w:t>4.</w:t>
            </w:r>
          </w:p>
        </w:tc>
        <w:tc>
          <w:tcPr>
            <w:tcW w:w="7146" w:type="dxa"/>
            <w:gridSpan w:val="3"/>
            <w:shd w:val="clear" w:color="auto" w:fill="auto"/>
            <w:tcMar>
              <w:top w:w="91" w:type="dxa"/>
              <w:left w:w="0" w:type="dxa"/>
              <w:bottom w:w="91" w:type="dxa"/>
              <w:right w:w="0" w:type="dxa"/>
            </w:tcMar>
          </w:tcPr>
          <w:p w14:paraId="0EC4CAF7" w14:textId="77777777" w:rsidR="00BA1A0F" w:rsidRPr="00BA5F88" w:rsidRDefault="00BA1A0F" w:rsidP="000E2540">
            <w:pPr>
              <w:pStyle w:val="TableBlock"/>
              <w:rPr>
                <w:rtl/>
              </w:rPr>
            </w:pPr>
            <w:r w:rsidRPr="00BA5F88">
              <w:rPr>
                <w:rFonts w:hint="cs"/>
                <w:rtl/>
              </w:rPr>
              <w:t>בתוספת השלישית</w:t>
            </w:r>
            <w:r>
              <w:rPr>
                <w:rFonts w:hint="cs"/>
                <w:rtl/>
              </w:rPr>
              <w:t xml:space="preserve"> לחוק העיקרי</w:t>
            </w:r>
            <w:r w:rsidRPr="00BA5F88">
              <w:rPr>
                <w:rFonts w:hint="cs"/>
                <w:rtl/>
              </w:rPr>
              <w:t>, אחרי פרט 8 יבוא:</w:t>
            </w:r>
          </w:p>
        </w:tc>
      </w:tr>
      <w:tr w:rsidR="00BA1A0F" w:rsidRPr="00507CBD" w14:paraId="164F5629" w14:textId="77777777" w:rsidTr="00F87627">
        <w:trPr>
          <w:cantSplit/>
        </w:trPr>
        <w:tc>
          <w:tcPr>
            <w:tcW w:w="1871" w:type="dxa"/>
            <w:shd w:val="clear" w:color="auto" w:fill="auto"/>
            <w:tcMar>
              <w:top w:w="91" w:type="dxa"/>
              <w:left w:w="0" w:type="dxa"/>
              <w:bottom w:w="91" w:type="dxa"/>
              <w:right w:w="0" w:type="dxa"/>
            </w:tcMar>
          </w:tcPr>
          <w:p w14:paraId="737D28BC" w14:textId="77777777" w:rsidR="00BA1A0F" w:rsidRPr="00BA5F88" w:rsidRDefault="00BA1A0F" w:rsidP="000E2540">
            <w:pPr>
              <w:pStyle w:val="TableSideHeading"/>
              <w:rPr>
                <w:rtl/>
              </w:rPr>
            </w:pPr>
          </w:p>
        </w:tc>
        <w:tc>
          <w:tcPr>
            <w:tcW w:w="624" w:type="dxa"/>
            <w:shd w:val="clear" w:color="auto" w:fill="auto"/>
            <w:tcMar>
              <w:top w:w="91" w:type="dxa"/>
              <w:left w:w="0" w:type="dxa"/>
              <w:bottom w:w="91" w:type="dxa"/>
              <w:right w:w="0" w:type="dxa"/>
            </w:tcMar>
          </w:tcPr>
          <w:p w14:paraId="2390B2B4" w14:textId="77777777" w:rsidR="00BA1A0F" w:rsidRPr="00BA5F88" w:rsidRDefault="00BA1A0F" w:rsidP="000E2540">
            <w:pPr>
              <w:pStyle w:val="TableText"/>
              <w:rPr>
                <w:rtl/>
              </w:rPr>
            </w:pPr>
          </w:p>
        </w:tc>
        <w:tc>
          <w:tcPr>
            <w:tcW w:w="611" w:type="dxa"/>
            <w:tcBorders>
              <w:top w:val="single" w:sz="4" w:space="0" w:color="auto"/>
            </w:tcBorders>
            <w:shd w:val="clear" w:color="auto" w:fill="auto"/>
            <w:tcMar>
              <w:top w:w="91" w:type="dxa"/>
              <w:left w:w="0" w:type="dxa"/>
              <w:bottom w:w="91" w:type="dxa"/>
              <w:right w:w="0" w:type="dxa"/>
            </w:tcMar>
          </w:tcPr>
          <w:p w14:paraId="0124675B" w14:textId="77777777" w:rsidR="00BA1A0F" w:rsidRPr="00BA5F88" w:rsidRDefault="00BA1A0F" w:rsidP="000E2540">
            <w:pPr>
              <w:pStyle w:val="TableBlock"/>
              <w:rPr>
                <w:rtl/>
              </w:rPr>
            </w:pPr>
            <w:r w:rsidRPr="00BA5F88">
              <w:rPr>
                <w:rFonts w:hint="cs"/>
                <w:rtl/>
              </w:rPr>
              <w:t>"9.</w:t>
            </w:r>
          </w:p>
        </w:tc>
        <w:tc>
          <w:tcPr>
            <w:tcW w:w="2700" w:type="dxa"/>
            <w:tcBorders>
              <w:top w:val="single" w:sz="4" w:space="0" w:color="auto"/>
            </w:tcBorders>
            <w:shd w:val="clear" w:color="auto" w:fill="auto"/>
          </w:tcPr>
          <w:p w14:paraId="6C9DB7DE" w14:textId="77777777" w:rsidR="00BA1A0F" w:rsidRPr="00507CBD" w:rsidRDefault="00BA1A0F" w:rsidP="000E2540">
            <w:pPr>
              <w:pStyle w:val="TableBlock"/>
              <w:rPr>
                <w:rtl/>
              </w:rPr>
            </w:pPr>
            <w:r w:rsidRPr="00507CBD">
              <w:rPr>
                <w:rFonts w:hint="cs"/>
                <w:rtl/>
              </w:rPr>
              <w:t xml:space="preserve"> טיפול באמצעות </w:t>
            </w:r>
            <w:r>
              <w:rPr>
                <w:rFonts w:hint="cs"/>
                <w:rtl/>
              </w:rPr>
              <w:t>אמנו</w:t>
            </w:r>
            <w:r w:rsidRPr="00507CBD">
              <w:rPr>
                <w:rFonts w:hint="cs"/>
                <w:rtl/>
              </w:rPr>
              <w:t>יות</w:t>
            </w:r>
          </w:p>
        </w:tc>
        <w:tc>
          <w:tcPr>
            <w:tcW w:w="3835" w:type="dxa"/>
            <w:tcBorders>
              <w:top w:val="single" w:sz="4" w:space="0" w:color="auto"/>
            </w:tcBorders>
            <w:shd w:val="clear" w:color="auto" w:fill="auto"/>
          </w:tcPr>
          <w:p w14:paraId="79A3A71F" w14:textId="77777777" w:rsidR="00BA1A0F" w:rsidRPr="00507CBD" w:rsidRDefault="00BA1A0F" w:rsidP="000E2540">
            <w:pPr>
              <w:pStyle w:val="TableBlock"/>
              <w:rPr>
                <w:rtl/>
              </w:rPr>
            </w:pPr>
            <w:r w:rsidRPr="00507CBD">
              <w:rPr>
                <w:rFonts w:hint="cs"/>
                <w:rtl/>
              </w:rPr>
              <w:t>(א)</w:t>
            </w:r>
            <w:r w:rsidRPr="00507CBD">
              <w:rPr>
                <w:rtl/>
              </w:rPr>
              <w:tab/>
            </w:r>
            <w:r w:rsidRPr="00507CBD">
              <w:rPr>
                <w:rFonts w:hint="cs"/>
                <w:rtl/>
              </w:rPr>
              <w:t>מטפל ב</w:t>
            </w:r>
            <w:r w:rsidRPr="00507CBD">
              <w:rPr>
                <w:rFonts w:hint="eastAsia"/>
                <w:rtl/>
              </w:rPr>
              <w:t>אמצעות</w:t>
            </w:r>
            <w:r w:rsidRPr="00507CBD">
              <w:rPr>
                <w:rFonts w:hint="cs"/>
                <w:rtl/>
              </w:rPr>
              <w:t xml:space="preserve"> </w:t>
            </w:r>
            <w:r>
              <w:rPr>
                <w:rFonts w:hint="cs"/>
                <w:rtl/>
              </w:rPr>
              <w:t>אמנו</w:t>
            </w:r>
            <w:r w:rsidRPr="00507CBD">
              <w:rPr>
                <w:rFonts w:hint="cs"/>
                <w:rtl/>
              </w:rPr>
              <w:t xml:space="preserve">יות  </w:t>
            </w:r>
            <w:r w:rsidRPr="00507CBD">
              <w:rPr>
                <w:rFonts w:hint="eastAsia"/>
                <w:rtl/>
              </w:rPr>
              <w:t>–</w:t>
            </w:r>
            <w:r w:rsidRPr="00507CBD">
              <w:rPr>
                <w:rFonts w:hint="cs"/>
                <w:rtl/>
              </w:rPr>
              <w:t xml:space="preserve"> </w:t>
            </w:r>
            <w:r>
              <w:rPr>
                <w:rFonts w:hint="cs"/>
                <w:rtl/>
              </w:rPr>
              <w:t>אמנו</w:t>
            </w:r>
            <w:r w:rsidRPr="00507CBD">
              <w:rPr>
                <w:rFonts w:hint="cs"/>
                <w:rtl/>
              </w:rPr>
              <w:t>ת חזותית;</w:t>
            </w:r>
          </w:p>
        </w:tc>
      </w:tr>
      <w:tr w:rsidR="00BA1A0F" w:rsidRPr="00507CBD" w14:paraId="47A6BF11" w14:textId="77777777" w:rsidTr="00F87627">
        <w:trPr>
          <w:cantSplit/>
        </w:trPr>
        <w:tc>
          <w:tcPr>
            <w:tcW w:w="1871" w:type="dxa"/>
            <w:shd w:val="clear" w:color="auto" w:fill="auto"/>
            <w:tcMar>
              <w:top w:w="91" w:type="dxa"/>
              <w:left w:w="0" w:type="dxa"/>
              <w:bottom w:w="91" w:type="dxa"/>
              <w:right w:w="0" w:type="dxa"/>
            </w:tcMar>
          </w:tcPr>
          <w:p w14:paraId="7CA92D25" w14:textId="77777777" w:rsidR="00BA1A0F" w:rsidRPr="00BA5F88" w:rsidRDefault="00BA1A0F" w:rsidP="000E2540">
            <w:pPr>
              <w:pStyle w:val="TableSideHeading"/>
              <w:rPr>
                <w:rtl/>
              </w:rPr>
            </w:pPr>
          </w:p>
        </w:tc>
        <w:tc>
          <w:tcPr>
            <w:tcW w:w="624" w:type="dxa"/>
            <w:shd w:val="clear" w:color="auto" w:fill="auto"/>
            <w:tcMar>
              <w:top w:w="91" w:type="dxa"/>
              <w:left w:w="0" w:type="dxa"/>
              <w:bottom w:w="91" w:type="dxa"/>
              <w:right w:w="0" w:type="dxa"/>
            </w:tcMar>
          </w:tcPr>
          <w:p w14:paraId="0135E4DF" w14:textId="77777777" w:rsidR="00BA1A0F" w:rsidRPr="00BA5F88" w:rsidRDefault="00BA1A0F" w:rsidP="000E2540">
            <w:pPr>
              <w:pStyle w:val="TableText"/>
              <w:rPr>
                <w:rtl/>
              </w:rPr>
            </w:pPr>
          </w:p>
        </w:tc>
        <w:tc>
          <w:tcPr>
            <w:tcW w:w="611" w:type="dxa"/>
            <w:shd w:val="clear" w:color="auto" w:fill="auto"/>
            <w:tcMar>
              <w:top w:w="91" w:type="dxa"/>
              <w:left w:w="0" w:type="dxa"/>
              <w:bottom w:w="91" w:type="dxa"/>
              <w:right w:w="0" w:type="dxa"/>
            </w:tcMar>
          </w:tcPr>
          <w:p w14:paraId="0B99FF61" w14:textId="77777777" w:rsidR="00BA1A0F" w:rsidRPr="00BA5F88" w:rsidRDefault="00BA1A0F" w:rsidP="000E2540">
            <w:pPr>
              <w:pStyle w:val="TableBlock"/>
              <w:rPr>
                <w:rtl/>
              </w:rPr>
            </w:pPr>
          </w:p>
        </w:tc>
        <w:tc>
          <w:tcPr>
            <w:tcW w:w="2700" w:type="dxa"/>
            <w:shd w:val="clear" w:color="auto" w:fill="auto"/>
          </w:tcPr>
          <w:p w14:paraId="2DE6E0D7" w14:textId="77777777" w:rsidR="00BA1A0F" w:rsidRPr="00507CBD" w:rsidRDefault="00BA1A0F" w:rsidP="000E2540">
            <w:pPr>
              <w:pStyle w:val="TableBlock"/>
              <w:rPr>
                <w:rtl/>
              </w:rPr>
            </w:pPr>
          </w:p>
        </w:tc>
        <w:tc>
          <w:tcPr>
            <w:tcW w:w="3835" w:type="dxa"/>
            <w:shd w:val="clear" w:color="auto" w:fill="auto"/>
          </w:tcPr>
          <w:p w14:paraId="0D4C6AB8" w14:textId="77777777" w:rsidR="00BA1A0F" w:rsidRPr="00507CBD" w:rsidRDefault="00BA1A0F" w:rsidP="000E2540">
            <w:pPr>
              <w:pStyle w:val="TableBlock"/>
              <w:rPr>
                <w:rtl/>
              </w:rPr>
            </w:pPr>
            <w:r w:rsidRPr="00507CBD">
              <w:rPr>
                <w:rFonts w:hint="cs"/>
                <w:rtl/>
              </w:rPr>
              <w:t>(ב)</w:t>
            </w:r>
            <w:r w:rsidRPr="00507CBD">
              <w:rPr>
                <w:rtl/>
              </w:rPr>
              <w:tab/>
            </w:r>
            <w:r w:rsidRPr="00507CBD">
              <w:rPr>
                <w:rFonts w:hint="cs"/>
                <w:rtl/>
              </w:rPr>
              <w:t xml:space="preserve">מטפל באמצעות </w:t>
            </w:r>
            <w:r>
              <w:rPr>
                <w:rFonts w:hint="cs"/>
                <w:rtl/>
              </w:rPr>
              <w:t>אמנו</w:t>
            </w:r>
            <w:r w:rsidRPr="00507CBD">
              <w:rPr>
                <w:rFonts w:hint="cs"/>
                <w:rtl/>
              </w:rPr>
              <w:t xml:space="preserve">יות </w:t>
            </w:r>
            <w:r w:rsidRPr="00507CBD">
              <w:rPr>
                <w:rtl/>
              </w:rPr>
              <w:t>–</w:t>
            </w:r>
            <w:r w:rsidRPr="00507CBD">
              <w:rPr>
                <w:rFonts w:hint="cs"/>
                <w:rtl/>
              </w:rPr>
              <w:t xml:space="preserve"> ביבליותרפיה;</w:t>
            </w:r>
          </w:p>
        </w:tc>
      </w:tr>
      <w:tr w:rsidR="00BA1A0F" w:rsidRPr="00507CBD" w14:paraId="3B46F0DD" w14:textId="77777777" w:rsidTr="00F87627">
        <w:trPr>
          <w:cantSplit/>
        </w:trPr>
        <w:tc>
          <w:tcPr>
            <w:tcW w:w="1871" w:type="dxa"/>
            <w:shd w:val="clear" w:color="auto" w:fill="auto"/>
            <w:tcMar>
              <w:top w:w="91" w:type="dxa"/>
              <w:left w:w="0" w:type="dxa"/>
              <w:bottom w:w="91" w:type="dxa"/>
              <w:right w:w="0" w:type="dxa"/>
            </w:tcMar>
          </w:tcPr>
          <w:p w14:paraId="62FCC36E" w14:textId="77777777" w:rsidR="00BA1A0F" w:rsidRPr="00BA5F88" w:rsidRDefault="00BA1A0F" w:rsidP="000E2540">
            <w:pPr>
              <w:pStyle w:val="TableSideHeading"/>
              <w:rPr>
                <w:rtl/>
              </w:rPr>
            </w:pPr>
          </w:p>
        </w:tc>
        <w:tc>
          <w:tcPr>
            <w:tcW w:w="624" w:type="dxa"/>
            <w:shd w:val="clear" w:color="auto" w:fill="auto"/>
            <w:tcMar>
              <w:top w:w="91" w:type="dxa"/>
              <w:left w:w="0" w:type="dxa"/>
              <w:bottom w:w="91" w:type="dxa"/>
              <w:right w:w="0" w:type="dxa"/>
            </w:tcMar>
          </w:tcPr>
          <w:p w14:paraId="15E249CD" w14:textId="77777777" w:rsidR="00BA1A0F" w:rsidRPr="00BA5F88" w:rsidRDefault="00BA1A0F" w:rsidP="000E2540">
            <w:pPr>
              <w:pStyle w:val="TableText"/>
              <w:rPr>
                <w:rtl/>
              </w:rPr>
            </w:pPr>
          </w:p>
        </w:tc>
        <w:tc>
          <w:tcPr>
            <w:tcW w:w="611" w:type="dxa"/>
            <w:shd w:val="clear" w:color="auto" w:fill="auto"/>
            <w:tcMar>
              <w:top w:w="91" w:type="dxa"/>
              <w:left w:w="0" w:type="dxa"/>
              <w:bottom w:w="91" w:type="dxa"/>
              <w:right w:w="0" w:type="dxa"/>
            </w:tcMar>
          </w:tcPr>
          <w:p w14:paraId="2535F419" w14:textId="77777777" w:rsidR="00BA1A0F" w:rsidRPr="00BA5F88" w:rsidRDefault="00BA1A0F" w:rsidP="000E2540">
            <w:pPr>
              <w:pStyle w:val="TableBlock"/>
              <w:rPr>
                <w:rtl/>
              </w:rPr>
            </w:pPr>
          </w:p>
        </w:tc>
        <w:tc>
          <w:tcPr>
            <w:tcW w:w="2700" w:type="dxa"/>
            <w:shd w:val="clear" w:color="auto" w:fill="auto"/>
          </w:tcPr>
          <w:p w14:paraId="21E22685" w14:textId="77777777" w:rsidR="00BA1A0F" w:rsidRPr="00507CBD" w:rsidRDefault="00BA1A0F" w:rsidP="000E2540">
            <w:pPr>
              <w:pStyle w:val="TableBlock"/>
              <w:rPr>
                <w:rtl/>
              </w:rPr>
            </w:pPr>
          </w:p>
        </w:tc>
        <w:tc>
          <w:tcPr>
            <w:tcW w:w="3835" w:type="dxa"/>
            <w:shd w:val="clear" w:color="auto" w:fill="auto"/>
          </w:tcPr>
          <w:p w14:paraId="7BEC8212" w14:textId="77777777" w:rsidR="00BA1A0F" w:rsidRPr="00507CBD" w:rsidRDefault="00BA1A0F" w:rsidP="000E2540">
            <w:pPr>
              <w:pStyle w:val="TableBlock"/>
              <w:rPr>
                <w:rtl/>
              </w:rPr>
            </w:pPr>
            <w:r w:rsidRPr="00507CBD">
              <w:rPr>
                <w:rFonts w:hint="cs"/>
                <w:rtl/>
              </w:rPr>
              <w:t>(ג)</w:t>
            </w:r>
            <w:r w:rsidRPr="00507CBD">
              <w:rPr>
                <w:rtl/>
              </w:rPr>
              <w:tab/>
            </w:r>
            <w:r w:rsidRPr="00507CBD">
              <w:rPr>
                <w:rFonts w:hint="cs"/>
                <w:rtl/>
              </w:rPr>
              <w:t xml:space="preserve">מטפל באמצעות </w:t>
            </w:r>
            <w:r>
              <w:rPr>
                <w:rFonts w:hint="cs"/>
                <w:rtl/>
              </w:rPr>
              <w:t>אמנו</w:t>
            </w:r>
            <w:r w:rsidRPr="00507CBD">
              <w:rPr>
                <w:rFonts w:hint="cs"/>
                <w:rtl/>
              </w:rPr>
              <w:t xml:space="preserve">יות </w:t>
            </w:r>
            <w:r w:rsidRPr="00507CBD">
              <w:rPr>
                <w:rFonts w:hint="eastAsia"/>
                <w:rtl/>
              </w:rPr>
              <w:t>–</w:t>
            </w:r>
            <w:r w:rsidRPr="00507CBD">
              <w:rPr>
                <w:rFonts w:hint="cs"/>
                <w:rtl/>
              </w:rPr>
              <w:t xml:space="preserve"> תנועה ומחול;</w:t>
            </w:r>
          </w:p>
        </w:tc>
      </w:tr>
      <w:tr w:rsidR="00BA1A0F" w:rsidRPr="00507CBD" w14:paraId="7F126C1C" w14:textId="77777777" w:rsidTr="00F87627">
        <w:trPr>
          <w:cantSplit/>
        </w:trPr>
        <w:tc>
          <w:tcPr>
            <w:tcW w:w="1871" w:type="dxa"/>
            <w:shd w:val="clear" w:color="auto" w:fill="auto"/>
            <w:tcMar>
              <w:top w:w="91" w:type="dxa"/>
              <w:left w:w="0" w:type="dxa"/>
              <w:bottom w:w="91" w:type="dxa"/>
              <w:right w:w="0" w:type="dxa"/>
            </w:tcMar>
          </w:tcPr>
          <w:p w14:paraId="2B931FBC" w14:textId="77777777" w:rsidR="00BA1A0F" w:rsidRPr="00BA5F88" w:rsidRDefault="00BA1A0F" w:rsidP="000E2540">
            <w:pPr>
              <w:pStyle w:val="TableSideHeading"/>
              <w:rPr>
                <w:rtl/>
              </w:rPr>
            </w:pPr>
          </w:p>
        </w:tc>
        <w:tc>
          <w:tcPr>
            <w:tcW w:w="624" w:type="dxa"/>
            <w:shd w:val="clear" w:color="auto" w:fill="auto"/>
            <w:tcMar>
              <w:top w:w="91" w:type="dxa"/>
              <w:left w:w="0" w:type="dxa"/>
              <w:bottom w:w="91" w:type="dxa"/>
              <w:right w:w="0" w:type="dxa"/>
            </w:tcMar>
          </w:tcPr>
          <w:p w14:paraId="463533C8" w14:textId="77777777" w:rsidR="00BA1A0F" w:rsidRPr="00BA5F88" w:rsidRDefault="00BA1A0F" w:rsidP="000E2540">
            <w:pPr>
              <w:pStyle w:val="TableText"/>
              <w:rPr>
                <w:rtl/>
              </w:rPr>
            </w:pPr>
          </w:p>
        </w:tc>
        <w:tc>
          <w:tcPr>
            <w:tcW w:w="611" w:type="dxa"/>
            <w:shd w:val="clear" w:color="auto" w:fill="auto"/>
            <w:tcMar>
              <w:top w:w="91" w:type="dxa"/>
              <w:left w:w="0" w:type="dxa"/>
              <w:bottom w:w="91" w:type="dxa"/>
              <w:right w:w="0" w:type="dxa"/>
            </w:tcMar>
          </w:tcPr>
          <w:p w14:paraId="02105A40" w14:textId="77777777" w:rsidR="00BA1A0F" w:rsidRPr="00BA5F88" w:rsidRDefault="00BA1A0F" w:rsidP="000E2540">
            <w:pPr>
              <w:pStyle w:val="TableBlock"/>
              <w:rPr>
                <w:rtl/>
              </w:rPr>
            </w:pPr>
          </w:p>
        </w:tc>
        <w:tc>
          <w:tcPr>
            <w:tcW w:w="2700" w:type="dxa"/>
            <w:shd w:val="clear" w:color="auto" w:fill="auto"/>
          </w:tcPr>
          <w:p w14:paraId="4862ED84" w14:textId="77777777" w:rsidR="00BA1A0F" w:rsidRPr="00507CBD" w:rsidRDefault="00BA1A0F" w:rsidP="000E2540">
            <w:pPr>
              <w:pStyle w:val="TableBlock"/>
              <w:rPr>
                <w:rtl/>
              </w:rPr>
            </w:pPr>
          </w:p>
        </w:tc>
        <w:tc>
          <w:tcPr>
            <w:tcW w:w="3835" w:type="dxa"/>
            <w:shd w:val="clear" w:color="auto" w:fill="auto"/>
          </w:tcPr>
          <w:p w14:paraId="163EB780" w14:textId="77777777" w:rsidR="00BA1A0F" w:rsidRPr="00507CBD" w:rsidRDefault="00BA1A0F" w:rsidP="000E2540">
            <w:pPr>
              <w:pStyle w:val="TableBlock"/>
              <w:rPr>
                <w:rtl/>
              </w:rPr>
            </w:pPr>
            <w:r w:rsidRPr="00507CBD">
              <w:rPr>
                <w:rFonts w:hint="cs"/>
                <w:rtl/>
              </w:rPr>
              <w:t>(ד)</w:t>
            </w:r>
            <w:r w:rsidRPr="00507CBD">
              <w:rPr>
                <w:rtl/>
              </w:rPr>
              <w:tab/>
            </w:r>
            <w:r w:rsidRPr="00507CBD">
              <w:rPr>
                <w:rFonts w:hint="cs"/>
                <w:rtl/>
              </w:rPr>
              <w:t xml:space="preserve">מטפל באמצעות </w:t>
            </w:r>
            <w:r>
              <w:rPr>
                <w:rFonts w:hint="cs"/>
                <w:rtl/>
              </w:rPr>
              <w:t>אמנו</w:t>
            </w:r>
            <w:r w:rsidRPr="00507CBD">
              <w:rPr>
                <w:rFonts w:hint="cs"/>
                <w:rtl/>
              </w:rPr>
              <w:t xml:space="preserve">יות </w:t>
            </w:r>
            <w:r w:rsidRPr="00507CBD">
              <w:rPr>
                <w:rtl/>
              </w:rPr>
              <w:t>–</w:t>
            </w:r>
            <w:r w:rsidRPr="00507CBD">
              <w:rPr>
                <w:rFonts w:hint="cs"/>
                <w:rtl/>
              </w:rPr>
              <w:t xml:space="preserve"> מוסיקה;</w:t>
            </w:r>
          </w:p>
        </w:tc>
      </w:tr>
      <w:tr w:rsidR="00BA1A0F" w:rsidRPr="00507CBD" w14:paraId="7AC68F05" w14:textId="77777777" w:rsidTr="00F87627">
        <w:trPr>
          <w:cantSplit/>
        </w:trPr>
        <w:tc>
          <w:tcPr>
            <w:tcW w:w="1871" w:type="dxa"/>
            <w:shd w:val="clear" w:color="auto" w:fill="auto"/>
            <w:tcMar>
              <w:top w:w="91" w:type="dxa"/>
              <w:left w:w="0" w:type="dxa"/>
              <w:bottom w:w="91" w:type="dxa"/>
              <w:right w:w="0" w:type="dxa"/>
            </w:tcMar>
          </w:tcPr>
          <w:p w14:paraId="00CA5A5F" w14:textId="77777777" w:rsidR="00BA1A0F" w:rsidRPr="00BA5F88" w:rsidRDefault="00BA1A0F" w:rsidP="000E2540">
            <w:pPr>
              <w:pStyle w:val="TableSideHeading"/>
              <w:rPr>
                <w:rtl/>
              </w:rPr>
            </w:pPr>
          </w:p>
        </w:tc>
        <w:tc>
          <w:tcPr>
            <w:tcW w:w="624" w:type="dxa"/>
            <w:shd w:val="clear" w:color="auto" w:fill="auto"/>
            <w:tcMar>
              <w:top w:w="91" w:type="dxa"/>
              <w:left w:w="0" w:type="dxa"/>
              <w:bottom w:w="91" w:type="dxa"/>
              <w:right w:w="0" w:type="dxa"/>
            </w:tcMar>
          </w:tcPr>
          <w:p w14:paraId="6DF9AD13" w14:textId="77777777" w:rsidR="00BA1A0F" w:rsidRPr="00BA5F88" w:rsidRDefault="00BA1A0F" w:rsidP="000E2540">
            <w:pPr>
              <w:pStyle w:val="TableText"/>
              <w:rPr>
                <w:rtl/>
              </w:rPr>
            </w:pPr>
          </w:p>
        </w:tc>
        <w:tc>
          <w:tcPr>
            <w:tcW w:w="611" w:type="dxa"/>
            <w:shd w:val="clear" w:color="auto" w:fill="auto"/>
            <w:tcMar>
              <w:top w:w="91" w:type="dxa"/>
              <w:left w:w="0" w:type="dxa"/>
              <w:bottom w:w="91" w:type="dxa"/>
              <w:right w:w="0" w:type="dxa"/>
            </w:tcMar>
          </w:tcPr>
          <w:p w14:paraId="1E71A572" w14:textId="77777777" w:rsidR="00BA1A0F" w:rsidRPr="00BA5F88" w:rsidRDefault="00BA1A0F" w:rsidP="000E2540">
            <w:pPr>
              <w:pStyle w:val="TableBlock"/>
              <w:rPr>
                <w:rtl/>
              </w:rPr>
            </w:pPr>
          </w:p>
        </w:tc>
        <w:tc>
          <w:tcPr>
            <w:tcW w:w="2700" w:type="dxa"/>
            <w:shd w:val="clear" w:color="auto" w:fill="auto"/>
          </w:tcPr>
          <w:p w14:paraId="08E4C8E1" w14:textId="77777777" w:rsidR="00BA1A0F" w:rsidRPr="00507CBD" w:rsidRDefault="00BA1A0F" w:rsidP="000E2540">
            <w:pPr>
              <w:pStyle w:val="TableBlock"/>
              <w:rPr>
                <w:rtl/>
              </w:rPr>
            </w:pPr>
          </w:p>
        </w:tc>
        <w:tc>
          <w:tcPr>
            <w:tcW w:w="3835" w:type="dxa"/>
            <w:shd w:val="clear" w:color="auto" w:fill="auto"/>
          </w:tcPr>
          <w:p w14:paraId="4BFB17A2" w14:textId="77777777" w:rsidR="00BA1A0F" w:rsidRPr="00507CBD" w:rsidRDefault="00BA1A0F" w:rsidP="000E2540">
            <w:pPr>
              <w:pStyle w:val="TableBlock"/>
              <w:rPr>
                <w:rtl/>
              </w:rPr>
            </w:pPr>
            <w:r w:rsidRPr="00507CBD">
              <w:rPr>
                <w:rFonts w:hint="cs"/>
                <w:rtl/>
              </w:rPr>
              <w:t>(ה)</w:t>
            </w:r>
            <w:r w:rsidRPr="00507CBD">
              <w:rPr>
                <w:rtl/>
              </w:rPr>
              <w:tab/>
            </w:r>
            <w:r w:rsidRPr="00507CBD">
              <w:rPr>
                <w:rFonts w:hint="cs"/>
                <w:rtl/>
              </w:rPr>
              <w:t xml:space="preserve">מטפל באמצעות </w:t>
            </w:r>
            <w:r>
              <w:rPr>
                <w:rFonts w:hint="cs"/>
                <w:rtl/>
              </w:rPr>
              <w:t>אמנו</w:t>
            </w:r>
            <w:r w:rsidRPr="00507CBD">
              <w:rPr>
                <w:rFonts w:hint="cs"/>
                <w:rtl/>
              </w:rPr>
              <w:t xml:space="preserve">יות </w:t>
            </w:r>
            <w:r w:rsidRPr="00507CBD">
              <w:rPr>
                <w:rtl/>
              </w:rPr>
              <w:t>–</w:t>
            </w:r>
            <w:r w:rsidRPr="00507CBD">
              <w:rPr>
                <w:rFonts w:hint="cs"/>
                <w:rtl/>
              </w:rPr>
              <w:t xml:space="preserve"> דרמה תרפיה;</w:t>
            </w:r>
          </w:p>
        </w:tc>
      </w:tr>
      <w:tr w:rsidR="00BA1A0F" w:rsidRPr="00507CBD" w14:paraId="47939461" w14:textId="77777777" w:rsidTr="00F87627">
        <w:trPr>
          <w:cantSplit/>
        </w:trPr>
        <w:tc>
          <w:tcPr>
            <w:tcW w:w="1871" w:type="dxa"/>
            <w:shd w:val="clear" w:color="auto" w:fill="auto"/>
            <w:tcMar>
              <w:top w:w="91" w:type="dxa"/>
              <w:left w:w="0" w:type="dxa"/>
              <w:bottom w:w="91" w:type="dxa"/>
              <w:right w:w="0" w:type="dxa"/>
            </w:tcMar>
          </w:tcPr>
          <w:p w14:paraId="2E69A59C" w14:textId="77777777" w:rsidR="00BA1A0F" w:rsidRPr="00BA5F88" w:rsidRDefault="00BA1A0F" w:rsidP="000E2540">
            <w:pPr>
              <w:pStyle w:val="TableSideHeading"/>
              <w:rPr>
                <w:rtl/>
              </w:rPr>
            </w:pPr>
          </w:p>
        </w:tc>
        <w:tc>
          <w:tcPr>
            <w:tcW w:w="624" w:type="dxa"/>
            <w:shd w:val="clear" w:color="auto" w:fill="auto"/>
            <w:tcMar>
              <w:top w:w="91" w:type="dxa"/>
              <w:left w:w="0" w:type="dxa"/>
              <w:bottom w:w="91" w:type="dxa"/>
              <w:right w:w="0" w:type="dxa"/>
            </w:tcMar>
          </w:tcPr>
          <w:p w14:paraId="26030FA4" w14:textId="77777777" w:rsidR="00BA1A0F" w:rsidRPr="00BA5F88" w:rsidRDefault="00BA1A0F" w:rsidP="000E2540">
            <w:pPr>
              <w:pStyle w:val="TableText"/>
              <w:rPr>
                <w:rtl/>
              </w:rPr>
            </w:pPr>
          </w:p>
        </w:tc>
        <w:tc>
          <w:tcPr>
            <w:tcW w:w="611" w:type="dxa"/>
            <w:shd w:val="clear" w:color="auto" w:fill="auto"/>
            <w:tcMar>
              <w:top w:w="91" w:type="dxa"/>
              <w:left w:w="0" w:type="dxa"/>
              <w:bottom w:w="91" w:type="dxa"/>
              <w:right w:w="0" w:type="dxa"/>
            </w:tcMar>
          </w:tcPr>
          <w:p w14:paraId="5E7BC25F" w14:textId="77777777" w:rsidR="00BA1A0F" w:rsidRPr="00BA5F88" w:rsidRDefault="00BA1A0F" w:rsidP="000E2540">
            <w:pPr>
              <w:pStyle w:val="TableBlock"/>
              <w:rPr>
                <w:rtl/>
              </w:rPr>
            </w:pPr>
          </w:p>
        </w:tc>
        <w:tc>
          <w:tcPr>
            <w:tcW w:w="2700" w:type="dxa"/>
            <w:shd w:val="clear" w:color="auto" w:fill="auto"/>
          </w:tcPr>
          <w:p w14:paraId="4CDC8E67" w14:textId="77777777" w:rsidR="00BA1A0F" w:rsidRPr="00507CBD" w:rsidRDefault="00BA1A0F" w:rsidP="000E2540">
            <w:pPr>
              <w:pStyle w:val="TableBlock"/>
              <w:rPr>
                <w:rtl/>
              </w:rPr>
            </w:pPr>
          </w:p>
        </w:tc>
        <w:tc>
          <w:tcPr>
            <w:tcW w:w="3835" w:type="dxa"/>
            <w:shd w:val="clear" w:color="auto" w:fill="auto"/>
          </w:tcPr>
          <w:p w14:paraId="444FE1BB" w14:textId="77777777" w:rsidR="00BA1A0F" w:rsidRPr="00507CBD" w:rsidRDefault="00BA1A0F" w:rsidP="000E2540">
            <w:pPr>
              <w:pStyle w:val="TableBlock"/>
              <w:rPr>
                <w:rtl/>
              </w:rPr>
            </w:pPr>
            <w:r w:rsidRPr="00507CBD">
              <w:rPr>
                <w:rFonts w:hint="cs"/>
                <w:rtl/>
              </w:rPr>
              <w:t>(ו)</w:t>
            </w:r>
            <w:r w:rsidRPr="00507CBD">
              <w:rPr>
                <w:rtl/>
              </w:rPr>
              <w:tab/>
            </w:r>
            <w:r w:rsidRPr="00507CBD">
              <w:rPr>
                <w:rFonts w:hint="cs"/>
                <w:rtl/>
              </w:rPr>
              <w:t xml:space="preserve">מטפל באמצעות </w:t>
            </w:r>
            <w:r>
              <w:rPr>
                <w:rFonts w:hint="cs"/>
                <w:rtl/>
              </w:rPr>
              <w:t>אמנו</w:t>
            </w:r>
            <w:r w:rsidRPr="00507CBD">
              <w:rPr>
                <w:rFonts w:hint="cs"/>
                <w:rtl/>
              </w:rPr>
              <w:t>יות</w:t>
            </w:r>
            <w:r w:rsidRPr="00507CBD">
              <w:rPr>
                <w:rFonts w:hint="eastAsia"/>
                <w:rtl/>
              </w:rPr>
              <w:t xml:space="preserve"> –</w:t>
            </w:r>
            <w:r w:rsidRPr="00507CBD">
              <w:rPr>
                <w:rFonts w:hint="cs"/>
                <w:rtl/>
              </w:rPr>
              <w:t xml:space="preserve"> פסיכודרמה."</w:t>
            </w:r>
          </w:p>
        </w:tc>
      </w:tr>
      <w:tr w:rsidR="00BA1A0F" w:rsidRPr="00507CBD" w14:paraId="194CBD05" w14:textId="77777777" w:rsidTr="00F87627">
        <w:trPr>
          <w:cantSplit/>
        </w:trPr>
        <w:tc>
          <w:tcPr>
            <w:tcW w:w="1871" w:type="dxa"/>
            <w:shd w:val="clear" w:color="auto" w:fill="auto"/>
            <w:tcMar>
              <w:top w:w="91" w:type="dxa"/>
              <w:left w:w="0" w:type="dxa"/>
              <w:bottom w:w="91" w:type="dxa"/>
              <w:right w:w="0" w:type="dxa"/>
            </w:tcMar>
          </w:tcPr>
          <w:p w14:paraId="03B03817" w14:textId="77777777" w:rsidR="00BA1A0F" w:rsidRPr="00BA5F88" w:rsidRDefault="00BA1A0F" w:rsidP="000E2540">
            <w:pPr>
              <w:pStyle w:val="TableSideHeading"/>
              <w:rPr>
                <w:rtl/>
              </w:rPr>
            </w:pPr>
            <w:r w:rsidRPr="00BA5F88">
              <w:rPr>
                <w:rtl/>
              </w:rPr>
              <w:t>תיקון חוק זכויות החולה</w:t>
            </w:r>
          </w:p>
        </w:tc>
        <w:tc>
          <w:tcPr>
            <w:tcW w:w="624" w:type="dxa"/>
            <w:shd w:val="clear" w:color="auto" w:fill="auto"/>
            <w:tcMar>
              <w:top w:w="91" w:type="dxa"/>
              <w:left w:w="0" w:type="dxa"/>
              <w:bottom w:w="91" w:type="dxa"/>
              <w:right w:w="0" w:type="dxa"/>
            </w:tcMar>
          </w:tcPr>
          <w:p w14:paraId="1A647E95" w14:textId="77777777" w:rsidR="00BA1A0F" w:rsidRPr="006611FA" w:rsidRDefault="00BA1A0F" w:rsidP="000E2540">
            <w:pPr>
              <w:pStyle w:val="TableText"/>
              <w:jc w:val="both"/>
              <w:rPr>
                <w:rtl/>
              </w:rPr>
            </w:pPr>
            <w:r>
              <w:rPr>
                <w:rFonts w:hint="cs"/>
                <w:rtl/>
              </w:rPr>
              <w:t>5.</w:t>
            </w:r>
          </w:p>
        </w:tc>
        <w:tc>
          <w:tcPr>
            <w:tcW w:w="7146" w:type="dxa"/>
            <w:gridSpan w:val="3"/>
            <w:shd w:val="clear" w:color="auto" w:fill="auto"/>
            <w:tcMar>
              <w:top w:w="91" w:type="dxa"/>
              <w:left w:w="0" w:type="dxa"/>
              <w:bottom w:w="91" w:type="dxa"/>
              <w:right w:w="0" w:type="dxa"/>
            </w:tcMar>
          </w:tcPr>
          <w:p w14:paraId="1C58E4C3" w14:textId="77777777" w:rsidR="00BA1A0F" w:rsidRPr="00507CBD" w:rsidRDefault="00BA1A0F" w:rsidP="000E2540">
            <w:pPr>
              <w:pStyle w:val="TableBlock"/>
              <w:rPr>
                <w:rtl/>
              </w:rPr>
            </w:pPr>
            <w:r w:rsidRPr="00507CBD">
              <w:rPr>
                <w:rtl/>
              </w:rPr>
              <w:t>בחוק זכויות החולה, התשנ"ו–1996‏</w:t>
            </w:r>
            <w:r w:rsidRPr="00507CBD">
              <w:rPr>
                <w:rStyle w:val="a6"/>
                <w:rtl/>
              </w:rPr>
              <w:footnoteReference w:id="3"/>
            </w:r>
            <w:r w:rsidRPr="00507CBD">
              <w:rPr>
                <w:rtl/>
              </w:rPr>
              <w:t>,</w:t>
            </w:r>
            <w:r>
              <w:rPr>
                <w:rFonts w:hint="cs"/>
                <w:rtl/>
              </w:rPr>
              <w:t xml:space="preserve"> בסעיף 2 </w:t>
            </w:r>
            <w:r>
              <w:rPr>
                <w:rFonts w:hint="eastAsia"/>
                <w:rtl/>
              </w:rPr>
              <w:t>–</w:t>
            </w:r>
          </w:p>
        </w:tc>
      </w:tr>
      <w:tr w:rsidR="00BA1A0F" w:rsidRPr="00507CBD" w14:paraId="5058E397" w14:textId="77777777" w:rsidTr="00F87627">
        <w:trPr>
          <w:cantSplit/>
        </w:trPr>
        <w:tc>
          <w:tcPr>
            <w:tcW w:w="1871" w:type="dxa"/>
            <w:shd w:val="clear" w:color="auto" w:fill="auto"/>
            <w:tcMar>
              <w:top w:w="91" w:type="dxa"/>
              <w:left w:w="0" w:type="dxa"/>
              <w:bottom w:w="91" w:type="dxa"/>
              <w:right w:w="0" w:type="dxa"/>
            </w:tcMar>
          </w:tcPr>
          <w:p w14:paraId="2FFC3ACA" w14:textId="77777777" w:rsidR="00BA1A0F" w:rsidRPr="00BA5F88" w:rsidRDefault="00BA1A0F" w:rsidP="000E2540">
            <w:pPr>
              <w:pStyle w:val="TableSideHeading"/>
              <w:rPr>
                <w:rtl/>
              </w:rPr>
            </w:pPr>
          </w:p>
        </w:tc>
        <w:tc>
          <w:tcPr>
            <w:tcW w:w="624" w:type="dxa"/>
            <w:shd w:val="clear" w:color="auto" w:fill="auto"/>
            <w:tcMar>
              <w:top w:w="91" w:type="dxa"/>
              <w:left w:w="0" w:type="dxa"/>
              <w:bottom w:w="91" w:type="dxa"/>
              <w:right w:w="0" w:type="dxa"/>
            </w:tcMar>
          </w:tcPr>
          <w:p w14:paraId="7A682647" w14:textId="77777777" w:rsidR="00BA1A0F" w:rsidRDefault="00BA1A0F" w:rsidP="000E2540">
            <w:pPr>
              <w:pStyle w:val="TableText"/>
              <w:rPr>
                <w:rtl/>
              </w:rPr>
            </w:pPr>
          </w:p>
        </w:tc>
        <w:tc>
          <w:tcPr>
            <w:tcW w:w="7146" w:type="dxa"/>
            <w:gridSpan w:val="3"/>
            <w:shd w:val="clear" w:color="auto" w:fill="auto"/>
            <w:tcMar>
              <w:top w:w="91" w:type="dxa"/>
              <w:left w:w="0" w:type="dxa"/>
              <w:bottom w:w="91" w:type="dxa"/>
              <w:right w:w="0" w:type="dxa"/>
            </w:tcMar>
          </w:tcPr>
          <w:p w14:paraId="08917C44" w14:textId="77777777" w:rsidR="00BA1A0F" w:rsidRPr="00507CBD" w:rsidRDefault="00BA1A0F" w:rsidP="000E2540">
            <w:pPr>
              <w:pStyle w:val="TableBlock"/>
              <w:rPr>
                <w:rtl/>
              </w:rPr>
            </w:pPr>
            <w:r w:rsidRPr="00507CBD">
              <w:rPr>
                <w:rFonts w:hint="cs"/>
                <w:rtl/>
              </w:rPr>
              <w:t>(1)</w:t>
            </w:r>
            <w:r w:rsidRPr="00507CBD">
              <w:rPr>
                <w:rtl/>
              </w:rPr>
              <w:tab/>
            </w:r>
            <w:r w:rsidRPr="00507CBD">
              <w:rPr>
                <w:rFonts w:hint="cs"/>
                <w:rtl/>
              </w:rPr>
              <w:t xml:space="preserve">בהגדרה "מטפל", אחרי </w:t>
            </w:r>
            <w:r w:rsidRPr="00507CBD">
              <w:rPr>
                <w:rtl/>
              </w:rPr>
              <w:t xml:space="preserve">"כירופרקט" יבוא "מטפל </w:t>
            </w:r>
            <w:r>
              <w:rPr>
                <w:rFonts w:hint="cs"/>
                <w:rtl/>
              </w:rPr>
              <w:t>באמצעות אמנויות";</w:t>
            </w:r>
          </w:p>
        </w:tc>
      </w:tr>
      <w:tr w:rsidR="00BA1A0F" w:rsidRPr="00507CBD" w14:paraId="14C87023" w14:textId="77777777" w:rsidTr="00F87627">
        <w:trPr>
          <w:cantSplit/>
        </w:trPr>
        <w:tc>
          <w:tcPr>
            <w:tcW w:w="1871" w:type="dxa"/>
            <w:shd w:val="clear" w:color="auto" w:fill="auto"/>
            <w:tcMar>
              <w:top w:w="91" w:type="dxa"/>
              <w:left w:w="0" w:type="dxa"/>
              <w:bottom w:w="91" w:type="dxa"/>
              <w:right w:w="0" w:type="dxa"/>
            </w:tcMar>
          </w:tcPr>
          <w:p w14:paraId="7D1FFC1B" w14:textId="77777777" w:rsidR="00BA1A0F" w:rsidRDefault="00BA1A0F" w:rsidP="000E2540">
            <w:pPr>
              <w:pStyle w:val="TableSideHeading"/>
              <w:rPr>
                <w:rtl/>
              </w:rPr>
            </w:pPr>
          </w:p>
        </w:tc>
        <w:tc>
          <w:tcPr>
            <w:tcW w:w="624" w:type="dxa"/>
            <w:shd w:val="clear" w:color="auto" w:fill="auto"/>
            <w:tcMar>
              <w:top w:w="91" w:type="dxa"/>
              <w:left w:w="0" w:type="dxa"/>
              <w:bottom w:w="91" w:type="dxa"/>
              <w:right w:w="0" w:type="dxa"/>
            </w:tcMar>
          </w:tcPr>
          <w:p w14:paraId="4F17995C" w14:textId="77777777" w:rsidR="00BA1A0F" w:rsidRDefault="00BA1A0F" w:rsidP="000E2540">
            <w:pPr>
              <w:pStyle w:val="TableText"/>
              <w:rPr>
                <w:rtl/>
              </w:rPr>
            </w:pPr>
          </w:p>
        </w:tc>
        <w:tc>
          <w:tcPr>
            <w:tcW w:w="7146" w:type="dxa"/>
            <w:gridSpan w:val="3"/>
            <w:shd w:val="clear" w:color="auto" w:fill="auto"/>
            <w:tcMar>
              <w:top w:w="91" w:type="dxa"/>
              <w:left w:w="0" w:type="dxa"/>
              <w:bottom w:w="91" w:type="dxa"/>
              <w:right w:w="0" w:type="dxa"/>
            </w:tcMar>
          </w:tcPr>
          <w:p w14:paraId="57633A82" w14:textId="77777777" w:rsidR="00BA1A0F" w:rsidRPr="00507CBD" w:rsidRDefault="00BA1A0F" w:rsidP="000E2540">
            <w:pPr>
              <w:pStyle w:val="TableBlock"/>
              <w:rPr>
                <w:rtl/>
              </w:rPr>
            </w:pPr>
            <w:r w:rsidRPr="00507CBD">
              <w:rPr>
                <w:rFonts w:hint="cs"/>
                <w:rtl/>
              </w:rPr>
              <w:t>(2)</w:t>
            </w:r>
            <w:r w:rsidRPr="00507CBD">
              <w:rPr>
                <w:rtl/>
              </w:rPr>
              <w:tab/>
            </w:r>
            <w:r w:rsidRPr="00507CBD">
              <w:rPr>
                <w:rFonts w:hint="cs"/>
                <w:rtl/>
              </w:rPr>
              <w:t xml:space="preserve">בהגדרה ""מרפא בעיסוק", "פיזיותרפיסט", "קלינאי תקשורת", "תזונאי-דיאטן", "קרימינולוג קליני", "פודיאטר", "פודיאטר מנתח", "כירופרקט"", אחרי ""כירופרקט"" יבוא ""מטפל באמצעות </w:t>
            </w:r>
            <w:r>
              <w:rPr>
                <w:rFonts w:hint="cs"/>
                <w:rtl/>
              </w:rPr>
              <w:t>אמנו</w:t>
            </w:r>
            <w:r w:rsidRPr="00507CBD">
              <w:rPr>
                <w:rFonts w:hint="cs"/>
                <w:rtl/>
              </w:rPr>
              <w:t>יות"".</w:t>
            </w:r>
          </w:p>
        </w:tc>
      </w:tr>
    </w:tbl>
    <w:p w14:paraId="7F6961CA" w14:textId="77777777" w:rsidR="002D1EE3" w:rsidRDefault="002D1EE3" w:rsidP="002D1EE3">
      <w:pPr>
        <w:pStyle w:val="HeadDivreiHesber"/>
        <w:rPr>
          <w:rtl/>
        </w:rPr>
      </w:pPr>
      <w:r w:rsidRPr="0027450A">
        <w:rPr>
          <w:rFonts w:hint="cs"/>
          <w:rtl/>
        </w:rPr>
        <w:t>דברי הסבר</w:t>
      </w:r>
    </w:p>
    <w:p w14:paraId="449C83C8" w14:textId="77777777" w:rsidR="00BA1A0F" w:rsidRPr="00F87627" w:rsidRDefault="00BA1A0F" w:rsidP="00F87627">
      <w:pPr>
        <w:pStyle w:val="Hesber"/>
        <w:spacing w:line="276" w:lineRule="auto"/>
        <w:rPr>
          <w:rtl/>
        </w:rPr>
      </w:pPr>
      <w:r w:rsidRPr="00F87627">
        <w:rPr>
          <w:rtl/>
        </w:rPr>
        <w:t>חוק הסדרת העיסוק במקצועות הבריאות, התשס"ח–2008 (להלן – החוק), מסדיר כיום את העיסוק במקצועות אלה: ריפוי בעיסוק, פיזיותרפיה, טיפול בהפרעות בתקשורת</w:t>
      </w:r>
      <w:r w:rsidRPr="00F87627">
        <w:rPr>
          <w:rFonts w:hint="cs"/>
          <w:rtl/>
        </w:rPr>
        <w:t xml:space="preserve">, </w:t>
      </w:r>
      <w:r w:rsidRPr="00F87627">
        <w:rPr>
          <w:rtl/>
        </w:rPr>
        <w:t>תזונה-דיאטנות,</w:t>
      </w:r>
      <w:r w:rsidRPr="00F87627">
        <w:rPr>
          <w:rFonts w:hint="cs"/>
          <w:rtl/>
        </w:rPr>
        <w:t xml:space="preserve"> </w:t>
      </w:r>
      <w:r w:rsidRPr="00F87627">
        <w:rPr>
          <w:rtl/>
        </w:rPr>
        <w:t xml:space="preserve">קרימינולוגיה קלינית, פודיאטריה, פודיאטריה ניתוחית וכירופרקטיקה. </w:t>
      </w:r>
    </w:p>
    <w:p w14:paraId="43786CA4" w14:textId="7EF4DE4F" w:rsidR="00BA1A0F" w:rsidRPr="00F87627" w:rsidRDefault="00BA1A0F" w:rsidP="00F87627">
      <w:pPr>
        <w:pStyle w:val="Hesber"/>
        <w:spacing w:line="276" w:lineRule="auto"/>
        <w:rPr>
          <w:rtl/>
        </w:rPr>
      </w:pPr>
      <w:r w:rsidRPr="00F87627">
        <w:rPr>
          <w:rtl/>
        </w:rPr>
        <w:lastRenderedPageBreak/>
        <w:t xml:space="preserve">בהצעת חוק זו מוצע להסדיר </w:t>
      </w:r>
      <w:r w:rsidRPr="00F87627">
        <w:rPr>
          <w:rFonts w:hint="cs"/>
          <w:rtl/>
        </w:rPr>
        <w:t xml:space="preserve">את </w:t>
      </w:r>
      <w:r w:rsidRPr="00F87627">
        <w:rPr>
          <w:rtl/>
        </w:rPr>
        <w:t>ה</w:t>
      </w:r>
      <w:r w:rsidR="000C31CE" w:rsidRPr="00F87627">
        <w:rPr>
          <w:rFonts w:hint="cs"/>
          <w:rtl/>
        </w:rPr>
        <w:t>עיסוק ב</w:t>
      </w:r>
      <w:r w:rsidRPr="00F87627">
        <w:rPr>
          <w:rtl/>
        </w:rPr>
        <w:t>טיפול באמצעות אמנויות כדי להבטיח רמה מקצועית הולמת של העוסקים ב</w:t>
      </w:r>
      <w:r w:rsidRPr="00F87627">
        <w:rPr>
          <w:rFonts w:hint="cs"/>
          <w:rtl/>
        </w:rPr>
        <w:t>מקצ</w:t>
      </w:r>
      <w:r w:rsidRPr="00F87627">
        <w:rPr>
          <w:rtl/>
        </w:rPr>
        <w:t>ו</w:t>
      </w:r>
      <w:r w:rsidRPr="00F87627">
        <w:rPr>
          <w:rFonts w:hint="cs"/>
          <w:rtl/>
        </w:rPr>
        <w:t>ע זה</w:t>
      </w:r>
      <w:r w:rsidRPr="00F87627">
        <w:rPr>
          <w:rtl/>
        </w:rPr>
        <w:t xml:space="preserve"> ולהגן על בריאות הציבור.</w:t>
      </w:r>
    </w:p>
    <w:p w14:paraId="7DECB960" w14:textId="77777777" w:rsidR="00BA1A0F" w:rsidRPr="00F87627" w:rsidRDefault="00BA1A0F" w:rsidP="00F87627">
      <w:pPr>
        <w:pStyle w:val="Hesber"/>
        <w:spacing w:line="276" w:lineRule="auto"/>
        <w:rPr>
          <w:rtl/>
        </w:rPr>
      </w:pPr>
      <w:r w:rsidRPr="00F87627">
        <w:rPr>
          <w:rtl/>
        </w:rPr>
        <w:t xml:space="preserve">טיפול באמצעות אמנויות הוא שם כולל למקצועות שבהם נעשה שימוש בתהליכי יצירה והבעה  אמנותיים בטיפול בהפרעות נפשיות, התנהגותיות, התפתחותיות ואורגניות. המקצועות כוללים טיפול באמנות חזותית, טיפול במוסיקה, טיפול בתנועה ומחול, דרמה תרפיה, פסיכודרמה, וביבליותרפיה. מטפלים באמצעות אמנויות מועסקים במוסדות בריאות, רווחה, שיקום וחינוך ועובדים עם מגוון אוכלוסיות במתכונת פרטנית וקבוצתית. </w:t>
      </w:r>
    </w:p>
    <w:p w14:paraId="7D9083FE" w14:textId="2CCF9FEE" w:rsidR="00BA1A0F" w:rsidRPr="00F87627" w:rsidRDefault="00BA1A0F" w:rsidP="00F87627">
      <w:pPr>
        <w:pStyle w:val="Hesber"/>
        <w:spacing w:line="276" w:lineRule="auto"/>
        <w:rPr>
          <w:rtl/>
        </w:rPr>
      </w:pPr>
      <w:r w:rsidRPr="00F87627">
        <w:rPr>
          <w:rtl/>
        </w:rPr>
        <w:t xml:space="preserve">בשנת 1992 פורסם חוזר מנכ"ל </w:t>
      </w:r>
      <w:r w:rsidR="000C31CE" w:rsidRPr="00F87627">
        <w:rPr>
          <w:rFonts w:hint="cs"/>
          <w:rtl/>
        </w:rPr>
        <w:t xml:space="preserve">משרד הבריאות </w:t>
      </w:r>
      <w:r w:rsidRPr="00F87627">
        <w:rPr>
          <w:rtl/>
        </w:rPr>
        <w:t xml:space="preserve">(02/1992) ראשון בנושא, שבו הוגדר המקצוע ונקבעו הדרישות לקבלת תעודת הכרה במעמד מטעם משרד הבריאות למטפלים באמצעות אמנויות (יצירה והבעה). בהתאם לפסק הדין בבג"ץ </w:t>
      </w:r>
      <w:r w:rsidR="003C7EEC" w:rsidRPr="00F87627">
        <w:rPr>
          <w:rtl/>
        </w:rPr>
        <w:t>2921/03</w:t>
      </w:r>
      <w:r w:rsidR="003C7EEC" w:rsidRPr="00F87627">
        <w:rPr>
          <w:rFonts w:hint="cs"/>
          <w:rtl/>
        </w:rPr>
        <w:t xml:space="preserve"> </w:t>
      </w:r>
      <w:r w:rsidR="003C7EEC" w:rsidRPr="00F87627">
        <w:rPr>
          <w:rtl/>
        </w:rPr>
        <w:t xml:space="preserve">קאופמן ואח' נ' שנון, </w:t>
      </w:r>
      <w:r w:rsidRPr="00F87627">
        <w:rPr>
          <w:rtl/>
        </w:rPr>
        <w:t xml:space="preserve"> בוטל </w:t>
      </w:r>
      <w:r w:rsidRPr="00F87627">
        <w:rPr>
          <w:rFonts w:hint="cs"/>
          <w:rtl/>
        </w:rPr>
        <w:t>ה</w:t>
      </w:r>
      <w:r w:rsidRPr="00F87627">
        <w:rPr>
          <w:rtl/>
        </w:rPr>
        <w:t xml:space="preserve">נוהל </w:t>
      </w:r>
      <w:r w:rsidRPr="00F87627">
        <w:rPr>
          <w:rFonts w:hint="cs"/>
          <w:rtl/>
        </w:rPr>
        <w:t xml:space="preserve">של </w:t>
      </w:r>
      <w:r w:rsidRPr="00F87627">
        <w:rPr>
          <w:rtl/>
        </w:rPr>
        <w:t>משרד הבריאות שלפיו הונפקה תעודת הכרה במעמד למטפלים באמנו</w:t>
      </w:r>
      <w:r w:rsidR="009E44C6" w:rsidRPr="00F87627">
        <w:rPr>
          <w:rtl/>
        </w:rPr>
        <w:t>יות. בהתאם לפסק הדין בבג"ץ 4395/02 האגודה הישראלית לכירופרקטיקה נ' משרד הבריאות</w:t>
      </w:r>
      <w:r w:rsidR="005F563A" w:rsidRPr="00F87627">
        <w:rPr>
          <w:rFonts w:hint="cs"/>
          <w:rtl/>
        </w:rPr>
        <w:t xml:space="preserve">, </w:t>
      </w:r>
      <w:r w:rsidR="009E44C6" w:rsidRPr="00F87627">
        <w:rPr>
          <w:rtl/>
        </w:rPr>
        <w:t>רשאים מעסיקים ציבוריים ואחרים להעסיק במקצועות אלה גם את מי שאין ביד</w:t>
      </w:r>
      <w:r w:rsidR="009E44C6" w:rsidRPr="00F87627">
        <w:rPr>
          <w:rFonts w:hint="eastAsia"/>
          <w:rtl/>
        </w:rPr>
        <w:t>ו</w:t>
      </w:r>
      <w:r w:rsidR="009E44C6" w:rsidRPr="00F87627">
        <w:rPr>
          <w:rtl/>
        </w:rPr>
        <w:t xml:space="preserve"> תעודת הכרה במעמד</w:t>
      </w:r>
      <w:r w:rsidRPr="00F87627">
        <w:rPr>
          <w:rtl/>
        </w:rPr>
        <w:t xml:space="preserve">. החל מיולי 2005, משרד הבריאות אינו מנפיק עוד תעודות הכרה במעמד לבעלי מקצועות רפואיים שמקצועם אינו מוסדר בחוק, וביניהם למטפלים באמצעות אמנויות.  </w:t>
      </w:r>
    </w:p>
    <w:p w14:paraId="2C24ABAC" w14:textId="343734DE" w:rsidR="00BA1A0F" w:rsidRPr="00F87627" w:rsidRDefault="00BA1A0F" w:rsidP="00F87627">
      <w:pPr>
        <w:pStyle w:val="Hesber"/>
        <w:spacing w:line="276" w:lineRule="auto"/>
        <w:rPr>
          <w:rtl/>
        </w:rPr>
      </w:pPr>
      <w:r w:rsidRPr="00F87627">
        <w:rPr>
          <w:rtl/>
        </w:rPr>
        <w:t xml:space="preserve">בדיונים שונים </w:t>
      </w:r>
      <w:r w:rsidRPr="00F87627">
        <w:rPr>
          <w:rFonts w:hint="cs"/>
          <w:rtl/>
        </w:rPr>
        <w:t xml:space="preserve">שהתקיימו </w:t>
      </w:r>
      <w:r w:rsidRPr="00F87627">
        <w:rPr>
          <w:rtl/>
        </w:rPr>
        <w:t xml:space="preserve">בוועדת העבודה, הרווחה והבריאות של הכנסת מאז שנת 2008, </w:t>
      </w:r>
      <w:r w:rsidRPr="00F87627">
        <w:rPr>
          <w:rFonts w:hint="cs"/>
          <w:rtl/>
        </w:rPr>
        <w:t xml:space="preserve">נידון </w:t>
      </w:r>
      <w:r w:rsidRPr="00F87627">
        <w:rPr>
          <w:rtl/>
        </w:rPr>
        <w:t>תהליך ההכרה בלימודים במקצוע זה לתואר שני על ידי המועצה להשכלה גבוהה</w:t>
      </w:r>
      <w:r w:rsidRPr="00F87627">
        <w:rPr>
          <w:rFonts w:hint="cs"/>
          <w:rtl/>
        </w:rPr>
        <w:t xml:space="preserve"> (מל"ג)</w:t>
      </w:r>
      <w:r w:rsidRPr="00F87627">
        <w:rPr>
          <w:rtl/>
        </w:rPr>
        <w:t>. בינתיים נקבעה במקצוע טיפול באמצעות אמנויות</w:t>
      </w:r>
      <w:r w:rsidR="00D85602" w:rsidRPr="00F87627">
        <w:rPr>
          <w:rFonts w:hint="cs"/>
          <w:rtl/>
        </w:rPr>
        <w:t>, על ידי</w:t>
      </w:r>
      <w:r w:rsidRPr="00F87627">
        <w:rPr>
          <w:rFonts w:hint="cs"/>
          <w:rtl/>
        </w:rPr>
        <w:t xml:space="preserve"> המועצה להשכלה גבוהה ומשרד הבריאות,</w:t>
      </w:r>
      <w:r w:rsidRPr="00F87627">
        <w:rPr>
          <w:rtl/>
        </w:rPr>
        <w:t xml:space="preserve"> סטנדרטיזציה אקדמית והוגדרו דרישות </w:t>
      </w:r>
      <w:r w:rsidR="00130AD1" w:rsidRPr="00F87627">
        <w:rPr>
          <w:rFonts w:hint="cs"/>
          <w:rtl/>
        </w:rPr>
        <w:t xml:space="preserve">לגבי </w:t>
      </w:r>
      <w:r w:rsidRPr="00F87627">
        <w:rPr>
          <w:rtl/>
        </w:rPr>
        <w:t>הכשרה מעשית הכוללות השלמת 600 שעות במהלך</w:t>
      </w:r>
      <w:r w:rsidR="005F563A" w:rsidRPr="00F87627">
        <w:rPr>
          <w:rFonts w:hint="cs"/>
          <w:rtl/>
        </w:rPr>
        <w:t xml:space="preserve"> לימודי</w:t>
      </w:r>
      <w:r w:rsidRPr="00F87627">
        <w:rPr>
          <w:rtl/>
        </w:rPr>
        <w:t xml:space="preserve"> התואר השני ו-960 שעות של הכשרה מעשית מתקדמת לאחר התואר בפיקוחו של מוסד מוכר להשכלה גבוה שמעניק תואר אקדמי שני בטיפול באמצעות אמנויות. כיום</w:t>
      </w:r>
      <w:r w:rsidRPr="00F87627">
        <w:rPr>
          <w:rFonts w:hint="cs"/>
          <w:rtl/>
        </w:rPr>
        <w:t>,</w:t>
      </w:r>
      <w:r w:rsidRPr="00F87627">
        <w:rPr>
          <w:rtl/>
        </w:rPr>
        <w:t xml:space="preserve"> 8 מוסדות אקדמיים להשכלה גבוהה בישראל מכשירים מטפלים לתואר מוסמך (תואר שני) בטיפול באמצעות אמנויות</w:t>
      </w:r>
      <w:r w:rsidRPr="00F87627">
        <w:rPr>
          <w:rFonts w:hint="cs"/>
          <w:rtl/>
        </w:rPr>
        <w:t>:</w:t>
      </w:r>
      <w:r w:rsidRPr="00F87627">
        <w:rPr>
          <w:rtl/>
        </w:rPr>
        <w:t xml:space="preserve"> אוניברסיטת חיפה (כולל שלוחת מבח"ר בבני ברק</w:t>
      </w:r>
      <w:r w:rsidRPr="00F87627">
        <w:rPr>
          <w:rFonts w:hint="cs"/>
          <w:rtl/>
        </w:rPr>
        <w:t xml:space="preserve"> למגזר החרדי</w:t>
      </w:r>
      <w:r w:rsidRPr="00F87627">
        <w:rPr>
          <w:rtl/>
        </w:rPr>
        <w:t xml:space="preserve">), אוניברסיטת בר אילן, מכללת סמינר הקיבוצים, המכללה האקדמית תל חי, </w:t>
      </w:r>
      <w:r w:rsidRPr="00F87627">
        <w:rPr>
          <w:rFonts w:hint="cs"/>
          <w:rtl/>
        </w:rPr>
        <w:t>ה</w:t>
      </w:r>
      <w:r w:rsidRPr="00F87627">
        <w:rPr>
          <w:rtl/>
        </w:rPr>
        <w:t>מכלל</w:t>
      </w:r>
      <w:r w:rsidRPr="00F87627">
        <w:rPr>
          <w:rFonts w:hint="cs"/>
          <w:rtl/>
        </w:rPr>
        <w:t>ה</w:t>
      </w:r>
      <w:r w:rsidRPr="00F87627">
        <w:rPr>
          <w:rtl/>
        </w:rPr>
        <w:t xml:space="preserve"> האקדמית דוד ילין, מכללת לוי</w:t>
      </w:r>
      <w:r w:rsidR="00130AD1" w:rsidRPr="00F87627">
        <w:rPr>
          <w:rtl/>
        </w:rPr>
        <w:t>נסקי, המכללה האקדמית בית ברל</w:t>
      </w:r>
      <w:r w:rsidR="00130AD1" w:rsidRPr="00F87627">
        <w:rPr>
          <w:rFonts w:hint="cs"/>
          <w:rtl/>
        </w:rPr>
        <w:t xml:space="preserve"> ו</w:t>
      </w:r>
      <w:r w:rsidRPr="00F87627">
        <w:rPr>
          <w:rtl/>
        </w:rPr>
        <w:t>הקריה האקדמית אונו (ביה"ס לחברה ואומנויות). כמו כן, בהתאם להנחיות המ</w:t>
      </w:r>
      <w:r w:rsidRPr="00F87627">
        <w:rPr>
          <w:rFonts w:hint="cs"/>
          <w:rtl/>
        </w:rPr>
        <w:t>ל"ג</w:t>
      </w:r>
      <w:r w:rsidRPr="00F87627">
        <w:rPr>
          <w:rtl/>
        </w:rPr>
        <w:t xml:space="preserve"> ממרס 2013, קיימות </w:t>
      </w:r>
      <w:r w:rsidRPr="00F87627">
        <w:rPr>
          <w:rFonts w:hint="cs"/>
          <w:rtl/>
        </w:rPr>
        <w:t xml:space="preserve">כיום </w:t>
      </w:r>
      <w:r w:rsidRPr="00F87627">
        <w:rPr>
          <w:rtl/>
        </w:rPr>
        <w:t>חמש תכניות להשלמת תואר שני</w:t>
      </w:r>
      <w:r w:rsidRPr="00F87627">
        <w:rPr>
          <w:rFonts w:hint="cs"/>
          <w:rtl/>
        </w:rPr>
        <w:t xml:space="preserve"> אקדמי</w:t>
      </w:r>
      <w:r w:rsidRPr="00F87627">
        <w:rPr>
          <w:rtl/>
        </w:rPr>
        <w:t xml:space="preserve"> ייעודי</w:t>
      </w:r>
      <w:r w:rsidRPr="00F87627">
        <w:rPr>
          <w:rFonts w:hint="cs"/>
          <w:rtl/>
        </w:rPr>
        <w:t xml:space="preserve">, </w:t>
      </w:r>
      <w:r w:rsidR="00A244C4" w:rsidRPr="00F87627">
        <w:rPr>
          <w:rFonts w:hint="cs"/>
          <w:rtl/>
        </w:rPr>
        <w:t xml:space="preserve">לרבות </w:t>
      </w:r>
      <w:r w:rsidRPr="00F87627">
        <w:rPr>
          <w:rFonts w:hint="cs"/>
          <w:rtl/>
        </w:rPr>
        <w:t xml:space="preserve">במגזר החרדי, </w:t>
      </w:r>
      <w:r w:rsidRPr="00F87627">
        <w:rPr>
          <w:rtl/>
        </w:rPr>
        <w:t xml:space="preserve">עבור מטפלים </w:t>
      </w:r>
      <w:r w:rsidRPr="00F87627">
        <w:rPr>
          <w:rFonts w:hint="cs"/>
          <w:rtl/>
        </w:rPr>
        <w:t xml:space="preserve">שסיימו עד לדצמבר 2018 </w:t>
      </w:r>
      <w:r w:rsidR="00A244C4" w:rsidRPr="00F87627">
        <w:rPr>
          <w:rFonts w:hint="cs"/>
          <w:rtl/>
        </w:rPr>
        <w:t>תכניות</w:t>
      </w:r>
      <w:r w:rsidRPr="00F87627">
        <w:rPr>
          <w:rtl/>
        </w:rPr>
        <w:t xml:space="preserve"> </w:t>
      </w:r>
      <w:r w:rsidR="00A244C4" w:rsidRPr="00F87627">
        <w:rPr>
          <w:rFonts w:hint="cs"/>
          <w:rtl/>
        </w:rPr>
        <w:t xml:space="preserve">ללימודי </w:t>
      </w:r>
      <w:r w:rsidRPr="00F87627">
        <w:rPr>
          <w:rtl/>
        </w:rPr>
        <w:t xml:space="preserve">תעודה </w:t>
      </w:r>
      <w:r w:rsidRPr="00F87627">
        <w:rPr>
          <w:rFonts w:hint="cs"/>
          <w:rtl/>
        </w:rPr>
        <w:t>במוסד מוכר להשכלה גבוהה</w:t>
      </w:r>
      <w:r w:rsidRPr="00F87627">
        <w:rPr>
          <w:rtl/>
        </w:rPr>
        <w:t xml:space="preserve">. </w:t>
      </w:r>
    </w:p>
    <w:p w14:paraId="15DABDD4" w14:textId="77777777" w:rsidR="00BA1A0F" w:rsidRPr="00F87627" w:rsidRDefault="00BA1A0F" w:rsidP="00F87627">
      <w:pPr>
        <w:pStyle w:val="Hesber"/>
        <w:spacing w:line="276" w:lineRule="auto"/>
        <w:rPr>
          <w:rtl/>
        </w:rPr>
      </w:pPr>
      <w:r w:rsidRPr="00F87627">
        <w:rPr>
          <w:rtl/>
        </w:rPr>
        <w:t>בכל שנה פונים בישראל למעלה ממיליון אנשים למטפלים באמצעות אמנויות לצורך קבלת טיפול.  תחום הטיפול באמצעות אמנויות בישראל מגלגל למעלה ממיליארד שקלים חדשים בשנה והערכות מומחים גורסות שימשיך במגמת צמיחה לאור הגידול במודעות הציבורית לתופעות כגון קשיים רגשיים, הפרעות התנהגות, קשיי למידה, קשיי ריכוז ומשברים נפשיים בייחוד של צעירים ואוכלוסיות מוחלשות.</w:t>
      </w:r>
    </w:p>
    <w:p w14:paraId="03B1276A" w14:textId="77777777" w:rsidR="00BA1A0F" w:rsidRPr="00F87627" w:rsidRDefault="00BA1A0F" w:rsidP="00F87627">
      <w:pPr>
        <w:pStyle w:val="Hesber"/>
        <w:spacing w:line="276" w:lineRule="auto"/>
        <w:rPr>
          <w:rtl/>
        </w:rPr>
      </w:pPr>
      <w:r w:rsidRPr="00F87627">
        <w:rPr>
          <w:rtl/>
        </w:rPr>
        <w:t>בהיעדר חקיקה המסדירה מקצוע זה, אין כל פיקוח, בקרה או מעקב על תנאי הכשירות לע</w:t>
      </w:r>
      <w:r w:rsidRPr="00F87627">
        <w:rPr>
          <w:rFonts w:hint="cs"/>
          <w:rtl/>
        </w:rPr>
        <w:t>י</w:t>
      </w:r>
      <w:r w:rsidRPr="00F87627">
        <w:rPr>
          <w:rtl/>
        </w:rPr>
        <w:t>סוק במקצוע ועל התנאים בהם ניתנים הטיפולים. כמו כן, אין כיום כל יכולת מעקב אחר איכות הטיפולים, על התקנים בהם מועסקים המטפלים ואין מזור לאלו שנעשה להם עוול במסגרת קבלת טיפול רשלני בנושאים שעלולים להשפיע על נפשו של אדם.</w:t>
      </w:r>
    </w:p>
    <w:p w14:paraId="3E41C63B" w14:textId="44F40675" w:rsidR="00BA1A0F" w:rsidRPr="00F87627" w:rsidRDefault="00BA1A0F" w:rsidP="00F87627">
      <w:pPr>
        <w:pStyle w:val="Hesber"/>
        <w:spacing w:line="276" w:lineRule="auto"/>
        <w:rPr>
          <w:rtl/>
        </w:rPr>
      </w:pPr>
      <w:r w:rsidRPr="00F87627">
        <w:rPr>
          <w:rtl/>
        </w:rPr>
        <w:t xml:space="preserve">התיקון המוצע לחוק יאפשר לקבוע </w:t>
      </w:r>
      <w:r w:rsidR="00A244C4" w:rsidRPr="00F87627">
        <w:rPr>
          <w:rFonts w:hint="cs"/>
          <w:rtl/>
        </w:rPr>
        <w:t>את ה</w:t>
      </w:r>
      <w:r w:rsidRPr="00F87627">
        <w:rPr>
          <w:rtl/>
        </w:rPr>
        <w:t>תנאים הנדרשים כתנאי לזכות להיקרא מטפל באמצעות אמנויות בישראל, לר</w:t>
      </w:r>
      <w:r w:rsidR="00130AD1" w:rsidRPr="00F87627">
        <w:rPr>
          <w:rtl/>
        </w:rPr>
        <w:t>בות תנאים לקבלת תעודת מקצוע</w:t>
      </w:r>
      <w:r w:rsidR="00A244C4" w:rsidRPr="00F87627">
        <w:rPr>
          <w:rFonts w:hint="cs"/>
          <w:rtl/>
        </w:rPr>
        <w:t>,</w:t>
      </w:r>
      <w:r w:rsidRPr="00F87627">
        <w:rPr>
          <w:rtl/>
        </w:rPr>
        <w:t xml:space="preserve"> תנאי כשירות, סדרי בחינות, חובות אמון וכללי אתיקה מקצועית, סדרי משמעת ועונשין, חובות כלפי מטופל, הגבלת פרסום מוטעה, פיקוח, אחריות </w:t>
      </w:r>
      <w:r w:rsidR="005F563A" w:rsidRPr="00F87627">
        <w:rPr>
          <w:rFonts w:hint="cs"/>
          <w:rtl/>
        </w:rPr>
        <w:t xml:space="preserve">על </w:t>
      </w:r>
      <w:r w:rsidRPr="00F87627">
        <w:rPr>
          <w:rtl/>
        </w:rPr>
        <w:t xml:space="preserve">רישום המטפלים ואחריות על הכרה בתעודות הכשרה ממוסדות </w:t>
      </w:r>
      <w:r w:rsidRPr="00F87627">
        <w:rPr>
          <w:rFonts w:hint="cs"/>
          <w:rtl/>
        </w:rPr>
        <w:t>ב</w:t>
      </w:r>
      <w:r w:rsidRPr="00F87627">
        <w:rPr>
          <w:rtl/>
        </w:rPr>
        <w:t>חוץ לארץ.</w:t>
      </w:r>
    </w:p>
    <w:p w14:paraId="7C5E8C2A" w14:textId="77777777" w:rsidR="00BA1A0F" w:rsidRPr="00F87627" w:rsidRDefault="00BA1A0F" w:rsidP="00F87627">
      <w:pPr>
        <w:pStyle w:val="Hesber"/>
        <w:spacing w:line="276" w:lineRule="auto"/>
        <w:rPr>
          <w:rtl/>
        </w:rPr>
      </w:pPr>
      <w:r w:rsidRPr="00F87627">
        <w:rPr>
          <w:rtl/>
        </w:rPr>
        <w:t>הצעת החוק נועדה להסדיר את הבקרה של משרד הבריאות על המקצוע ואת הסמכות של שר הבריאות להתקין תקנות לעניין חוק זה ככל שימצא לנכון ובהתייעצות עם ועדה מקצועית מייעצת. יודגש, כי הסדרת המקצוע תחזיר למקצוע ולמטפלים את ההכרה שנלקחה מהם עם ביטול תעודת הכרה במעמד מטעם משרד הבריאות בשנת 2005.</w:t>
      </w:r>
    </w:p>
    <w:p w14:paraId="52341314" w14:textId="4FE2631E" w:rsidR="00BA1A0F" w:rsidRPr="00F87627" w:rsidRDefault="00BA1A0F" w:rsidP="00F87627">
      <w:pPr>
        <w:pStyle w:val="Hesber"/>
        <w:spacing w:line="276" w:lineRule="auto"/>
        <w:rPr>
          <w:rtl/>
        </w:rPr>
      </w:pPr>
      <w:r w:rsidRPr="00F87627">
        <w:rPr>
          <w:rFonts w:hint="cs"/>
          <w:rtl/>
        </w:rPr>
        <w:t xml:space="preserve">הצעת חוק זו הינה ברוח שתי פסיקות בג"ץ בנושא הסדרת </w:t>
      </w:r>
      <w:r w:rsidR="003B4746" w:rsidRPr="00F87627">
        <w:rPr>
          <w:rFonts w:hint="cs"/>
          <w:rtl/>
        </w:rPr>
        <w:t>העיסוק ב</w:t>
      </w:r>
      <w:r w:rsidRPr="00F87627">
        <w:rPr>
          <w:rFonts w:hint="cs"/>
          <w:rtl/>
        </w:rPr>
        <w:t xml:space="preserve">טיפול באמצעות אמנויות. הראשונה קבעה כי </w:t>
      </w:r>
      <w:r w:rsidRPr="00F87627">
        <w:rPr>
          <w:rtl/>
        </w:rPr>
        <w:t>"</w:t>
      </w:r>
      <w:r w:rsidRPr="00F87627">
        <w:rPr>
          <w:rFonts w:hint="cs"/>
          <w:rtl/>
        </w:rPr>
        <w:t>ה</w:t>
      </w:r>
      <w:r w:rsidRPr="00F87627">
        <w:rPr>
          <w:rtl/>
        </w:rPr>
        <w:t>עיכוב בהשלמת הליך החקיקה</w:t>
      </w:r>
      <w:r w:rsidRPr="00F87627">
        <w:rPr>
          <w:rFonts w:hint="cs"/>
          <w:rtl/>
        </w:rPr>
        <w:t>, אשר</w:t>
      </w:r>
      <w:r w:rsidRPr="00F87627">
        <w:rPr>
          <w:rtl/>
        </w:rPr>
        <w:t> גורר עימו השלכות כואבות ויקרות על</w:t>
      </w:r>
      <w:r w:rsidRPr="00F87627">
        <w:rPr>
          <w:rFonts w:cs="Arial" w:hint="cs"/>
          <w:rtl/>
        </w:rPr>
        <w:t> </w:t>
      </w:r>
      <w:r w:rsidRPr="00F87627">
        <w:rPr>
          <w:rtl/>
        </w:rPr>
        <w:t xml:space="preserve">המבקשים לעסוק בתחום...מוטב לטובת כל הפועלים בתחום כי תסתיים המלאכה תוך זמן סביר... </w:t>
      </w:r>
      <w:r w:rsidRPr="00F87627">
        <w:rPr>
          <w:rtl/>
        </w:rPr>
        <w:lastRenderedPageBreak/>
        <w:t>הימשכות ההליכים עשויה, אף שלא במכוון, לפגוע במתן שרותי</w:t>
      </w:r>
      <w:r w:rsidR="006F2A99" w:rsidRPr="00F87627">
        <w:rPr>
          <w:rFonts w:hint="cs"/>
          <w:rtl/>
        </w:rPr>
        <w:t>ם</w:t>
      </w:r>
      <w:r w:rsidRPr="00F87627">
        <w:rPr>
          <w:rtl/>
        </w:rPr>
        <w:t xml:space="preserve"> פרא-רפואיים לציבור הנזקק להם..."</w:t>
      </w:r>
      <w:r w:rsidRPr="00F87627">
        <w:rPr>
          <w:rFonts w:hint="cs"/>
          <w:rtl/>
        </w:rPr>
        <w:t xml:space="preserve"> (</w:t>
      </w:r>
      <w:r w:rsidRPr="00F87627">
        <w:rPr>
          <w:rtl/>
        </w:rPr>
        <w:t xml:space="preserve">בג"ץ 647/11 כיוונים </w:t>
      </w:r>
      <w:r w:rsidRPr="00F87627">
        <w:rPr>
          <w:rFonts w:hint="cs"/>
          <w:rtl/>
        </w:rPr>
        <w:t>–</w:t>
      </w:r>
      <w:r w:rsidRPr="00F87627">
        <w:rPr>
          <w:rtl/>
        </w:rPr>
        <w:t xml:space="preserve"> מכון לפסיכודרמה וקבוצות בע''מ נ' ד''ר רוני גמזו, מנכ''ל משרד הבריאות (פורסם בנבו, 22.08.2012)</w:t>
      </w:r>
      <w:r w:rsidR="00927228" w:rsidRPr="00F87627">
        <w:rPr>
          <w:rFonts w:hint="cs"/>
          <w:rtl/>
        </w:rPr>
        <w:t xml:space="preserve">). בשנייה, </w:t>
      </w:r>
      <w:r w:rsidRPr="00F87627">
        <w:rPr>
          <w:rFonts w:hint="cs"/>
          <w:rtl/>
        </w:rPr>
        <w:t xml:space="preserve">פסק בג"ץ כי </w:t>
      </w:r>
      <w:r w:rsidRPr="00F87627">
        <w:rPr>
          <w:rtl/>
        </w:rPr>
        <w:t xml:space="preserve">"אין חולק כיום על חשיבות מקצוע </w:t>
      </w:r>
      <w:r w:rsidRPr="00F87627">
        <w:rPr>
          <w:rFonts w:hint="cs"/>
          <w:rtl/>
        </w:rPr>
        <w:t>'</w:t>
      </w:r>
      <w:r w:rsidRPr="00F87627">
        <w:rPr>
          <w:rtl/>
        </w:rPr>
        <w:t>הטיפול באמצעות אומנויות</w:t>
      </w:r>
      <w:r w:rsidRPr="00F87627">
        <w:rPr>
          <w:rFonts w:hint="cs"/>
          <w:rtl/>
        </w:rPr>
        <w:t>'</w:t>
      </w:r>
      <w:r w:rsidRPr="00F87627">
        <w:rPr>
          <w:rtl/>
        </w:rPr>
        <w:t>. המדובר במקצוע שעוסק בטיפול נפשי באמצעות הבעה ויצירה. מכאן הצורך על פניו לבחון את הסדרתו בחוק" (בג"ץ 11/19</w:t>
      </w:r>
      <w:r w:rsidRPr="00F87627">
        <w:rPr>
          <w:rFonts w:hint="cs"/>
          <w:rtl/>
        </w:rPr>
        <w:t xml:space="preserve"> </w:t>
      </w:r>
      <w:r w:rsidRPr="00F87627">
        <w:rPr>
          <w:rtl/>
        </w:rPr>
        <w:t>האגודה לטיפול באומנויות בישראל נ' משרד הבריאות (פורסם בנבו, 02.10.2019)).</w:t>
      </w:r>
    </w:p>
    <w:p w14:paraId="313225FA" w14:textId="6BE7B73E" w:rsidR="00912A33" w:rsidRPr="00F87627" w:rsidRDefault="00BA1A0F" w:rsidP="00F87627">
      <w:pPr>
        <w:pStyle w:val="Hesber"/>
        <w:spacing w:line="276" w:lineRule="auto"/>
        <w:rPr>
          <w:rtl/>
        </w:rPr>
      </w:pPr>
      <w:r w:rsidRPr="00F87627">
        <w:rPr>
          <w:rtl/>
        </w:rPr>
        <w:t>הצע</w:t>
      </w:r>
      <w:r w:rsidRPr="00F87627">
        <w:rPr>
          <w:rFonts w:hint="cs"/>
          <w:rtl/>
        </w:rPr>
        <w:t>ו</w:t>
      </w:r>
      <w:r w:rsidRPr="00F87627">
        <w:rPr>
          <w:rtl/>
        </w:rPr>
        <w:t>ת חוק דומ</w:t>
      </w:r>
      <w:r w:rsidRPr="00F87627">
        <w:rPr>
          <w:rFonts w:hint="cs"/>
          <w:rtl/>
        </w:rPr>
        <w:t>ות</w:t>
      </w:r>
      <w:r w:rsidRPr="00F87627">
        <w:rPr>
          <w:rtl/>
        </w:rPr>
        <w:t xml:space="preserve"> בעיקר</w:t>
      </w:r>
      <w:r w:rsidRPr="00F87627">
        <w:rPr>
          <w:rFonts w:hint="cs"/>
          <w:rtl/>
        </w:rPr>
        <w:t>ן</w:t>
      </w:r>
      <w:r w:rsidRPr="00F87627">
        <w:rPr>
          <w:rtl/>
        </w:rPr>
        <w:t xml:space="preserve"> הונח</w:t>
      </w:r>
      <w:r w:rsidRPr="00F87627">
        <w:rPr>
          <w:rFonts w:hint="cs"/>
          <w:rtl/>
        </w:rPr>
        <w:t>ו</w:t>
      </w:r>
      <w:r w:rsidRPr="00F87627">
        <w:rPr>
          <w:rtl/>
        </w:rPr>
        <w:t xml:space="preserve"> על שולחן הכנסת העשרים על ידי חבר הכנסת איציק שמולי (פ/3325/20)</w:t>
      </w:r>
      <w:r w:rsidRPr="00F87627">
        <w:rPr>
          <w:rFonts w:hint="cs"/>
          <w:rtl/>
        </w:rPr>
        <w:t xml:space="preserve"> ועל ידי חברת הכנסת נורית קורן וקבוצת חברי הכנסת </w:t>
      </w:r>
      <w:r w:rsidRPr="00F87627">
        <w:rPr>
          <w:rtl/>
        </w:rPr>
        <w:t>(פ/4308/20)</w:t>
      </w:r>
      <w:r w:rsidR="00D72F96" w:rsidRPr="00F87627">
        <w:rPr>
          <w:rFonts w:hint="cs"/>
          <w:rtl/>
        </w:rPr>
        <w:t xml:space="preserve">, </w:t>
      </w:r>
      <w:r w:rsidR="007514FB" w:rsidRPr="00F87627">
        <w:rPr>
          <w:rtl/>
        </w:rPr>
        <w:t>על שולחן הכנסת העשרים ושלוש על ידי חברת הכנסת קרן ברק וקבוצת חברי הכנסת (פ/2135/23) ועל שולחן הכנסת העשרים וארבע על ידי חברת הכנסת קרן ברק (פ/159/24), על ידי חברות הכנסת מיכל וולדיגר ואמילי חיה מואטי (פ/1815/24) ועל ידי חברת הכנסת מיכל שיר סגמן וקבוצת חברי הכנסת (פ/2477/24).</w:t>
      </w:r>
    </w:p>
    <w:p w14:paraId="336DB40B" w14:textId="77777777" w:rsidR="00912A33" w:rsidRPr="00F87627" w:rsidRDefault="00912A33" w:rsidP="00F87627">
      <w:pPr>
        <w:pStyle w:val="Hesber"/>
        <w:spacing w:line="276" w:lineRule="auto"/>
        <w:rPr>
          <w:rtl/>
        </w:rPr>
      </w:pPr>
    </w:p>
    <w:p w14:paraId="1DFBB784" w14:textId="77777777" w:rsidR="00C16ED8" w:rsidRDefault="00C16ED8">
      <w:pPr>
        <w:spacing w:line="276" w:lineRule="auto"/>
        <w:jc w:val="left"/>
      </w:pPr>
      <w:bookmarkStart w:id="8" w:name="_GoBack"/>
      <w:bookmarkEnd w:id="8"/>
    </w:p>
    <w:p w14:paraId="1B64E7B0" w14:textId="77777777" w:rsidR="003845D9" w:rsidRDefault="0072608C">
      <w:pPr>
        <w:jc w:val="left"/>
      </w:pPr>
      <w:bookmarkStart w:id="9" w:name="selectedDocDateB"/>
      <w:bookmarkEnd w:id="9"/>
      <w:r>
        <w:rPr>
          <w:rFonts w:eastAsia="David" w:hint="cs"/>
          <w:sz w:val="26"/>
          <w:szCs w:val="26"/>
          <w:rtl/>
        </w:rPr>
        <w:t>--------------------------------</w:t>
      </w:r>
    </w:p>
    <w:p w14:paraId="09191AAA" w14:textId="77777777" w:rsidR="003845D9" w:rsidRDefault="0072608C">
      <w:pPr>
        <w:jc w:val="left"/>
      </w:pPr>
      <w:r>
        <w:rPr>
          <w:rFonts w:eastAsia="David" w:hint="cs"/>
          <w:sz w:val="26"/>
          <w:szCs w:val="26"/>
          <w:rtl/>
        </w:rPr>
        <w:t>הוגשה ליו"ר הכנסת והסגנים</w:t>
      </w:r>
    </w:p>
    <w:p w14:paraId="2320A96D" w14:textId="77777777" w:rsidR="003845D9" w:rsidRDefault="0072608C">
      <w:pPr>
        <w:jc w:val="left"/>
      </w:pPr>
      <w:r>
        <w:rPr>
          <w:rFonts w:eastAsia="David" w:hint="cs"/>
          <w:sz w:val="26"/>
          <w:szCs w:val="26"/>
          <w:rtl/>
        </w:rPr>
        <w:t>והונחה על שולחן הכנסת ביום</w:t>
      </w:r>
    </w:p>
    <w:p w14:paraId="371080E2" w14:textId="77777777" w:rsidR="003845D9" w:rsidRDefault="0072608C">
      <w:pPr>
        <w:jc w:val="left"/>
      </w:pPr>
      <w:r>
        <w:rPr>
          <w:rFonts w:eastAsia="David" w:hint="cs"/>
          <w:sz w:val="26"/>
          <w:szCs w:val="26"/>
          <w:rtl/>
        </w:rPr>
        <w:t xml:space="preserve">י"ח בכסלו התשפ"ג (12.12.2022) </w:t>
      </w:r>
    </w:p>
    <w:p w14:paraId="4CB01D67" w14:textId="77777777" w:rsidR="003845D9" w:rsidRDefault="003845D9">
      <w:pPr>
        <w:spacing w:line="276" w:lineRule="auto"/>
        <w:jc w:val="left"/>
      </w:pPr>
    </w:p>
    <w:sectPr w:rsidR="003845D9" w:rsidSect="00F87627">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72608C">
      <w:rPr>
        <w:rStyle w:val="ab"/>
        <w:noProof/>
        <w:rtl/>
      </w:rPr>
      <w:t>4</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F87627">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8829932" w14:textId="77777777" w:rsidR="00BA1A0F" w:rsidRDefault="00BA1A0F" w:rsidP="00BA1A0F">
      <w:pPr>
        <w:pStyle w:val="a4"/>
        <w:rPr>
          <w:rtl/>
        </w:rPr>
      </w:pPr>
      <w:r>
        <w:rPr>
          <w:rStyle w:val="a6"/>
        </w:rPr>
        <w:footnoteRef/>
      </w:r>
      <w:r>
        <w:rPr>
          <w:rtl/>
        </w:rPr>
        <w:t xml:space="preserve"> </w:t>
      </w:r>
      <w:r>
        <w:rPr>
          <w:rFonts w:hint="eastAsia"/>
          <w:rtl/>
        </w:rPr>
        <w:t>ס</w:t>
      </w:r>
      <w:r>
        <w:rPr>
          <w:rtl/>
        </w:rPr>
        <w:t>"ח התשס"ח, עמ' 720.</w:t>
      </w:r>
    </w:p>
  </w:footnote>
  <w:footnote w:id="3">
    <w:p w14:paraId="753C12FD" w14:textId="77777777" w:rsidR="00BA1A0F" w:rsidRDefault="00BA1A0F" w:rsidP="00BA1A0F">
      <w:pPr>
        <w:pStyle w:val="a4"/>
        <w:rPr>
          <w:rtl/>
        </w:rPr>
      </w:pPr>
      <w:r>
        <w:rPr>
          <w:rStyle w:val="a6"/>
        </w:rPr>
        <w:footnoteRef/>
      </w:r>
      <w:r>
        <w:rPr>
          <w:rtl/>
        </w:rPr>
        <w:t xml:space="preserve"> </w:t>
      </w:r>
      <w:r>
        <w:rPr>
          <w:rFonts w:hint="cs"/>
          <w:rtl/>
        </w:rPr>
        <w:t>ס"ח התשנ"ו, עמ' 327.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1061"/>
    <w:rsid w:val="00015B27"/>
    <w:rsid w:val="00063A3E"/>
    <w:rsid w:val="000642BB"/>
    <w:rsid w:val="00072CAC"/>
    <w:rsid w:val="0007681A"/>
    <w:rsid w:val="000A542E"/>
    <w:rsid w:val="000C31CE"/>
    <w:rsid w:val="00102B6B"/>
    <w:rsid w:val="001052D4"/>
    <w:rsid w:val="0010644B"/>
    <w:rsid w:val="001207F8"/>
    <w:rsid w:val="00121924"/>
    <w:rsid w:val="001279A8"/>
    <w:rsid w:val="00130AD1"/>
    <w:rsid w:val="0014195F"/>
    <w:rsid w:val="00152609"/>
    <w:rsid w:val="00153E1B"/>
    <w:rsid w:val="001A0623"/>
    <w:rsid w:val="001C23B0"/>
    <w:rsid w:val="001D7AAF"/>
    <w:rsid w:val="001E13E1"/>
    <w:rsid w:val="00203A7F"/>
    <w:rsid w:val="0021633A"/>
    <w:rsid w:val="002200A1"/>
    <w:rsid w:val="002362BF"/>
    <w:rsid w:val="00237912"/>
    <w:rsid w:val="00241B97"/>
    <w:rsid w:val="002425D1"/>
    <w:rsid w:val="00246756"/>
    <w:rsid w:val="00251E58"/>
    <w:rsid w:val="00254605"/>
    <w:rsid w:val="00266D86"/>
    <w:rsid w:val="002728B4"/>
    <w:rsid w:val="0027600C"/>
    <w:rsid w:val="00292712"/>
    <w:rsid w:val="00295B59"/>
    <w:rsid w:val="002A487D"/>
    <w:rsid w:val="002C2E29"/>
    <w:rsid w:val="002C3041"/>
    <w:rsid w:val="002D1EE3"/>
    <w:rsid w:val="002F1D80"/>
    <w:rsid w:val="003232A2"/>
    <w:rsid w:val="00325C14"/>
    <w:rsid w:val="0036422C"/>
    <w:rsid w:val="003710F6"/>
    <w:rsid w:val="003845D9"/>
    <w:rsid w:val="00386E88"/>
    <w:rsid w:val="00393DA0"/>
    <w:rsid w:val="00396585"/>
    <w:rsid w:val="003B4746"/>
    <w:rsid w:val="003C7EEC"/>
    <w:rsid w:val="003D6E38"/>
    <w:rsid w:val="003D74A0"/>
    <w:rsid w:val="004033D8"/>
    <w:rsid w:val="004073F0"/>
    <w:rsid w:val="00412A7D"/>
    <w:rsid w:val="00416B4D"/>
    <w:rsid w:val="00417CFC"/>
    <w:rsid w:val="004203ED"/>
    <w:rsid w:val="0046640D"/>
    <w:rsid w:val="004927D2"/>
    <w:rsid w:val="004A06DC"/>
    <w:rsid w:val="004B24ED"/>
    <w:rsid w:val="004B6625"/>
    <w:rsid w:val="004D2D82"/>
    <w:rsid w:val="004D30C5"/>
    <w:rsid w:val="004D3876"/>
    <w:rsid w:val="004E2D84"/>
    <w:rsid w:val="004E4552"/>
    <w:rsid w:val="004E6CDF"/>
    <w:rsid w:val="00553C9D"/>
    <w:rsid w:val="00562A66"/>
    <w:rsid w:val="00584508"/>
    <w:rsid w:val="005B064E"/>
    <w:rsid w:val="005D51AE"/>
    <w:rsid w:val="005F563A"/>
    <w:rsid w:val="0062674B"/>
    <w:rsid w:val="006363B2"/>
    <w:rsid w:val="00644940"/>
    <w:rsid w:val="006818A9"/>
    <w:rsid w:val="006A2D81"/>
    <w:rsid w:val="006C1D0D"/>
    <w:rsid w:val="006D10B4"/>
    <w:rsid w:val="006F2A99"/>
    <w:rsid w:val="0070601E"/>
    <w:rsid w:val="00712C72"/>
    <w:rsid w:val="00716099"/>
    <w:rsid w:val="0072608C"/>
    <w:rsid w:val="00735FE9"/>
    <w:rsid w:val="007514FB"/>
    <w:rsid w:val="00763CAA"/>
    <w:rsid w:val="00765F66"/>
    <w:rsid w:val="00772EB1"/>
    <w:rsid w:val="0078664F"/>
    <w:rsid w:val="00793220"/>
    <w:rsid w:val="007A27CE"/>
    <w:rsid w:val="007C3FA6"/>
    <w:rsid w:val="007D585A"/>
    <w:rsid w:val="007D5A12"/>
    <w:rsid w:val="007E59F9"/>
    <w:rsid w:val="007F080B"/>
    <w:rsid w:val="007F3190"/>
    <w:rsid w:val="00810BCD"/>
    <w:rsid w:val="00812C98"/>
    <w:rsid w:val="00814D92"/>
    <w:rsid w:val="0083181D"/>
    <w:rsid w:val="00843EB2"/>
    <w:rsid w:val="00865572"/>
    <w:rsid w:val="00874BBC"/>
    <w:rsid w:val="00892135"/>
    <w:rsid w:val="00895449"/>
    <w:rsid w:val="00896992"/>
    <w:rsid w:val="00897879"/>
    <w:rsid w:val="008A6870"/>
    <w:rsid w:val="008C2DDC"/>
    <w:rsid w:val="008C7516"/>
    <w:rsid w:val="008E6EC7"/>
    <w:rsid w:val="008F0D63"/>
    <w:rsid w:val="008F1308"/>
    <w:rsid w:val="008F2C35"/>
    <w:rsid w:val="008F6665"/>
    <w:rsid w:val="00904591"/>
    <w:rsid w:val="00905E5F"/>
    <w:rsid w:val="0091204F"/>
    <w:rsid w:val="00912A33"/>
    <w:rsid w:val="009203DB"/>
    <w:rsid w:val="00923CD4"/>
    <w:rsid w:val="00927228"/>
    <w:rsid w:val="00930EFE"/>
    <w:rsid w:val="00940B25"/>
    <w:rsid w:val="009414ED"/>
    <w:rsid w:val="00943386"/>
    <w:rsid w:val="009456B6"/>
    <w:rsid w:val="00957589"/>
    <w:rsid w:val="00966D06"/>
    <w:rsid w:val="00982412"/>
    <w:rsid w:val="00983A8D"/>
    <w:rsid w:val="009A0DB8"/>
    <w:rsid w:val="009A7257"/>
    <w:rsid w:val="009D6E0A"/>
    <w:rsid w:val="009E1E33"/>
    <w:rsid w:val="009E44C6"/>
    <w:rsid w:val="00A03F6E"/>
    <w:rsid w:val="00A14672"/>
    <w:rsid w:val="00A244C4"/>
    <w:rsid w:val="00A26BD6"/>
    <w:rsid w:val="00A443CF"/>
    <w:rsid w:val="00A6611D"/>
    <w:rsid w:val="00A73341"/>
    <w:rsid w:val="00A82CB7"/>
    <w:rsid w:val="00A942C1"/>
    <w:rsid w:val="00AA2F03"/>
    <w:rsid w:val="00AC36F7"/>
    <w:rsid w:val="00AC63A4"/>
    <w:rsid w:val="00AD239E"/>
    <w:rsid w:val="00B10265"/>
    <w:rsid w:val="00B16A99"/>
    <w:rsid w:val="00B21211"/>
    <w:rsid w:val="00B32793"/>
    <w:rsid w:val="00B35784"/>
    <w:rsid w:val="00B53DF6"/>
    <w:rsid w:val="00B733A7"/>
    <w:rsid w:val="00B75C91"/>
    <w:rsid w:val="00B814EE"/>
    <w:rsid w:val="00B975AD"/>
    <w:rsid w:val="00BA1A0F"/>
    <w:rsid w:val="00BB4670"/>
    <w:rsid w:val="00BC45FB"/>
    <w:rsid w:val="00BF148D"/>
    <w:rsid w:val="00BF6D64"/>
    <w:rsid w:val="00C16ED8"/>
    <w:rsid w:val="00C23B1A"/>
    <w:rsid w:val="00C25CFC"/>
    <w:rsid w:val="00C310EB"/>
    <w:rsid w:val="00C9176A"/>
    <w:rsid w:val="00CF1AA2"/>
    <w:rsid w:val="00D05176"/>
    <w:rsid w:val="00D142D3"/>
    <w:rsid w:val="00D17774"/>
    <w:rsid w:val="00D336A4"/>
    <w:rsid w:val="00D60164"/>
    <w:rsid w:val="00D63620"/>
    <w:rsid w:val="00D72F96"/>
    <w:rsid w:val="00D8410D"/>
    <w:rsid w:val="00D85602"/>
    <w:rsid w:val="00D867D7"/>
    <w:rsid w:val="00DB7060"/>
    <w:rsid w:val="00DD7050"/>
    <w:rsid w:val="00DE3153"/>
    <w:rsid w:val="00DE3EAA"/>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22928"/>
    <w:rsid w:val="00F2575B"/>
    <w:rsid w:val="00F628D6"/>
    <w:rsid w:val="00F67051"/>
    <w:rsid w:val="00F86A1E"/>
    <w:rsid w:val="00F87627"/>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AAC4AFA-4C09-408B-B11A-C1B34EA0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627"/>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F87627"/>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F87627"/>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F87627"/>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F87627"/>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F87627"/>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F87627"/>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F87627"/>
    <w:rPr>
      <w:sz w:val="36"/>
      <w:szCs w:val="52"/>
    </w:rPr>
  </w:style>
  <w:style w:type="paragraph" w:customStyle="1" w:styleId="Cover3-Haknesset">
    <w:name w:val="Cover 3-Haknesset"/>
    <w:basedOn w:val="Cover1-Reshumot"/>
    <w:rsid w:val="00F87627"/>
    <w:rPr>
      <w:b/>
      <w:bCs/>
      <w:spacing w:val="60"/>
    </w:rPr>
  </w:style>
  <w:style w:type="paragraph" w:customStyle="1" w:styleId="Cover4-Date">
    <w:name w:val="Cover 4-Date"/>
    <w:basedOn w:val="a"/>
    <w:rsid w:val="00F87627"/>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F87627"/>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F87627"/>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F87627"/>
    <w:pPr>
      <w:spacing w:before="120" w:after="120"/>
    </w:pPr>
    <w:rPr>
      <w:color w:val="FF0000"/>
      <w:w w:val="80"/>
    </w:rPr>
  </w:style>
  <w:style w:type="paragraph" w:styleId="a3">
    <w:name w:val="endnote text"/>
    <w:basedOn w:val="a"/>
    <w:semiHidden/>
    <w:rsid w:val="00F87627"/>
    <w:pPr>
      <w:ind w:left="227" w:hanging="227"/>
    </w:pPr>
    <w:rPr>
      <w:sz w:val="14"/>
      <w:szCs w:val="22"/>
    </w:rPr>
  </w:style>
  <w:style w:type="paragraph" w:customStyle="1" w:styleId="TableText">
    <w:name w:val="Table Text"/>
    <w:basedOn w:val="a"/>
    <w:rsid w:val="00F87627"/>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F87627"/>
    <w:pPr>
      <w:outlineLvl w:val="2"/>
    </w:pPr>
  </w:style>
  <w:style w:type="paragraph" w:customStyle="1" w:styleId="TableBlock">
    <w:name w:val="Table Block"/>
    <w:basedOn w:val="TableText"/>
    <w:rsid w:val="00F87627"/>
    <w:pPr>
      <w:jc w:val="both"/>
    </w:pPr>
  </w:style>
  <w:style w:type="paragraph" w:customStyle="1" w:styleId="TableHead">
    <w:name w:val="Table Head"/>
    <w:basedOn w:val="TableText"/>
    <w:rsid w:val="00F87627"/>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F87627"/>
    <w:pPr>
      <w:outlineLvl w:val="9"/>
    </w:pPr>
  </w:style>
  <w:style w:type="paragraph" w:customStyle="1" w:styleId="Hesber">
    <w:name w:val="Hesber"/>
    <w:basedOn w:val="a"/>
    <w:rsid w:val="00F87627"/>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F87627"/>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F87627"/>
    <w:rPr>
      <w:vertAlign w:val="superscript"/>
    </w:rPr>
  </w:style>
  <w:style w:type="paragraph" w:customStyle="1" w:styleId="HesberHeading">
    <w:name w:val="Hesber Heading"/>
    <w:basedOn w:val="Hesber"/>
    <w:rsid w:val="00F87627"/>
    <w:pPr>
      <w:tabs>
        <w:tab w:val="left" w:pos="624"/>
        <w:tab w:val="left" w:pos="1247"/>
      </w:tabs>
    </w:pPr>
    <w:rPr>
      <w:b/>
      <w:bCs/>
    </w:rPr>
  </w:style>
  <w:style w:type="paragraph" w:customStyle="1" w:styleId="HesberWriters">
    <w:name w:val="Hesber Writers"/>
    <w:basedOn w:val="Hesber"/>
    <w:rsid w:val="00F87627"/>
    <w:pPr>
      <w:spacing w:before="120" w:after="120"/>
      <w:ind w:left="1418"/>
      <w:jc w:val="right"/>
    </w:pPr>
    <w:rPr>
      <w:b/>
      <w:bCs/>
    </w:rPr>
  </w:style>
  <w:style w:type="paragraph" w:customStyle="1" w:styleId="Hesber1st">
    <w:name w:val="Hesber 1st"/>
    <w:basedOn w:val="Hesber"/>
    <w:rsid w:val="00F87627"/>
    <w:pPr>
      <w:tabs>
        <w:tab w:val="left" w:pos="680"/>
        <w:tab w:val="left" w:pos="1020"/>
      </w:tabs>
      <w:ind w:firstLine="0"/>
    </w:pPr>
  </w:style>
  <w:style w:type="character" w:styleId="a7">
    <w:name w:val="endnote reference"/>
    <w:basedOn w:val="a0"/>
    <w:semiHidden/>
    <w:rsid w:val="00F87627"/>
    <w:rPr>
      <w:vertAlign w:val="superscript"/>
    </w:rPr>
  </w:style>
  <w:style w:type="paragraph" w:customStyle="1" w:styleId="TableBlockOutdent">
    <w:name w:val="Table BlockOutdent"/>
    <w:basedOn w:val="TableBlock"/>
    <w:rsid w:val="00F87627"/>
    <w:pPr>
      <w:ind w:left="624" w:hanging="624"/>
    </w:pPr>
  </w:style>
  <w:style w:type="paragraph" w:styleId="a8">
    <w:name w:val="header"/>
    <w:basedOn w:val="a"/>
    <w:rsid w:val="00F87627"/>
    <w:pPr>
      <w:tabs>
        <w:tab w:val="center" w:pos="4153"/>
        <w:tab w:val="right" w:pos="8306"/>
      </w:tabs>
    </w:pPr>
  </w:style>
  <w:style w:type="paragraph" w:styleId="a9">
    <w:name w:val="footer"/>
    <w:basedOn w:val="a"/>
    <w:rsid w:val="00F87627"/>
    <w:pPr>
      <w:tabs>
        <w:tab w:val="center" w:pos="4153"/>
        <w:tab w:val="right" w:pos="8306"/>
      </w:tabs>
    </w:pPr>
  </w:style>
  <w:style w:type="paragraph" w:customStyle="1" w:styleId="HeadDivreiHesber">
    <w:name w:val="Head DivreiHesber"/>
    <w:basedOn w:val="a"/>
    <w:rsid w:val="00F87627"/>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F87627"/>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F87627"/>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BA1A0F"/>
    <w:rPr>
      <w:rFonts w:ascii="Arial" w:eastAsia="Arial Unicode MS" w:hAnsi="Arial" w:cs="David"/>
      <w:snapToGrid w:val="0"/>
      <w:sz w:val="14"/>
    </w:rPr>
  </w:style>
  <w:style w:type="table" w:styleId="ae">
    <w:name w:val="Table Grid"/>
    <w:basedOn w:val="a1"/>
    <w:rsid w:val="00F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9"/>
    <w:rsid w:val="00F87627"/>
    <w:rPr>
      <w:rFonts w:asciiTheme="majorHAnsi" w:eastAsiaTheme="majorEastAsia" w:hAnsiTheme="majorHAnsi" w:cs="David"/>
      <w:bCs/>
      <w:sz w:val="32"/>
      <w:szCs w:val="36"/>
    </w:rPr>
  </w:style>
  <w:style w:type="character" w:customStyle="1" w:styleId="20">
    <w:name w:val="כותרת 2 תו"/>
    <w:basedOn w:val="a0"/>
    <w:link w:val="2"/>
    <w:rsid w:val="00F87627"/>
    <w:rPr>
      <w:rFonts w:asciiTheme="majorHAnsi" w:eastAsiaTheme="majorEastAsia" w:hAnsiTheme="majorHAnsi" w:cs="David"/>
      <w:bCs/>
      <w:sz w:val="26"/>
      <w:szCs w:val="36"/>
      <w:u w:val="single"/>
    </w:rPr>
  </w:style>
  <w:style w:type="character" w:customStyle="1" w:styleId="30">
    <w:name w:val="כותרת 3 תו"/>
    <w:basedOn w:val="a0"/>
    <w:link w:val="3"/>
    <w:rsid w:val="00F87627"/>
    <w:rPr>
      <w:rFonts w:asciiTheme="majorHAnsi" w:eastAsiaTheme="majorEastAsia" w:hAnsiTheme="majorHAnsi" w:cs="David"/>
      <w:sz w:val="24"/>
      <w:szCs w:val="28"/>
      <w:u w:val="double"/>
    </w:rPr>
  </w:style>
  <w:style w:type="character" w:customStyle="1" w:styleId="40">
    <w:name w:val="כותרת 4 תו"/>
    <w:basedOn w:val="a0"/>
    <w:link w:val="4"/>
    <w:uiPriority w:val="9"/>
    <w:rsid w:val="00F87627"/>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F87627"/>
    <w:rPr>
      <w:rFonts w:ascii="David" w:eastAsiaTheme="minorHAnsi" w:hAnsi="David" w:cs="David"/>
      <w:color w:val="000000" w:themeColor="text1"/>
      <w:sz w:val="24"/>
      <w:szCs w:val="24"/>
    </w:rPr>
  </w:style>
  <w:style w:type="paragraph" w:styleId="af">
    <w:name w:val="TOC Heading"/>
    <w:basedOn w:val="1"/>
    <w:next w:val="a"/>
    <w:uiPriority w:val="39"/>
    <w:unhideWhenUsed/>
    <w:qFormat/>
    <w:rsid w:val="00F87627"/>
    <w:pPr>
      <w:widowControl/>
      <w:spacing w:before="120" w:after="120"/>
      <w:outlineLvl w:val="9"/>
    </w:pPr>
    <w:rPr>
      <w:rtl/>
      <w:cs/>
    </w:rPr>
  </w:style>
  <w:style w:type="paragraph" w:styleId="TOC1">
    <w:name w:val="toc 1"/>
    <w:basedOn w:val="a"/>
    <w:next w:val="a"/>
    <w:autoRedefine/>
    <w:uiPriority w:val="39"/>
    <w:unhideWhenUsed/>
    <w:rsid w:val="00F87627"/>
    <w:pPr>
      <w:tabs>
        <w:tab w:val="right" w:leader="dot" w:pos="9629"/>
      </w:tabs>
      <w:spacing w:after="100"/>
    </w:pPr>
    <w:rPr>
      <w:bCs/>
      <w:szCs w:val="22"/>
    </w:rPr>
  </w:style>
  <w:style w:type="paragraph" w:styleId="TOC2">
    <w:name w:val="toc 2"/>
    <w:basedOn w:val="a"/>
    <w:next w:val="a"/>
    <w:uiPriority w:val="39"/>
    <w:unhideWhenUsed/>
    <w:rsid w:val="00F87627"/>
    <w:pPr>
      <w:tabs>
        <w:tab w:val="right" w:leader="dot" w:pos="9628"/>
      </w:tabs>
      <w:spacing w:after="100"/>
    </w:pPr>
    <w:rPr>
      <w:szCs w:val="22"/>
    </w:rPr>
  </w:style>
  <w:style w:type="character" w:styleId="Hyperlink">
    <w:name w:val="Hyperlink"/>
    <w:basedOn w:val="a0"/>
    <w:uiPriority w:val="99"/>
    <w:unhideWhenUsed/>
    <w:rsid w:val="00F87627"/>
    <w:rPr>
      <w:color w:val="0000FF" w:themeColor="hyperlink"/>
      <w:u w:val="single"/>
    </w:rPr>
  </w:style>
  <w:style w:type="paragraph" w:styleId="TOC3">
    <w:name w:val="toc 3"/>
    <w:basedOn w:val="a"/>
    <w:next w:val="a"/>
    <w:uiPriority w:val="39"/>
    <w:unhideWhenUsed/>
    <w:rsid w:val="00F87627"/>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F87627"/>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F87627"/>
    <w:pPr>
      <w:tabs>
        <w:tab w:val="right" w:leader="dot" w:pos="9628"/>
      </w:tabs>
      <w:spacing w:after="100"/>
      <w:ind w:left="567"/>
    </w:pPr>
    <w:rPr>
      <w:szCs w:val="22"/>
    </w:rPr>
  </w:style>
  <w:style w:type="paragraph" w:styleId="TOC6">
    <w:name w:val="toc 6"/>
    <w:basedOn w:val="a"/>
    <w:next w:val="a"/>
    <w:autoRedefine/>
    <w:semiHidden/>
    <w:unhideWhenUsed/>
    <w:rsid w:val="00F87627"/>
    <w:pPr>
      <w:spacing w:after="100"/>
      <w:ind w:left="850"/>
    </w:pPr>
  </w:style>
  <w:style w:type="paragraph" w:styleId="TOC7">
    <w:name w:val="toc 7"/>
    <w:basedOn w:val="a"/>
    <w:next w:val="a"/>
    <w:autoRedefine/>
    <w:semiHidden/>
    <w:unhideWhenUsed/>
    <w:rsid w:val="00F87627"/>
    <w:pPr>
      <w:spacing w:after="100"/>
      <w:ind w:left="1020"/>
    </w:pPr>
  </w:style>
  <w:style w:type="paragraph" w:styleId="TOC8">
    <w:name w:val="toc 8"/>
    <w:basedOn w:val="a"/>
    <w:next w:val="a"/>
    <w:autoRedefine/>
    <w:semiHidden/>
    <w:unhideWhenUsed/>
    <w:rsid w:val="00F87627"/>
    <w:pPr>
      <w:spacing w:after="100"/>
      <w:ind w:left="1190"/>
    </w:pPr>
  </w:style>
  <w:style w:type="paragraph" w:styleId="TOC9">
    <w:name w:val="toc 9"/>
    <w:basedOn w:val="a"/>
    <w:next w:val="a"/>
    <w:autoRedefine/>
    <w:semiHidden/>
    <w:unhideWhenUsed/>
    <w:rsid w:val="00F87627"/>
    <w:pPr>
      <w:spacing w:after="100"/>
      <w:ind w:left="1360"/>
    </w:pPr>
  </w:style>
  <w:style w:type="paragraph" w:customStyle="1" w:styleId="TableHead2">
    <w:name w:val="Table Head2"/>
    <w:basedOn w:val="TableHead"/>
    <w:qFormat/>
    <w:rsid w:val="00F87627"/>
    <w:pPr>
      <w:outlineLvl w:val="9"/>
    </w:pPr>
  </w:style>
  <w:style w:type="paragraph" w:customStyle="1" w:styleId="TableSideHeading2">
    <w:name w:val="Table SideHeading2"/>
    <w:basedOn w:val="TableSideHeading"/>
    <w:autoRedefine/>
    <w:qFormat/>
    <w:rsid w:val="00F87627"/>
    <w:pPr>
      <w:keepLines w:val="0"/>
      <w:outlineLvl w:val="9"/>
    </w:pPr>
  </w:style>
  <w:style w:type="paragraph" w:customStyle="1" w:styleId="0">
    <w:name w:val="סגנון שורה ראשונה:  0  ס''מ"/>
    <w:basedOn w:val="2"/>
    <w:rsid w:val="00F87627"/>
    <w:rPr>
      <w:rFonts w:eastAsia="Times New Roman"/>
    </w:rPr>
  </w:style>
  <w:style w:type="paragraph" w:styleId="af0">
    <w:name w:val="List Paragraph"/>
    <w:basedOn w:val="a"/>
    <w:uiPriority w:val="34"/>
    <w:qFormat/>
    <w:rsid w:val="00F87627"/>
    <w:pPr>
      <w:widowControl/>
      <w:spacing w:line="259" w:lineRule="auto"/>
    </w:pPr>
    <w:rPr>
      <w:rFonts w:asciiTheme="minorHAnsi" w:hAnsiTheme="minorHAnsi"/>
      <w:sz w:val="22"/>
    </w:rPr>
  </w:style>
  <w:style w:type="table" w:styleId="11">
    <w:name w:val="Plain Table 1"/>
    <w:basedOn w:val="a1"/>
    <w:uiPriority w:val="41"/>
    <w:rsid w:val="00F8762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F8762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F87627"/>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F87627"/>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www.w3.org/XML/1998/namespace"/>
    <ds:schemaRef ds:uri="http://purl.org/dc/dcmitype/"/>
  </ds:schemaRefs>
</ds:datastoreItem>
</file>

<file path=customXml/itemProps3.xml><?xml version="1.0" encoding="utf-8"?>
<ds:datastoreItem xmlns:ds="http://schemas.openxmlformats.org/officeDocument/2006/customXml" ds:itemID="{82D48D85-CC5E-41B4-A398-41584FC1F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8DA91-7F9E-4B78-9B9E-B9E43E9F7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1147</Words>
  <Characters>6539</Characters>
  <Application>Microsoft Office Word</Application>
  <DocSecurity>0</DocSecurity>
  <Lines>54</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90</cp:revision>
  <cp:lastPrinted>2013-07-04T08:25:00Z</cp:lastPrinted>
  <dcterms:created xsi:type="dcterms:W3CDTF">2015-04-20T09:58:00Z</dcterms:created>
  <dcterms:modified xsi:type="dcterms:W3CDTF">2022-12-07T13:07:00Z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2195837</vt:r8>
  </property>
</Properties>
</file>