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b/>
          <w:bCs/>
          <w:sz w:val="20"/>
          <w:szCs w:val="20"/>
        </w:rPr>
      </w:pPr>
      <w:r w:rsidRPr="00E635A2">
        <w:rPr>
          <w:rFonts w:hint="cs"/>
          <w:sz w:val="20"/>
          <w:szCs w:val="20"/>
          <w:rtl/>
        </w:rPr>
        <w:t xml:space="preserve">מספר פנימי: </w:t>
      </w:r>
      <w:bookmarkStart w:name="LGS_Internal_ID" w:id="0"/>
      <w:r>
        <w:rPr>
          <w:rFonts w:hint="cs"/>
          <w:sz w:val="20"/>
          <w:szCs w:val="20"/>
          <w:rtl/>
        </w:rPr>
        <w:t>2196154</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וחמש</w:t>
      </w:r>
      <w:bookmarkEnd w:id="1"/>
    </w:p>
    <w:p w:rsidRPr="00F67051" w:rsidR="00E13C27" w:rsidP="00E13C27" w:rsidRDefault="00E13C27" w14:paraId="7F6961A3" w14:textId="77777777">
      <w:pPr>
        <w:rPr>
          <w:b/>
          <w:bCs/>
          <w:sz w:val="26"/>
          <w:szCs w:val="26"/>
          <w:rtl/>
        </w:rPr>
      </w:pPr>
    </w:p>
    <w:p w:rsidRPr="00CF1AA2" w:rsidR="00E13C27" w:rsidP="00155B10" w:rsidRDefault="008F6665" w14:paraId="7F6961AA" w14:textId="6CDC46D1">
      <w:pPr>
        <w:pStyle w:val="David"/>
        <w:spacing w:before="102"/>
        <w:ind w:left="3544"/>
        <w:rPr>
          <w:b/>
          <w:bCs/>
          <w:sz w:val="16"/>
          <w:szCs w:val="16"/>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שמחה רוטמן</w:t>
      </w:r>
      <w:bookmarkStart w:name="LGS_Join_List" w:id="4"/>
      <w:bookmarkEnd w:id="3"/>
      <w:r w:rsidR="007D585A">
        <w:rPr>
          <w:rtl/>
        </w:rPr>
        <w:t xml:space="preserve"> </w:t>
      </w:r>
      <w:bookmarkEnd w:id="4"/>
      <w:r w:rsidRPr="00CF1AA2" w:rsidR="002200A1">
        <w:rPr>
          <w:rFonts w:hint="cs"/>
          <w:rtl/>
        </w:rPr>
        <w:tab/>
      </w:r>
      <w:bookmarkStart w:name="LGS_PM_NamesJoin" w:id="5"/>
      <w:r w:rsidR="007D585A">
        <w:rPr>
          <w:rFonts w:hint="cs"/>
          <w:rtl/>
        </w:rPr>
        <w:t xml:space="preserve"> </w:t>
      </w:r>
      <w:bookmarkEnd w:id="5"/>
    </w:p>
    <w:p w:rsidRPr="00904591" w:rsidR="00904591" w:rsidP="0036422C" w:rsidRDefault="00266D86" w14:paraId="34DB4103" w14:textId="77777777">
      <w:pPr>
        <w:pStyle w:val="David"/>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904591" w:rsidRDefault="00904591" w14:paraId="7F6961AB" w14:textId="2A4E2175">
      <w:pPr>
        <w:pStyle w:val="David"/>
        <w:spacing w:line="240" w:lineRule="auto"/>
        <w:ind w:left="3544"/>
        <w:rPr>
          <w:rtl/>
        </w:rPr>
      </w:pPr>
      <w:r>
        <w:t xml:space="preserve">                                            </w:t>
      </w:r>
      <w:r w:rsidR="008F1308">
        <w:t xml:space="preserve"> </w:t>
      </w:r>
      <w:bookmarkStart w:name="Private_Number" w:id="6"/>
      <w:r w:rsidR="00155B10">
        <w:rPr>
          <w:rtl/>
        </w:rPr>
        <w:tab/>
      </w:r>
      <w:r>
        <w:rPr>
          <w:rFonts w:hint="cs"/>
          <w:rtl/>
        </w:rPr>
        <w:t>פ/87/25</w:t>
      </w:r>
      <w:bookmarkEnd w:id="6"/>
    </w:p>
    <w:p w:rsidR="00E13C27" w:rsidP="00E13C27" w:rsidRDefault="00E13C27" w14:paraId="7F6961AC" w14:textId="77777777">
      <w:pPr>
        <w:ind w:left="2880" w:firstLine="720"/>
        <w:rPr>
          <w:sz w:val="26"/>
          <w:szCs w:val="26"/>
          <w:rtl/>
        </w:rPr>
      </w:pPr>
    </w:p>
    <w:p w:rsidRPr="00F67051" w:rsidR="00E13C27" w:rsidP="0021633A" w:rsidRDefault="00A443CF" w14:paraId="7F6961AD" w14:textId="77777777">
      <w:pPr>
        <w:pStyle w:val="HeadHatzaotHok"/>
        <w:rPr>
          <w:rtl/>
        </w:rPr>
      </w:pPr>
      <w:bookmarkStart w:name="LGS_Subject" w:id="7"/>
      <w:r>
        <w:rPr>
          <w:rFonts w:hint="cs"/>
          <w:rtl/>
        </w:rPr>
        <w:t xml:space="preserve">הצעת חוק-יסוד: ההתגברות (תיקוני חקיקה) </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Pr="00423BAE" w:rsidR="00A93CC1" w:rsidTr="00155B10" w14:paraId="6F2AD1E8" w14:textId="77777777">
        <w:trPr>
          <w:cantSplit/>
        </w:trPr>
        <w:tc>
          <w:tcPr>
            <w:tcW w:w="1871" w:type="dxa"/>
          </w:tcPr>
          <w:p w:rsidRPr="00423BAE" w:rsidR="00A93CC1" w:rsidP="00B31D53" w:rsidRDefault="00A93CC1" w14:paraId="6877F741" w14:textId="77777777">
            <w:pPr>
              <w:pStyle w:val="TableSideHeading"/>
              <w:keepLines w:val="0"/>
            </w:pPr>
            <w:r>
              <w:rPr>
                <w:rFonts w:hint="cs"/>
                <w:rtl/>
              </w:rPr>
              <w:t>תיקון חוק-יסוד: השפיטה</w:t>
            </w:r>
          </w:p>
        </w:tc>
        <w:tc>
          <w:tcPr>
            <w:tcW w:w="624" w:type="dxa"/>
          </w:tcPr>
          <w:p w:rsidRPr="00423BAE" w:rsidR="00A93CC1" w:rsidP="00B31D53" w:rsidRDefault="00A93CC1" w14:paraId="5D55761E" w14:textId="77777777">
            <w:pPr>
              <w:pStyle w:val="TableText"/>
              <w:keepLines w:val="0"/>
            </w:pPr>
            <w:r>
              <w:rPr>
                <w:rFonts w:hint="cs"/>
                <w:rtl/>
              </w:rPr>
              <w:t>1.</w:t>
            </w:r>
          </w:p>
        </w:tc>
        <w:tc>
          <w:tcPr>
            <w:tcW w:w="7143" w:type="dxa"/>
            <w:gridSpan w:val="5"/>
          </w:tcPr>
          <w:p w:rsidRPr="00427272" w:rsidR="00A93CC1" w:rsidP="00155B10" w:rsidRDefault="00A93CC1" w14:paraId="32A14041" w14:textId="77777777">
            <w:pPr>
              <w:pStyle w:val="TableBlock"/>
            </w:pPr>
            <w:r w:rsidRPr="00427272">
              <w:rPr>
                <w:rFonts w:hint="cs"/>
                <w:rtl/>
              </w:rPr>
              <w:t>בחוק-יסוד: השפיטה</w:t>
            </w:r>
            <w:r w:rsidRPr="00155B10">
              <w:rPr>
                <w:rFonts w:ascii="David" w:hAnsi="David"/>
                <w:sz w:val="26"/>
                <w:vertAlign w:val="superscript"/>
                <w:rtl/>
              </w:rPr>
              <w:footnoteReference w:id="2"/>
            </w:r>
            <w:r w:rsidRPr="00427272">
              <w:rPr>
                <w:rFonts w:hint="cs"/>
                <w:rtl/>
              </w:rPr>
              <w:t>, בסעיף 15, אחרי סעיף קטן (ה) יבוא:</w:t>
            </w:r>
          </w:p>
        </w:tc>
      </w:tr>
      <w:tr w:rsidR="00A93CC1" w:rsidTr="00155B10" w14:paraId="3CFF9F19" w14:textId="77777777">
        <w:trPr>
          <w:cantSplit/>
        </w:trPr>
        <w:tc>
          <w:tcPr>
            <w:tcW w:w="1871" w:type="dxa"/>
          </w:tcPr>
          <w:p w:rsidR="00A93CC1" w:rsidP="00B31D53" w:rsidRDefault="00A93CC1" w14:paraId="58C39862" w14:textId="77777777">
            <w:pPr>
              <w:pStyle w:val="TableSideHeading"/>
              <w:keepLines w:val="0"/>
            </w:pPr>
            <w:r>
              <w:rPr>
                <w:rtl/>
              </w:rPr>
              <w:t xml:space="preserve"> </w:t>
            </w:r>
          </w:p>
        </w:tc>
        <w:tc>
          <w:tcPr>
            <w:tcW w:w="624" w:type="dxa"/>
          </w:tcPr>
          <w:p w:rsidR="00A93CC1" w:rsidP="00B31D53" w:rsidRDefault="00A93CC1" w14:paraId="62B9BF0B" w14:textId="77777777">
            <w:pPr>
              <w:pStyle w:val="TableText"/>
              <w:keepLines w:val="0"/>
            </w:pPr>
          </w:p>
        </w:tc>
        <w:tc>
          <w:tcPr>
            <w:tcW w:w="7143" w:type="dxa"/>
            <w:gridSpan w:val="5"/>
          </w:tcPr>
          <w:p w:rsidRPr="00F5657E" w:rsidR="00A93CC1" w:rsidP="00155B10" w:rsidRDefault="00A93CC1" w14:paraId="0AE2E1DD" w14:textId="77777777">
            <w:pPr>
              <w:pStyle w:val="TableBlock"/>
              <w:rPr>
                <w:rtl/>
              </w:rPr>
            </w:pPr>
            <w:r>
              <w:rPr>
                <w:rFonts w:hint="cs"/>
                <w:rtl/>
              </w:rPr>
              <w:t>"(ו)</w:t>
            </w:r>
            <w:r>
              <w:rPr>
                <w:rtl/>
              </w:rPr>
              <w:tab/>
            </w:r>
            <w:r>
              <w:rPr>
                <w:rFonts w:hint="cs"/>
                <w:rtl/>
              </w:rPr>
              <w:t xml:space="preserve">על אף האמור בסעיף 15(ג) או בכל חוק-יסוד או חוק אחר, הסמכות הייחודית </w:t>
            </w:r>
            <w:r>
              <w:rPr>
                <w:rFonts w:ascii="David" w:hAnsi="David"/>
                <w:sz w:val="26"/>
                <w:shd w:val="clear" w:color="auto" w:fill="FFFFFF"/>
                <w:rtl/>
              </w:rPr>
              <w:t>ליתן פסק דין או החלטה אחרת המשנה חוק, מבטלת חוק או מגבילה את תוקפו, נתונה לבית המשפט העליון</w:t>
            </w:r>
            <w:r>
              <w:rPr>
                <w:rFonts w:ascii="David" w:hAnsi="David"/>
                <w:sz w:val="26"/>
                <w:shd w:val="clear" w:color="auto" w:fill="FFFFFF"/>
              </w:rPr>
              <w:t>.</w:t>
            </w:r>
          </w:p>
        </w:tc>
      </w:tr>
      <w:tr w:rsidR="00A93CC1" w:rsidTr="00155B10" w14:paraId="663FB756" w14:textId="77777777">
        <w:trPr>
          <w:cantSplit/>
        </w:trPr>
        <w:tc>
          <w:tcPr>
            <w:tcW w:w="1871" w:type="dxa"/>
          </w:tcPr>
          <w:p w:rsidR="00A93CC1" w:rsidP="00B31D53" w:rsidRDefault="00A93CC1" w14:paraId="35874452" w14:textId="77777777">
            <w:pPr>
              <w:pStyle w:val="TableSideHeading"/>
              <w:keepLines w:val="0"/>
              <w:rPr>
                <w:rtl/>
              </w:rPr>
            </w:pPr>
          </w:p>
        </w:tc>
        <w:tc>
          <w:tcPr>
            <w:tcW w:w="624" w:type="dxa"/>
          </w:tcPr>
          <w:p w:rsidR="00A93CC1" w:rsidP="00B31D53" w:rsidRDefault="00A93CC1" w14:paraId="2154C725" w14:textId="77777777">
            <w:pPr>
              <w:pStyle w:val="TableText"/>
              <w:keepLines w:val="0"/>
            </w:pPr>
          </w:p>
        </w:tc>
        <w:tc>
          <w:tcPr>
            <w:tcW w:w="7143" w:type="dxa"/>
            <w:gridSpan w:val="5"/>
          </w:tcPr>
          <w:p w:rsidR="00A93CC1" w:rsidP="00155B10" w:rsidRDefault="00A93CC1" w14:paraId="4C68A99D" w14:textId="77777777">
            <w:pPr>
              <w:pStyle w:val="TableBlock"/>
            </w:pPr>
            <w:r>
              <w:rPr>
                <w:rFonts w:hint="cs"/>
                <w:rtl/>
              </w:rPr>
              <w:t>(ז)</w:t>
            </w:r>
            <w:r>
              <w:rPr>
                <w:rtl/>
              </w:rPr>
              <w:tab/>
            </w:r>
            <w:r>
              <w:rPr>
                <w:rFonts w:hint="cs"/>
                <w:rtl/>
              </w:rPr>
              <w:t xml:space="preserve">בית המשפט העליון </w:t>
            </w:r>
            <w:r>
              <w:rPr>
                <w:rFonts w:ascii="David" w:hAnsi="David"/>
                <w:sz w:val="26"/>
                <w:shd w:val="clear" w:color="auto" w:fill="FFFFFF"/>
                <w:rtl/>
              </w:rPr>
              <w:t>לא יוכל ליתן</w:t>
            </w:r>
            <w:r>
              <w:rPr>
                <w:rFonts w:hint="cs" w:ascii="David" w:hAnsi="David"/>
                <w:sz w:val="26"/>
                <w:shd w:val="clear" w:color="auto" w:fill="FFFFFF"/>
                <w:rtl/>
              </w:rPr>
              <w:t xml:space="preserve"> פסק דין או</w:t>
            </w:r>
            <w:r>
              <w:rPr>
                <w:rFonts w:ascii="David" w:hAnsi="David"/>
                <w:sz w:val="26"/>
                <w:shd w:val="clear" w:color="auto" w:fill="FFFFFF"/>
                <w:rtl/>
              </w:rPr>
              <w:t xml:space="preserve"> החלטה כאמור בסעיף </w:t>
            </w:r>
            <w:r>
              <w:rPr>
                <w:rFonts w:hint="cs" w:ascii="David" w:hAnsi="David"/>
                <w:sz w:val="26"/>
                <w:shd w:val="clear" w:color="auto" w:fill="FFFFFF"/>
                <w:rtl/>
              </w:rPr>
              <w:t xml:space="preserve">קטן </w:t>
            </w:r>
            <w:r>
              <w:rPr>
                <w:rFonts w:ascii="David" w:hAnsi="David"/>
                <w:sz w:val="26"/>
                <w:shd w:val="clear" w:color="auto" w:fill="FFFFFF"/>
                <w:rtl/>
              </w:rPr>
              <w:t>(ו)</w:t>
            </w:r>
            <w:r>
              <w:rPr>
                <w:rFonts w:cs="Arial"/>
                <w:szCs w:val="20"/>
                <w:shd w:val="clear" w:color="auto" w:fill="FFFFFF"/>
              </w:rPr>
              <w:t> </w:t>
            </w:r>
            <w:r>
              <w:rPr>
                <w:rFonts w:ascii="David" w:hAnsi="David"/>
                <w:sz w:val="26"/>
                <w:shd w:val="clear" w:color="auto" w:fill="FFFFFF"/>
                <w:rtl/>
              </w:rPr>
              <w:t xml:space="preserve">אלא </w:t>
            </w:r>
            <w:r>
              <w:rPr>
                <w:rFonts w:hint="cs" w:ascii="David" w:hAnsi="David"/>
                <w:sz w:val="26"/>
                <w:shd w:val="clear" w:color="auto" w:fill="FFFFFF"/>
                <w:rtl/>
              </w:rPr>
              <w:t xml:space="preserve">בהרכב </w:t>
            </w:r>
            <w:r>
              <w:rPr>
                <w:rFonts w:ascii="David" w:hAnsi="David"/>
                <w:sz w:val="26"/>
                <w:shd w:val="clear" w:color="auto" w:fill="FFFFFF"/>
                <w:rtl/>
              </w:rPr>
              <w:t xml:space="preserve">הכולל את כל שופטי בית המשפט העליון, ובלבד שכל שופטי </w:t>
            </w:r>
            <w:r>
              <w:rPr>
                <w:rFonts w:hint="cs" w:ascii="David" w:hAnsi="David"/>
                <w:sz w:val="26"/>
                <w:shd w:val="clear" w:color="auto" w:fill="FFFFFF"/>
                <w:rtl/>
              </w:rPr>
              <w:t>ההרכב ה</w:t>
            </w:r>
            <w:r>
              <w:rPr>
                <w:rFonts w:ascii="David" w:hAnsi="David"/>
                <w:sz w:val="26"/>
                <w:shd w:val="clear" w:color="auto" w:fill="FFFFFF"/>
                <w:rtl/>
              </w:rPr>
              <w:t xml:space="preserve">סכימו </w:t>
            </w:r>
            <w:r>
              <w:rPr>
                <w:rFonts w:hint="cs" w:ascii="David" w:hAnsi="David"/>
                <w:sz w:val="26"/>
                <w:shd w:val="clear" w:color="auto" w:fill="FFFFFF"/>
                <w:rtl/>
              </w:rPr>
              <w:t>כי החוק סותר בבירור הוראה ששוריינה בחוק-יסוד</w:t>
            </w:r>
            <w:r>
              <w:rPr>
                <w:rFonts w:ascii="David" w:hAnsi="David"/>
                <w:sz w:val="26"/>
                <w:shd w:val="clear" w:color="auto" w:fill="FFFFFF"/>
              </w:rPr>
              <w:t>.</w:t>
            </w:r>
          </w:p>
        </w:tc>
      </w:tr>
      <w:tr w:rsidR="00A93CC1" w:rsidTr="00155B10" w14:paraId="691EC4FC" w14:textId="77777777">
        <w:trPr>
          <w:cantSplit/>
        </w:trPr>
        <w:tc>
          <w:tcPr>
            <w:tcW w:w="1871" w:type="dxa"/>
          </w:tcPr>
          <w:p w:rsidR="00A93CC1" w:rsidP="00B31D53" w:rsidRDefault="00A93CC1" w14:paraId="35694D23" w14:textId="77777777">
            <w:pPr>
              <w:pStyle w:val="TableSideHeading"/>
              <w:keepLines w:val="0"/>
              <w:rPr>
                <w:rtl/>
              </w:rPr>
            </w:pPr>
          </w:p>
        </w:tc>
        <w:tc>
          <w:tcPr>
            <w:tcW w:w="624" w:type="dxa"/>
          </w:tcPr>
          <w:p w:rsidR="00A93CC1" w:rsidP="00B31D53" w:rsidRDefault="00A93CC1" w14:paraId="23C10AF6" w14:textId="77777777">
            <w:pPr>
              <w:pStyle w:val="TableText"/>
              <w:keepLines w:val="0"/>
            </w:pPr>
          </w:p>
        </w:tc>
        <w:tc>
          <w:tcPr>
            <w:tcW w:w="7143" w:type="dxa"/>
            <w:gridSpan w:val="5"/>
          </w:tcPr>
          <w:p w:rsidR="00A93CC1" w:rsidP="00155B10" w:rsidRDefault="00A93CC1" w14:paraId="3FCE51A4" w14:textId="213A6232">
            <w:pPr>
              <w:pStyle w:val="TableBlock"/>
              <w:rPr>
                <w:rtl/>
              </w:rPr>
            </w:pPr>
            <w:r>
              <w:rPr>
                <w:rFonts w:hint="cs"/>
                <w:rtl/>
              </w:rPr>
              <w:t>(ח)</w:t>
            </w:r>
            <w:r>
              <w:rPr>
                <w:rFonts w:ascii="David" w:hAnsi="David"/>
                <w:sz w:val="26"/>
                <w:shd w:val="clear" w:color="auto" w:fill="FFFFFF"/>
                <w:rtl/>
              </w:rPr>
              <w:tab/>
              <w:t>על אף האמור בכל חוק</w:t>
            </w:r>
            <w:r>
              <w:rPr>
                <w:rFonts w:hint="cs" w:ascii="David" w:hAnsi="David"/>
                <w:sz w:val="26"/>
                <w:shd w:val="clear" w:color="auto" w:fill="FFFFFF"/>
                <w:rtl/>
              </w:rPr>
              <w:t>-</w:t>
            </w:r>
            <w:r>
              <w:rPr>
                <w:rFonts w:ascii="David" w:hAnsi="David"/>
                <w:sz w:val="26"/>
                <w:shd w:val="clear" w:color="auto" w:fill="FFFFFF"/>
                <w:rtl/>
              </w:rPr>
              <w:t>יסוד או חוק אחר, לא תינתן החלטה המשנה חוק, מבטלת חוק או מגבילה את תוקפו</w:t>
            </w:r>
            <w:r>
              <w:rPr>
                <w:rFonts w:hint="cs" w:ascii="David" w:hAnsi="David"/>
                <w:sz w:val="26"/>
                <w:shd w:val="clear" w:color="auto" w:fill="FFFFFF"/>
                <w:rtl/>
              </w:rPr>
              <w:t xml:space="preserve"> של </w:t>
            </w:r>
            <w:r>
              <w:rPr>
                <w:rFonts w:ascii="David" w:hAnsi="David"/>
                <w:sz w:val="26"/>
                <w:shd w:val="clear" w:color="auto" w:fill="FFFFFF"/>
                <w:rtl/>
              </w:rPr>
              <w:t xml:space="preserve">חוק שהתקבל בהתאם להוראות </w:t>
            </w:r>
            <w:r>
              <w:rPr>
                <w:rFonts w:hint="cs" w:ascii="David" w:hAnsi="David"/>
                <w:sz w:val="26"/>
                <w:shd w:val="clear" w:color="auto" w:fill="FFFFFF"/>
                <w:rtl/>
              </w:rPr>
              <w:t>סעיף</w:t>
            </w:r>
            <w:r>
              <w:rPr>
                <w:rFonts w:ascii="David" w:hAnsi="David"/>
                <w:sz w:val="26"/>
                <w:shd w:val="clear" w:color="auto" w:fill="FFFFFF"/>
                <w:rtl/>
              </w:rPr>
              <w:t xml:space="preserve"> 2</w:t>
            </w:r>
            <w:r>
              <w:rPr>
                <w:rFonts w:hint="cs" w:ascii="David" w:hAnsi="David"/>
                <w:sz w:val="26"/>
                <w:shd w:val="clear" w:color="auto" w:fill="FFFFFF"/>
                <w:rtl/>
              </w:rPr>
              <w:t>5</w:t>
            </w:r>
            <w:r>
              <w:rPr>
                <w:rFonts w:ascii="David" w:hAnsi="David"/>
                <w:sz w:val="26"/>
                <w:shd w:val="clear" w:color="auto" w:fill="FFFFFF"/>
                <w:rtl/>
              </w:rPr>
              <w:t>א לחוק</w:t>
            </w:r>
            <w:r>
              <w:rPr>
                <w:rFonts w:hint="cs" w:ascii="David" w:hAnsi="David"/>
                <w:sz w:val="26"/>
                <w:shd w:val="clear" w:color="auto" w:fill="FFFFFF"/>
                <w:rtl/>
              </w:rPr>
              <w:t>-</w:t>
            </w:r>
            <w:r>
              <w:rPr>
                <w:rFonts w:ascii="David" w:hAnsi="David"/>
                <w:sz w:val="26"/>
                <w:shd w:val="clear" w:color="auto" w:fill="FFFFFF"/>
                <w:rtl/>
              </w:rPr>
              <w:t>יסוד: הכנסת</w:t>
            </w:r>
            <w:r w:rsidRPr="00155B10" w:rsidR="00A959C1">
              <w:rPr>
                <w:rStyle w:val="a6"/>
                <w:rFonts w:ascii="David" w:hAnsi="David"/>
                <w:sz w:val="26"/>
                <w:shd w:val="clear" w:color="auto" w:fill="FFFFFF"/>
                <w:rtl/>
              </w:rPr>
              <w:footnoteReference w:id="3"/>
            </w:r>
            <w:r>
              <w:rPr>
                <w:rFonts w:ascii="David" w:hAnsi="David"/>
                <w:sz w:val="26"/>
                <w:shd w:val="clear" w:color="auto" w:fill="FFFFFF"/>
              </w:rPr>
              <w:t>.</w:t>
            </w:r>
            <w:r>
              <w:rPr>
                <w:rFonts w:hint="cs"/>
                <w:rtl/>
              </w:rPr>
              <w:t>"</w:t>
            </w:r>
          </w:p>
        </w:tc>
      </w:tr>
      <w:tr w:rsidR="00A93CC1" w:rsidTr="00155B10" w14:paraId="7F951185" w14:textId="77777777">
        <w:trPr>
          <w:cantSplit/>
        </w:trPr>
        <w:tc>
          <w:tcPr>
            <w:tcW w:w="1871" w:type="dxa"/>
          </w:tcPr>
          <w:p w:rsidR="00A93CC1" w:rsidP="00B31D53" w:rsidRDefault="00A93CC1" w14:paraId="5C77F187" w14:textId="77777777">
            <w:pPr>
              <w:pStyle w:val="TableSideHeading"/>
              <w:keepLines w:val="0"/>
              <w:rPr>
                <w:rtl/>
              </w:rPr>
            </w:pPr>
            <w:r>
              <w:rPr>
                <w:rFonts w:hint="cs"/>
                <w:rtl/>
              </w:rPr>
              <w:t>תיקון חוק-יסוד: הכנסת</w:t>
            </w:r>
          </w:p>
        </w:tc>
        <w:tc>
          <w:tcPr>
            <w:tcW w:w="624" w:type="dxa"/>
          </w:tcPr>
          <w:p w:rsidR="00A93CC1" w:rsidP="00B31D53" w:rsidRDefault="00A93CC1" w14:paraId="0079BD29" w14:textId="77777777">
            <w:pPr>
              <w:pStyle w:val="TableText"/>
              <w:keepLines w:val="0"/>
            </w:pPr>
            <w:r>
              <w:rPr>
                <w:rFonts w:hint="cs"/>
                <w:rtl/>
              </w:rPr>
              <w:t>2.</w:t>
            </w:r>
          </w:p>
        </w:tc>
        <w:tc>
          <w:tcPr>
            <w:tcW w:w="7143" w:type="dxa"/>
            <w:gridSpan w:val="5"/>
          </w:tcPr>
          <w:p w:rsidR="00A93CC1" w:rsidP="00155B10" w:rsidRDefault="00A93CC1" w14:paraId="595A7DB3" w14:textId="52D2BDFC">
            <w:pPr>
              <w:pStyle w:val="TableBlock"/>
              <w:rPr>
                <w:rtl/>
              </w:rPr>
            </w:pPr>
            <w:r>
              <w:rPr>
                <w:rFonts w:hint="cs"/>
                <w:rtl/>
              </w:rPr>
              <w:t xml:space="preserve">בחוק-יסוד: הכנסת, אחרי סעיף 25 יבוא: </w:t>
            </w:r>
          </w:p>
        </w:tc>
      </w:tr>
      <w:tr w:rsidR="00A93CC1" w:rsidTr="00155B10" w14:paraId="7087D605" w14:textId="77777777">
        <w:trPr>
          <w:cantSplit/>
        </w:trPr>
        <w:tc>
          <w:tcPr>
            <w:tcW w:w="1871" w:type="dxa"/>
          </w:tcPr>
          <w:p w:rsidR="00A93CC1" w:rsidP="00B31D53" w:rsidRDefault="00A93CC1" w14:paraId="14CE0A4A" w14:textId="77777777">
            <w:pPr>
              <w:pStyle w:val="TableSideHeading"/>
              <w:keepLines w:val="0"/>
            </w:pPr>
          </w:p>
        </w:tc>
        <w:tc>
          <w:tcPr>
            <w:tcW w:w="624" w:type="dxa"/>
          </w:tcPr>
          <w:p w:rsidR="00A93CC1" w:rsidP="00B31D53" w:rsidRDefault="00A93CC1" w14:paraId="3F6D6CCF" w14:textId="77777777">
            <w:pPr>
              <w:pStyle w:val="TableText"/>
              <w:keepLines w:val="0"/>
            </w:pPr>
          </w:p>
        </w:tc>
        <w:tc>
          <w:tcPr>
            <w:tcW w:w="1872" w:type="dxa"/>
            <w:gridSpan w:val="3"/>
          </w:tcPr>
          <w:p w:rsidR="00A93CC1" w:rsidP="00B31D53" w:rsidRDefault="00A93CC1" w14:paraId="63F41651" w14:textId="77777777">
            <w:pPr>
              <w:pStyle w:val="TableInnerSideHeading"/>
            </w:pPr>
            <w:r>
              <w:rPr>
                <w:rFonts w:hint="cs"/>
                <w:rtl/>
              </w:rPr>
              <w:t>"הוראת חוק גוברת</w:t>
            </w:r>
          </w:p>
        </w:tc>
        <w:tc>
          <w:tcPr>
            <w:tcW w:w="624" w:type="dxa"/>
          </w:tcPr>
          <w:p w:rsidR="00A93CC1" w:rsidP="00B31D53" w:rsidRDefault="00A93CC1" w14:paraId="26090874" w14:textId="77777777">
            <w:pPr>
              <w:pStyle w:val="TableText"/>
            </w:pPr>
            <w:r>
              <w:rPr>
                <w:rFonts w:hint="cs"/>
                <w:rtl/>
              </w:rPr>
              <w:t>25א.</w:t>
            </w:r>
          </w:p>
        </w:tc>
        <w:tc>
          <w:tcPr>
            <w:tcW w:w="4647" w:type="dxa"/>
          </w:tcPr>
          <w:p w:rsidR="00A93CC1" w:rsidP="00155B10" w:rsidRDefault="00A93CC1" w14:paraId="43961A9D" w14:textId="77777777">
            <w:pPr>
              <w:pStyle w:val="TableBlock"/>
            </w:pPr>
            <w:r>
              <w:rPr>
                <w:rFonts w:hint="cs"/>
                <w:rtl/>
              </w:rPr>
              <w:t>(א)</w:t>
            </w:r>
            <w:r>
              <w:rPr>
                <w:rFonts w:ascii="David" w:hAnsi="David"/>
                <w:sz w:val="26"/>
                <w:rtl/>
              </w:rPr>
              <w:tab/>
            </w:r>
            <w:r>
              <w:rPr>
                <w:rFonts w:hint="cs" w:ascii="David" w:hAnsi="David"/>
                <w:sz w:val="26"/>
                <w:rtl/>
              </w:rPr>
              <w:t>הכנסת תהיה רשאית לקבוע כי חוק יהיה תקף אם קבועה בו הוראה שנאמר בה במפורש כי החוק "תקף על אף האמור בחוקי היסוד"</w:t>
            </w:r>
            <w:r>
              <w:rPr>
                <w:rFonts w:hint="cs"/>
                <w:rtl/>
              </w:rPr>
              <w:t xml:space="preserve"> (בסעיף זה </w:t>
            </w:r>
            <w:r>
              <w:rPr>
                <w:rtl/>
              </w:rPr>
              <w:t>–</w:t>
            </w:r>
            <w:r>
              <w:rPr>
                <w:rFonts w:hint="cs"/>
                <w:rtl/>
              </w:rPr>
              <w:t xml:space="preserve"> הוראת חוק גוברת).</w:t>
            </w:r>
          </w:p>
        </w:tc>
      </w:tr>
      <w:tr w:rsidR="00A93CC1" w:rsidTr="00155B10" w14:paraId="3FCD6703" w14:textId="77777777">
        <w:trPr>
          <w:cantSplit/>
        </w:trPr>
        <w:tc>
          <w:tcPr>
            <w:tcW w:w="1871" w:type="dxa"/>
          </w:tcPr>
          <w:p w:rsidR="00A93CC1" w:rsidP="00B31D53" w:rsidRDefault="00A93CC1" w14:paraId="262A679E" w14:textId="77777777">
            <w:pPr>
              <w:pStyle w:val="TableSideHeading"/>
            </w:pPr>
          </w:p>
        </w:tc>
        <w:tc>
          <w:tcPr>
            <w:tcW w:w="624" w:type="dxa"/>
          </w:tcPr>
          <w:p w:rsidR="00A93CC1" w:rsidP="00B31D53" w:rsidRDefault="00A93CC1" w14:paraId="43D5DE28" w14:textId="77777777">
            <w:pPr>
              <w:pStyle w:val="TableText"/>
            </w:pPr>
          </w:p>
        </w:tc>
        <w:tc>
          <w:tcPr>
            <w:tcW w:w="624" w:type="dxa"/>
          </w:tcPr>
          <w:p w:rsidR="00A93CC1" w:rsidP="00B31D53" w:rsidRDefault="00A93CC1" w14:paraId="7EB8827D" w14:textId="77777777">
            <w:pPr>
              <w:pStyle w:val="TableText"/>
            </w:pPr>
          </w:p>
        </w:tc>
        <w:tc>
          <w:tcPr>
            <w:tcW w:w="624" w:type="dxa"/>
          </w:tcPr>
          <w:p w:rsidR="00A93CC1" w:rsidP="00B31D53" w:rsidRDefault="00A93CC1" w14:paraId="0772ED13" w14:textId="77777777">
            <w:pPr>
              <w:pStyle w:val="TableText"/>
            </w:pPr>
          </w:p>
        </w:tc>
        <w:tc>
          <w:tcPr>
            <w:tcW w:w="624" w:type="dxa"/>
          </w:tcPr>
          <w:p w:rsidR="00A93CC1" w:rsidP="00B31D53" w:rsidRDefault="00A93CC1" w14:paraId="5EFDA886" w14:textId="77777777">
            <w:pPr>
              <w:pStyle w:val="TableText"/>
            </w:pPr>
          </w:p>
        </w:tc>
        <w:tc>
          <w:tcPr>
            <w:tcW w:w="624" w:type="dxa"/>
          </w:tcPr>
          <w:p w:rsidR="00A93CC1" w:rsidP="00B31D53" w:rsidRDefault="00A93CC1" w14:paraId="4437067A" w14:textId="77777777">
            <w:pPr>
              <w:pStyle w:val="TableText"/>
            </w:pPr>
          </w:p>
        </w:tc>
        <w:tc>
          <w:tcPr>
            <w:tcW w:w="4647" w:type="dxa"/>
          </w:tcPr>
          <w:p w:rsidR="00A93CC1" w:rsidP="00155B10" w:rsidRDefault="00A93CC1" w14:paraId="0E006272" w14:textId="77777777">
            <w:pPr>
              <w:pStyle w:val="TableBlock"/>
            </w:pPr>
            <w:r>
              <w:rPr>
                <w:rFonts w:hint="cs"/>
                <w:rtl/>
              </w:rPr>
              <w:t>(ב)</w:t>
            </w:r>
            <w:r>
              <w:rPr>
                <w:rtl/>
              </w:rPr>
              <w:tab/>
            </w:r>
            <w:r>
              <w:rPr>
                <w:rFonts w:hint="cs"/>
                <w:rtl/>
              </w:rPr>
              <w:t xml:space="preserve">הוראת חוק גוברת תהיה </w:t>
            </w:r>
            <w:r>
              <w:rPr>
                <w:rFonts w:ascii="David" w:hAnsi="David"/>
                <w:sz w:val="26"/>
                <w:rtl/>
              </w:rPr>
              <w:t>בתוקף אם נתקבל</w:t>
            </w:r>
            <w:r>
              <w:rPr>
                <w:rFonts w:hint="cs" w:ascii="David" w:hAnsi="David"/>
                <w:sz w:val="26"/>
                <w:rtl/>
              </w:rPr>
              <w:t>ה</w:t>
            </w:r>
            <w:r>
              <w:rPr>
                <w:rFonts w:ascii="David" w:hAnsi="David"/>
                <w:sz w:val="26"/>
                <w:rtl/>
              </w:rPr>
              <w:t xml:space="preserve"> ברוב של חברי הכנסת</w:t>
            </w:r>
            <w:r>
              <w:rPr>
                <w:rFonts w:hint="cs" w:ascii="David" w:hAnsi="David"/>
                <w:sz w:val="26"/>
                <w:rtl/>
              </w:rPr>
              <w:t>.</w:t>
            </w:r>
          </w:p>
        </w:tc>
      </w:tr>
      <w:tr w:rsidR="00A93CC1" w:rsidTr="00155B10" w14:paraId="0B162608" w14:textId="77777777">
        <w:trPr>
          <w:cantSplit/>
        </w:trPr>
        <w:tc>
          <w:tcPr>
            <w:tcW w:w="1871" w:type="dxa"/>
          </w:tcPr>
          <w:p w:rsidR="00A93CC1" w:rsidP="00B31D53" w:rsidRDefault="00A93CC1" w14:paraId="45F5AF63" w14:textId="77777777">
            <w:pPr>
              <w:pStyle w:val="TableSideHeading"/>
            </w:pPr>
          </w:p>
        </w:tc>
        <w:tc>
          <w:tcPr>
            <w:tcW w:w="624" w:type="dxa"/>
          </w:tcPr>
          <w:p w:rsidR="00A93CC1" w:rsidP="00B31D53" w:rsidRDefault="00A93CC1" w14:paraId="7D5645DF" w14:textId="77777777">
            <w:pPr>
              <w:pStyle w:val="TableText"/>
            </w:pPr>
          </w:p>
        </w:tc>
        <w:tc>
          <w:tcPr>
            <w:tcW w:w="624" w:type="dxa"/>
          </w:tcPr>
          <w:p w:rsidR="00A93CC1" w:rsidP="00B31D53" w:rsidRDefault="00A93CC1" w14:paraId="71C38534" w14:textId="77777777">
            <w:pPr>
              <w:pStyle w:val="TableText"/>
            </w:pPr>
          </w:p>
        </w:tc>
        <w:tc>
          <w:tcPr>
            <w:tcW w:w="624" w:type="dxa"/>
          </w:tcPr>
          <w:p w:rsidR="00A93CC1" w:rsidP="00B31D53" w:rsidRDefault="00A93CC1" w14:paraId="74DA0C35" w14:textId="77777777">
            <w:pPr>
              <w:pStyle w:val="TableText"/>
            </w:pPr>
          </w:p>
        </w:tc>
        <w:tc>
          <w:tcPr>
            <w:tcW w:w="624" w:type="dxa"/>
          </w:tcPr>
          <w:p w:rsidR="00A93CC1" w:rsidP="00B31D53" w:rsidRDefault="00A93CC1" w14:paraId="6C1331E1" w14:textId="77777777">
            <w:pPr>
              <w:pStyle w:val="TableText"/>
            </w:pPr>
          </w:p>
        </w:tc>
        <w:tc>
          <w:tcPr>
            <w:tcW w:w="624" w:type="dxa"/>
          </w:tcPr>
          <w:p w:rsidR="00A93CC1" w:rsidP="00B31D53" w:rsidRDefault="00A93CC1" w14:paraId="376D82D8" w14:textId="77777777">
            <w:pPr>
              <w:pStyle w:val="TableText"/>
            </w:pPr>
          </w:p>
        </w:tc>
        <w:tc>
          <w:tcPr>
            <w:tcW w:w="4647" w:type="dxa"/>
          </w:tcPr>
          <w:p w:rsidR="00A93CC1" w:rsidP="00155B10" w:rsidRDefault="00A93CC1" w14:paraId="7F4166EA" w14:textId="77777777">
            <w:pPr>
              <w:pStyle w:val="TableBlock"/>
            </w:pPr>
            <w:r>
              <w:rPr>
                <w:rFonts w:hint="cs"/>
                <w:rtl/>
              </w:rPr>
              <w:t>(</w:t>
            </w:r>
            <w:r>
              <w:rPr>
                <w:rFonts w:hint="cs" w:ascii="David" w:hAnsi="David"/>
                <w:sz w:val="26"/>
                <w:shd w:val="clear" w:color="auto" w:fill="FFFFFF"/>
                <w:rtl/>
              </w:rPr>
              <w:t>ג)</w:t>
            </w:r>
            <w:r>
              <w:rPr>
                <w:rFonts w:ascii="David" w:hAnsi="David"/>
                <w:sz w:val="26"/>
                <w:shd w:val="clear" w:color="auto" w:fill="FFFFFF"/>
                <w:rtl/>
              </w:rPr>
              <w:tab/>
              <w:t>תוקפ</w:t>
            </w:r>
            <w:r>
              <w:rPr>
                <w:rFonts w:hint="cs" w:ascii="David" w:hAnsi="David"/>
                <w:sz w:val="26"/>
                <w:shd w:val="clear" w:color="auto" w:fill="FFFFFF"/>
                <w:rtl/>
              </w:rPr>
              <w:t>ה</w:t>
            </w:r>
            <w:r>
              <w:rPr>
                <w:rFonts w:ascii="David" w:hAnsi="David"/>
                <w:sz w:val="26"/>
                <w:shd w:val="clear" w:color="auto" w:fill="FFFFFF"/>
                <w:rtl/>
              </w:rPr>
              <w:t xml:space="preserve"> של </w:t>
            </w:r>
            <w:r>
              <w:rPr>
                <w:rFonts w:hint="cs" w:ascii="David" w:hAnsi="David"/>
                <w:sz w:val="26"/>
                <w:shd w:val="clear" w:color="auto" w:fill="FFFFFF"/>
                <w:rtl/>
              </w:rPr>
              <w:t xml:space="preserve">הוראת חוק גוברת </w:t>
            </w:r>
            <w:r>
              <w:rPr>
                <w:rFonts w:ascii="David" w:hAnsi="David"/>
                <w:sz w:val="26"/>
                <w:shd w:val="clear" w:color="auto" w:fill="FFFFFF"/>
                <w:rtl/>
              </w:rPr>
              <w:t>יפקע בתום שנתיים מיום תחילת כהונתה של הכנסת שהחלה את כהונתה לאחר הכנסת שחוקקה את החוק</w:t>
            </w:r>
            <w:r>
              <w:rPr>
                <w:rFonts w:hint="cs" w:ascii="David" w:hAnsi="David"/>
                <w:sz w:val="26"/>
                <w:shd w:val="clear" w:color="auto" w:fill="FFFFFF"/>
                <w:rtl/>
              </w:rPr>
              <w:t xml:space="preserve"> הכולל את ההוראה הגוברת</w:t>
            </w:r>
            <w:r>
              <w:rPr>
                <w:rFonts w:ascii="David" w:hAnsi="David"/>
                <w:sz w:val="26"/>
                <w:shd w:val="clear" w:color="auto" w:fill="FFFFFF"/>
                <w:rtl/>
              </w:rPr>
              <w:t>, אלא אם כן תבחר אותה הכנסת, בהחלטה שתתקבל ברוב חבריה, להאריך את תוק</w:t>
            </w:r>
            <w:r>
              <w:rPr>
                <w:rFonts w:hint="cs" w:ascii="David" w:hAnsi="David"/>
                <w:sz w:val="26"/>
                <w:shd w:val="clear" w:color="auto" w:fill="FFFFFF"/>
                <w:rtl/>
              </w:rPr>
              <w:t>פה של ההוראה הגוברת.</w:t>
            </w:r>
          </w:p>
        </w:tc>
      </w:tr>
      <w:tr w:rsidR="00A93CC1" w:rsidTr="00155B10" w14:paraId="450184A6" w14:textId="77777777">
        <w:trPr>
          <w:cantSplit/>
        </w:trPr>
        <w:tc>
          <w:tcPr>
            <w:tcW w:w="1871" w:type="dxa"/>
          </w:tcPr>
          <w:p w:rsidR="00A93CC1" w:rsidP="00B31D53" w:rsidRDefault="00A93CC1" w14:paraId="6BBDC0AB" w14:textId="77777777">
            <w:pPr>
              <w:pStyle w:val="TableSideHeading"/>
            </w:pPr>
          </w:p>
        </w:tc>
        <w:tc>
          <w:tcPr>
            <w:tcW w:w="624" w:type="dxa"/>
          </w:tcPr>
          <w:p w:rsidR="00A93CC1" w:rsidP="00B31D53" w:rsidRDefault="00A93CC1" w14:paraId="69955010" w14:textId="77777777">
            <w:pPr>
              <w:pStyle w:val="TableText"/>
            </w:pPr>
          </w:p>
        </w:tc>
        <w:tc>
          <w:tcPr>
            <w:tcW w:w="624" w:type="dxa"/>
          </w:tcPr>
          <w:p w:rsidR="00A93CC1" w:rsidP="00B31D53" w:rsidRDefault="00A93CC1" w14:paraId="202D5E0A" w14:textId="77777777">
            <w:pPr>
              <w:pStyle w:val="TableText"/>
            </w:pPr>
          </w:p>
        </w:tc>
        <w:tc>
          <w:tcPr>
            <w:tcW w:w="624" w:type="dxa"/>
          </w:tcPr>
          <w:p w:rsidR="00A93CC1" w:rsidP="00B31D53" w:rsidRDefault="00A93CC1" w14:paraId="077D7283" w14:textId="77777777">
            <w:pPr>
              <w:pStyle w:val="TableText"/>
            </w:pPr>
          </w:p>
        </w:tc>
        <w:tc>
          <w:tcPr>
            <w:tcW w:w="624" w:type="dxa"/>
          </w:tcPr>
          <w:p w:rsidR="00A93CC1" w:rsidP="00B31D53" w:rsidRDefault="00A93CC1" w14:paraId="729ECD00" w14:textId="77777777">
            <w:pPr>
              <w:pStyle w:val="TableText"/>
            </w:pPr>
          </w:p>
        </w:tc>
        <w:tc>
          <w:tcPr>
            <w:tcW w:w="624" w:type="dxa"/>
          </w:tcPr>
          <w:p w:rsidR="00A93CC1" w:rsidP="00B31D53" w:rsidRDefault="00A93CC1" w14:paraId="512B68CB" w14:textId="77777777">
            <w:pPr>
              <w:pStyle w:val="TableText"/>
            </w:pPr>
          </w:p>
        </w:tc>
        <w:tc>
          <w:tcPr>
            <w:tcW w:w="4647" w:type="dxa"/>
          </w:tcPr>
          <w:p w:rsidR="00A93CC1" w:rsidP="00155B10" w:rsidRDefault="00A93CC1" w14:paraId="09600DE3" w14:textId="77777777">
            <w:pPr>
              <w:pStyle w:val="TableBlock"/>
              <w:rPr>
                <w:rtl/>
              </w:rPr>
            </w:pPr>
            <w:r w:rsidRPr="00593C7A">
              <w:rPr>
                <w:rFonts w:hint="cs"/>
                <w:rtl/>
              </w:rPr>
              <w:t>(ד)</w:t>
            </w:r>
            <w:r w:rsidRPr="00593C7A">
              <w:rPr>
                <w:rtl/>
              </w:rPr>
              <w:tab/>
            </w:r>
            <w:r w:rsidRPr="00593C7A">
              <w:rPr>
                <w:rFonts w:hint="cs"/>
                <w:rtl/>
              </w:rPr>
              <w:t xml:space="preserve">הוראת חוק גוברת </w:t>
            </w:r>
            <w:r w:rsidRPr="00593C7A">
              <w:rPr>
                <w:rtl/>
              </w:rPr>
              <w:t>שתוקפ</w:t>
            </w:r>
            <w:r w:rsidRPr="00593C7A">
              <w:rPr>
                <w:rFonts w:hint="cs"/>
                <w:rtl/>
              </w:rPr>
              <w:t>ה</w:t>
            </w:r>
            <w:r w:rsidRPr="00593C7A">
              <w:rPr>
                <w:rtl/>
              </w:rPr>
              <w:t xml:space="preserve"> הוארך בהתאם לסעיף קטן (ג) </w:t>
            </w:r>
            <w:r w:rsidRPr="00593C7A">
              <w:rPr>
                <w:rFonts w:hint="cs"/>
                <w:rtl/>
              </w:rPr>
              <w:t>ת</w:t>
            </w:r>
            <w:r w:rsidRPr="00593C7A">
              <w:rPr>
                <w:rtl/>
              </w:rPr>
              <w:t>עמוד בתוקפ</w:t>
            </w:r>
            <w:r w:rsidRPr="00593C7A">
              <w:rPr>
                <w:rFonts w:hint="cs"/>
                <w:rtl/>
              </w:rPr>
              <w:t>ה</w:t>
            </w:r>
            <w:r w:rsidRPr="00593C7A">
              <w:rPr>
                <w:rtl/>
              </w:rPr>
              <w:t xml:space="preserve"> ללא הגבלת זמן או עד ש</w:t>
            </w:r>
            <w:r w:rsidRPr="00593C7A">
              <w:rPr>
                <w:rFonts w:hint="cs"/>
                <w:rtl/>
              </w:rPr>
              <w:t>ת</w:t>
            </w:r>
            <w:r w:rsidRPr="00593C7A">
              <w:rPr>
                <w:rtl/>
              </w:rPr>
              <w:t>בוטל בחוק אחר.</w:t>
            </w:r>
          </w:p>
        </w:tc>
      </w:tr>
      <w:tr w:rsidR="00A93CC1" w:rsidTr="00155B10" w14:paraId="057738D3" w14:textId="77777777">
        <w:trPr>
          <w:cantSplit/>
        </w:trPr>
        <w:tc>
          <w:tcPr>
            <w:tcW w:w="1871" w:type="dxa"/>
          </w:tcPr>
          <w:p w:rsidR="00A93CC1" w:rsidP="00B31D53" w:rsidRDefault="00A93CC1" w14:paraId="664A9D35" w14:textId="77777777">
            <w:pPr>
              <w:pStyle w:val="TableSideHeading"/>
            </w:pPr>
          </w:p>
        </w:tc>
        <w:tc>
          <w:tcPr>
            <w:tcW w:w="624" w:type="dxa"/>
          </w:tcPr>
          <w:p w:rsidR="00A93CC1" w:rsidP="00B31D53" w:rsidRDefault="00A93CC1" w14:paraId="577DF057" w14:textId="77777777">
            <w:pPr>
              <w:pStyle w:val="TableText"/>
            </w:pPr>
          </w:p>
        </w:tc>
        <w:tc>
          <w:tcPr>
            <w:tcW w:w="624" w:type="dxa"/>
          </w:tcPr>
          <w:p w:rsidR="00A93CC1" w:rsidP="00B31D53" w:rsidRDefault="00A93CC1" w14:paraId="157A1DA3" w14:textId="77777777">
            <w:pPr>
              <w:pStyle w:val="TableText"/>
            </w:pPr>
          </w:p>
        </w:tc>
        <w:tc>
          <w:tcPr>
            <w:tcW w:w="624" w:type="dxa"/>
          </w:tcPr>
          <w:p w:rsidR="00A93CC1" w:rsidP="00B31D53" w:rsidRDefault="00A93CC1" w14:paraId="08CFBC80" w14:textId="77777777">
            <w:pPr>
              <w:pStyle w:val="TableText"/>
            </w:pPr>
          </w:p>
        </w:tc>
        <w:tc>
          <w:tcPr>
            <w:tcW w:w="624" w:type="dxa"/>
          </w:tcPr>
          <w:p w:rsidR="00A93CC1" w:rsidP="00B31D53" w:rsidRDefault="00A93CC1" w14:paraId="247F3C84" w14:textId="77777777">
            <w:pPr>
              <w:pStyle w:val="TableText"/>
            </w:pPr>
          </w:p>
        </w:tc>
        <w:tc>
          <w:tcPr>
            <w:tcW w:w="624" w:type="dxa"/>
          </w:tcPr>
          <w:p w:rsidR="00A93CC1" w:rsidP="00B31D53" w:rsidRDefault="00A93CC1" w14:paraId="40414867" w14:textId="77777777">
            <w:pPr>
              <w:pStyle w:val="TableText"/>
            </w:pPr>
          </w:p>
        </w:tc>
        <w:tc>
          <w:tcPr>
            <w:tcW w:w="4647" w:type="dxa"/>
          </w:tcPr>
          <w:p w:rsidR="00A93CC1" w:rsidP="00155B10" w:rsidRDefault="00A93CC1" w14:paraId="238376F4" w14:textId="77777777">
            <w:pPr>
              <w:pStyle w:val="TableBlock"/>
              <w:rPr>
                <w:rtl/>
              </w:rPr>
            </w:pPr>
            <w:r w:rsidRPr="00593C7A">
              <w:rPr>
                <w:rFonts w:hint="cs"/>
                <w:rtl/>
              </w:rPr>
              <w:t>(ה)</w:t>
            </w:r>
            <w:r w:rsidRPr="00593C7A">
              <w:rPr>
                <w:rtl/>
              </w:rPr>
              <w:tab/>
              <w:t xml:space="preserve">הוראות סעיף זה לא יחולו על חוקים </w:t>
            </w:r>
            <w:r w:rsidRPr="00593C7A">
              <w:rPr>
                <w:rFonts w:hint="cs"/>
                <w:rtl/>
              </w:rPr>
              <w:t>שלשם חקיקתם נדרש רוב ה</w:t>
            </w:r>
            <w:r w:rsidRPr="00593C7A">
              <w:rPr>
                <w:rtl/>
              </w:rPr>
              <w:t xml:space="preserve">גדול </w:t>
            </w:r>
            <w:r w:rsidRPr="00593C7A">
              <w:rPr>
                <w:rFonts w:hint="cs"/>
                <w:rtl/>
              </w:rPr>
              <w:t>מהרוב הקבוע בסעיף קטן (ב)</w:t>
            </w:r>
            <w:r w:rsidRPr="00593C7A">
              <w:rPr>
                <w:rtl/>
              </w:rPr>
              <w:t>.</w:t>
            </w:r>
            <w:r>
              <w:rPr>
                <w:rFonts w:hint="cs"/>
                <w:rtl/>
              </w:rPr>
              <w:t>"</w:t>
            </w:r>
          </w:p>
        </w:tc>
      </w:tr>
    </w:tbl>
    <w:p w:rsidR="002D1EE3" w:rsidP="002D1EE3" w:rsidRDefault="002D1EE3" w14:paraId="7F6961CA" w14:textId="77777777">
      <w:pPr>
        <w:pStyle w:val="HeadDivreiHesber"/>
        <w:rPr>
          <w:rtl/>
        </w:rPr>
      </w:pPr>
      <w:r w:rsidRPr="0027450A">
        <w:rPr>
          <w:rFonts w:hint="cs"/>
          <w:rtl/>
        </w:rPr>
        <w:t>דברי הסבר</w:t>
      </w:r>
    </w:p>
    <w:p w:rsidR="00A93CC1" w:rsidP="00A93CC1" w:rsidRDefault="00A93CC1" w14:paraId="6CD5E025" w14:textId="77777777">
      <w:pPr>
        <w:pStyle w:val="Hesber"/>
        <w:rPr>
          <w:rtl/>
        </w:rPr>
      </w:pPr>
      <w:r>
        <w:rPr>
          <w:rtl/>
        </w:rPr>
        <w:t>בשנים האחרונות חל כרסום במעמדם של הכנסת ושל בית המשפט העליון. חוקים שחוקקו על ידי הכנסת נפסלו פעם אחר פעם על ידי בתי המשפט, וזאת מבלי שהסמכות לפסילת חוקים מוסדרת בחוק-יסוד, מבלי שנקבעה פרוצדורה או הרכב לדיון בעניין פסילת חוקים ומבלי שעוגנה בחוק-יסוד עליונותו של המחוקק, כמייצג את ריבונות העם, לקבוע חוקים וחוקי-יסוד שאינם נתונים לביקורת שיפוטית ואשר שופטי בית המשפט מחויבים לפעול על פיהם כחלק מהצהרת האמונים שלהם למדינת ישראל ולחוקיה.</w:t>
      </w:r>
    </w:p>
    <w:p w:rsidR="00A93CC1" w:rsidP="00A93CC1" w:rsidRDefault="00A93CC1" w14:paraId="6404CC9F" w14:textId="77777777">
      <w:pPr>
        <w:pStyle w:val="Hesber"/>
        <w:rPr>
          <w:rtl/>
        </w:rPr>
      </w:pPr>
      <w:r>
        <w:rPr>
          <w:rtl/>
        </w:rPr>
        <w:t>מוצע לעגן בחקיקה, לראשונה, כי רק לבית המשפט העליון סמכות לדון בתוקפם של חוקים ובהתאמתם לחוקי היסוד השונים, ולהבהיר כי שימוש בסמכות זו אינו דבר של מה בכך, ועל כן החלטה בעניינים אלה חייבת להיות כאשר הדיון מתקיים בהרכב הכולל את כל שופטי בית המשפט העליון וההחלטה מתקבלת פה אחד. באופן זה ניתן יהיה לוודא ששימוש באמצעי הקיצוני של פסילת חקיקה ראשית של הכנסת, יתבצע רק במקרים בהם מצאו כל שופטי בית המשפט סתירה ברורה וחדה בין הוראה ששוריינה בחוק-יסוד לבין הוראותיו של החוק הרגיל.</w:t>
      </w:r>
    </w:p>
    <w:p w:rsidR="00A93CC1" w:rsidP="00A93CC1" w:rsidRDefault="00A93CC1" w14:paraId="272AE03B" w14:textId="77777777">
      <w:pPr>
        <w:pStyle w:val="Hesber"/>
        <w:rPr>
          <w:rtl/>
        </w:rPr>
      </w:pPr>
      <w:r>
        <w:rPr>
          <w:rtl/>
        </w:rPr>
        <w:t>מאחר ולישראל אין כיום חוקה שהתקבלה בהליך מיוחד ומסודר, אין הצדקה שחוקי יסוד שנחקקו ברוב רגיל, ואפילו ברוב חברי הכנסת, יגבילו את שיקול הדעת של המחוקקים, שכן כידוע "הפה שאסר הוא הפה שהתיר" (תלמוד בבלי, כתובות, דף כ"ב). לכן, מוצע לקבוע שחברי הכנסת רשאים לקבוע בכל חוק הוראת חוק גוברת לפיה החוק יחול על אף הוראות חוקי היסוד. חוק שנכללה בו הוראת חוק גוברת, שהתקבלה ברוב חברי הכנסת, יהיה חסין מפני ביקורת שיפוטית במשך כל תקופת כהונתה של הכנסת שחוקקה אותו וכן עד שיחלפו שנתיים מיום שתיבחר הכנסת שנבחרה לאחר חקיקתו. ככל שתבחר הכנסת החדשה להאריך את הוראת החוק הגוברת, תוכל לעשות זאת בהחלטה שגם היא תתקבל ברוב חבריה.</w:t>
      </w:r>
    </w:p>
    <w:p w:rsidR="00A93CC1" w:rsidP="00A93CC1" w:rsidRDefault="00A93CC1" w14:paraId="32E90390" w14:textId="77777777">
      <w:pPr>
        <w:pStyle w:val="Hesber"/>
        <w:rPr>
          <w:rtl/>
        </w:rPr>
      </w:pPr>
      <w:r>
        <w:rPr>
          <w:rtl/>
        </w:rPr>
        <w:lastRenderedPageBreak/>
        <w:t>במקרה בו שתי כנסות רצופות סברו שמדובר בחוק שיש להעמידו מעל הוראות חוקי היסוד האחרים ולחסנו מביקורת שיפוטית, תעמוד הוראת החסינות בתוקפה עד שהכנסת תבטלה בחוק, שכן ניתן להניח שמדובר בחוק הנהנה מתמיכה ציבורית רחבה ומתמשכת, ואשר הריבון, העם, מעוניין בקיומו.</w:t>
      </w:r>
    </w:p>
    <w:p w:rsidR="00A93CC1" w:rsidP="00A93CC1" w:rsidRDefault="00A93CC1" w14:paraId="303A73C5" w14:textId="77777777">
      <w:pPr>
        <w:pStyle w:val="Hesber"/>
        <w:rPr>
          <w:rtl/>
        </w:rPr>
      </w:pPr>
      <w:r>
        <w:rPr>
          <w:rtl/>
        </w:rPr>
        <w:t>אם תתקבל הצעת החוק, תימנע כניסתו של בית המשפט העליון אל תוך הוויכוח הפוליטי במדינת ישראל וכך יתחזק העיקרון הדמוקרטי לפיו כל רשויות השלטון במדינה כפופות לרצונו של הריבון, העם, ועקרון שלטון החוק בכל רשויות השלטון.</w:t>
      </w:r>
    </w:p>
    <w:p w:rsidR="00A93CC1" w:rsidP="00A93CC1" w:rsidRDefault="00A93CC1" w14:paraId="4D7818D8" w14:textId="77777777">
      <w:pPr>
        <w:pStyle w:val="Hesber"/>
        <w:rPr>
          <w:rtl/>
        </w:rPr>
      </w:pPr>
      <w:r>
        <w:rPr>
          <w:rtl/>
        </w:rPr>
        <w:t>קבלת הצעת חוק היסוד אף תוביל לחיזוק מעמדו הציבורי של בית המשפט העליון, הסובל בשנים האחרונות מירידה חדה באמון הציבורי בו בשל התערבותו בנושאי הליבה המצויים במחלוקת ציבורית בישראל והכרעותיו המנוגדות לחוקי הכנסת ולרצון העם.</w:t>
      </w:r>
    </w:p>
    <w:p w:rsidR="00A93CC1" w:rsidP="00A93CC1" w:rsidRDefault="00A93CC1" w14:paraId="135DECDD" w14:textId="77777777">
      <w:pPr>
        <w:pStyle w:val="Hesber"/>
        <w:rPr>
          <w:rtl/>
        </w:rPr>
      </w:pPr>
      <w:r>
        <w:rPr>
          <w:rtl/>
        </w:rPr>
        <w:t>הצעת חוק היסוד הוכנה בסיוע התנועה למשילות ודמוקרטיה.</w:t>
      </w:r>
    </w:p>
    <w:p w:rsidR="00A959C1" w:rsidP="00A959C1" w:rsidRDefault="007225FD" w14:paraId="635567F8" w14:textId="155985BB">
      <w:pPr>
        <w:pStyle w:val="Hesber"/>
        <w:rPr>
          <w:rtl/>
        </w:rPr>
      </w:pPr>
      <w:r>
        <w:rPr>
          <w:rFonts w:hint="cs"/>
          <w:rtl/>
        </w:rPr>
        <w:t xml:space="preserve">הצעות חוק זהות הונחו על שולחן הכנסת העשרים וארבע על ידי חבר הכנסת מכלוף מיקי זוהר (פ/50/24), על ידי חבר הכנסת שלמה קרעי וקבוצת חברי הכנסת (פ/254/24), על ידי חברת הכנסת מאי גולן (פ/297/24) </w:t>
      </w:r>
      <w:r>
        <w:rPr>
          <w:rFonts w:hint="cs"/>
          <w:rtl/>
        </w:rPr>
        <w:t>ו</w:t>
      </w:r>
      <w:r>
        <w:rPr>
          <w:rFonts w:hint="cs"/>
          <w:rtl/>
        </w:rPr>
        <w:t>על ידי חבר הכנסת שמחה רוטמן (פ/3186/24)</w:t>
      </w:r>
      <w:r>
        <w:rPr>
          <w:rFonts w:hint="cs"/>
          <w:rtl/>
        </w:rPr>
        <w:t>.</w:t>
      </w:r>
    </w:p>
    <w:p w:rsidR="007225FD" w:rsidP="007225FD" w:rsidRDefault="007225FD" w14:paraId="3E40A369" w14:textId="77777777">
      <w:pPr>
        <w:pStyle w:val="Hesber"/>
        <w:rPr>
          <w:rtl/>
        </w:rPr>
      </w:pPr>
      <w:r>
        <w:rPr>
          <w:rFonts w:hint="cs"/>
          <w:rtl/>
        </w:rPr>
        <w:t>הצעת החוק זהה לפ/3186/24 ולפיכך לא נבדקה מחדש על ידי הלשכה המשפטית של הכנסת.</w:t>
      </w:r>
    </w:p>
    <w:p w:rsidR="007225FD" w:rsidP="00A959C1" w:rsidRDefault="007225FD" w14:paraId="11A33BFA" w14:textId="77777777">
      <w:pPr>
        <w:pStyle w:val="Hesber"/>
        <w:rPr>
          <w:rtl/>
        </w:rPr>
      </w:pPr>
      <w:bookmarkStart w:name="_GoBack" w:id="8"/>
      <w:bookmarkEnd w:id="8"/>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י"ח בכסלו התשפ"ג</w:t>
          <w:t xml:space="preserve"> (12.12.2022) </w:t>
        </w:r>
      </w:p>
    </w:p>
    <w:sectPr w:rsidR="007225FD" w:rsidSect="00155B10">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7225FD">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155B10">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49CBA362" w14:textId="77777777" w:rsidR="00A93CC1" w:rsidRDefault="00A93CC1" w:rsidP="00A93CC1">
      <w:pPr>
        <w:pStyle w:val="a4"/>
      </w:pPr>
      <w:r>
        <w:rPr>
          <w:rStyle w:val="a6"/>
        </w:rPr>
        <w:footnoteRef/>
      </w:r>
      <w:r>
        <w:rPr>
          <w:rtl/>
        </w:rPr>
        <w:t xml:space="preserve"> </w:t>
      </w:r>
      <w:r>
        <w:rPr>
          <w:rFonts w:hint="cs"/>
          <w:rtl/>
        </w:rPr>
        <w:t>ס"ח התשמ"ד, עמ' 78.</w:t>
      </w:r>
    </w:p>
  </w:footnote>
  <w:footnote w:id="3">
    <w:p w14:paraId="57D5DE5F" w14:textId="7131022E" w:rsidR="00A959C1" w:rsidRDefault="00A959C1">
      <w:pPr>
        <w:pStyle w:val="a4"/>
      </w:pPr>
      <w:r>
        <w:rPr>
          <w:rStyle w:val="a6"/>
        </w:rPr>
        <w:footnoteRef/>
      </w:r>
      <w:r>
        <w:rPr>
          <w:rtl/>
        </w:rPr>
        <w:t xml:space="preserve"> </w:t>
      </w:r>
      <w:r>
        <w:rPr>
          <w:rFonts w:hint="cs"/>
          <w:rtl/>
        </w:rPr>
        <w:t>ס"ח התשי"ח, עמ' 244.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55B10"/>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34F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A5F01"/>
    <w:rsid w:val="005B064E"/>
    <w:rsid w:val="005D51AE"/>
    <w:rsid w:val="0062674B"/>
    <w:rsid w:val="006363B2"/>
    <w:rsid w:val="00644940"/>
    <w:rsid w:val="006818A9"/>
    <w:rsid w:val="00682CDE"/>
    <w:rsid w:val="006A2D81"/>
    <w:rsid w:val="006C1D0D"/>
    <w:rsid w:val="0070601E"/>
    <w:rsid w:val="00712C72"/>
    <w:rsid w:val="007225FD"/>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3CC1"/>
    <w:rsid w:val="00A942C1"/>
    <w:rsid w:val="00A959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3264A"/>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8F65D5C2-1FA7-4F32-B553-0B2ACA1A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10"/>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155B1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55B1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55B1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55B10"/>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55B1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155B1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55B10"/>
    <w:rPr>
      <w:sz w:val="36"/>
      <w:szCs w:val="52"/>
    </w:rPr>
  </w:style>
  <w:style w:type="paragraph" w:customStyle="1" w:styleId="Cover3-Haknesset">
    <w:name w:val="Cover 3-Haknesset"/>
    <w:basedOn w:val="Cover1-Reshumot"/>
    <w:rsid w:val="00155B10"/>
    <w:rPr>
      <w:b/>
      <w:bCs/>
      <w:spacing w:val="60"/>
    </w:rPr>
  </w:style>
  <w:style w:type="paragraph" w:customStyle="1" w:styleId="Cover4-Date">
    <w:name w:val="Cover 4-Date"/>
    <w:basedOn w:val="a"/>
    <w:rsid w:val="00155B1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155B1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55B10"/>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155B10"/>
    <w:pPr>
      <w:spacing w:before="120" w:after="120"/>
    </w:pPr>
    <w:rPr>
      <w:color w:val="FF0000"/>
      <w:w w:val="80"/>
    </w:rPr>
  </w:style>
  <w:style w:type="paragraph" w:styleId="a3">
    <w:name w:val="endnote text"/>
    <w:basedOn w:val="a"/>
    <w:semiHidden/>
    <w:rsid w:val="00155B10"/>
    <w:pPr>
      <w:ind w:left="227" w:hanging="227"/>
    </w:pPr>
    <w:rPr>
      <w:sz w:val="14"/>
      <w:szCs w:val="22"/>
    </w:rPr>
  </w:style>
  <w:style w:type="paragraph" w:customStyle="1" w:styleId="TableText">
    <w:name w:val="Table Text"/>
    <w:basedOn w:val="a"/>
    <w:rsid w:val="00155B1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55B10"/>
    <w:pPr>
      <w:outlineLvl w:val="2"/>
    </w:pPr>
  </w:style>
  <w:style w:type="paragraph" w:customStyle="1" w:styleId="TableBlock">
    <w:name w:val="Table Block"/>
    <w:basedOn w:val="TableText"/>
    <w:rsid w:val="00155B10"/>
    <w:pPr>
      <w:jc w:val="both"/>
    </w:pPr>
  </w:style>
  <w:style w:type="paragraph" w:customStyle="1" w:styleId="TableHead">
    <w:name w:val="Table Head"/>
    <w:basedOn w:val="TableText"/>
    <w:rsid w:val="00155B10"/>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155B10"/>
    <w:pPr>
      <w:outlineLvl w:val="9"/>
    </w:pPr>
  </w:style>
  <w:style w:type="paragraph" w:customStyle="1" w:styleId="Hesber">
    <w:name w:val="Hesber"/>
    <w:basedOn w:val="a"/>
    <w:rsid w:val="00155B10"/>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155B10"/>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155B10"/>
    <w:rPr>
      <w:vertAlign w:val="superscript"/>
    </w:rPr>
  </w:style>
  <w:style w:type="paragraph" w:customStyle="1" w:styleId="HesberHeading">
    <w:name w:val="Hesber Heading"/>
    <w:basedOn w:val="Hesber"/>
    <w:rsid w:val="00155B10"/>
    <w:pPr>
      <w:tabs>
        <w:tab w:val="left" w:pos="624"/>
        <w:tab w:val="left" w:pos="1247"/>
      </w:tabs>
    </w:pPr>
    <w:rPr>
      <w:b/>
      <w:bCs/>
    </w:rPr>
  </w:style>
  <w:style w:type="paragraph" w:customStyle="1" w:styleId="HesberWriters">
    <w:name w:val="Hesber Writers"/>
    <w:basedOn w:val="Hesber"/>
    <w:rsid w:val="00155B10"/>
    <w:pPr>
      <w:spacing w:before="120" w:after="120"/>
      <w:ind w:left="1418"/>
      <w:jc w:val="right"/>
    </w:pPr>
    <w:rPr>
      <w:b/>
      <w:bCs/>
    </w:rPr>
  </w:style>
  <w:style w:type="paragraph" w:customStyle="1" w:styleId="Hesber1st">
    <w:name w:val="Hesber 1st"/>
    <w:basedOn w:val="Hesber"/>
    <w:rsid w:val="00155B10"/>
    <w:pPr>
      <w:tabs>
        <w:tab w:val="left" w:pos="680"/>
        <w:tab w:val="left" w:pos="1020"/>
      </w:tabs>
      <w:ind w:firstLine="0"/>
    </w:pPr>
  </w:style>
  <w:style w:type="character" w:styleId="a7">
    <w:name w:val="endnote reference"/>
    <w:basedOn w:val="a0"/>
    <w:semiHidden/>
    <w:rsid w:val="00155B10"/>
    <w:rPr>
      <w:vertAlign w:val="superscript"/>
    </w:rPr>
  </w:style>
  <w:style w:type="paragraph" w:customStyle="1" w:styleId="TableBlockOutdent">
    <w:name w:val="Table BlockOutdent"/>
    <w:basedOn w:val="TableBlock"/>
    <w:rsid w:val="00155B10"/>
    <w:pPr>
      <w:ind w:left="624" w:hanging="624"/>
    </w:pPr>
  </w:style>
  <w:style w:type="paragraph" w:styleId="a8">
    <w:name w:val="header"/>
    <w:basedOn w:val="a"/>
    <w:rsid w:val="00155B10"/>
    <w:pPr>
      <w:tabs>
        <w:tab w:val="center" w:pos="4153"/>
        <w:tab w:val="right" w:pos="8306"/>
      </w:tabs>
    </w:pPr>
  </w:style>
  <w:style w:type="paragraph" w:styleId="a9">
    <w:name w:val="footer"/>
    <w:basedOn w:val="a"/>
    <w:rsid w:val="00155B10"/>
    <w:pPr>
      <w:tabs>
        <w:tab w:val="center" w:pos="4153"/>
        <w:tab w:val="right" w:pos="8306"/>
      </w:tabs>
    </w:pPr>
  </w:style>
  <w:style w:type="paragraph" w:customStyle="1" w:styleId="HeadDivreiHesber">
    <w:name w:val="Head DivreiHesber"/>
    <w:basedOn w:val="a"/>
    <w:rsid w:val="00155B10"/>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155B10"/>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155B10"/>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93CC1"/>
    <w:rPr>
      <w:rFonts w:ascii="Arial" w:eastAsia="Arial Unicode MS" w:hAnsi="Arial" w:cs="David"/>
      <w:snapToGrid w:val="0"/>
      <w:sz w:val="14"/>
    </w:rPr>
  </w:style>
  <w:style w:type="character" w:customStyle="1" w:styleId="10">
    <w:name w:val="כותרת 1 תו"/>
    <w:basedOn w:val="a0"/>
    <w:link w:val="1"/>
    <w:uiPriority w:val="9"/>
    <w:rsid w:val="00155B10"/>
    <w:rPr>
      <w:rFonts w:asciiTheme="majorHAnsi" w:eastAsiaTheme="majorEastAsia" w:hAnsiTheme="majorHAnsi" w:cs="David"/>
      <w:bCs/>
      <w:sz w:val="32"/>
      <w:szCs w:val="36"/>
    </w:rPr>
  </w:style>
  <w:style w:type="character" w:customStyle="1" w:styleId="20">
    <w:name w:val="כותרת 2 תו"/>
    <w:basedOn w:val="a0"/>
    <w:link w:val="2"/>
    <w:rsid w:val="00155B10"/>
    <w:rPr>
      <w:rFonts w:asciiTheme="majorHAnsi" w:eastAsiaTheme="majorEastAsia" w:hAnsiTheme="majorHAnsi" w:cs="David"/>
      <w:bCs/>
      <w:sz w:val="26"/>
      <w:szCs w:val="36"/>
      <w:u w:val="single"/>
    </w:rPr>
  </w:style>
  <w:style w:type="character" w:customStyle="1" w:styleId="30">
    <w:name w:val="כותרת 3 תו"/>
    <w:basedOn w:val="a0"/>
    <w:link w:val="3"/>
    <w:rsid w:val="00155B10"/>
    <w:rPr>
      <w:rFonts w:asciiTheme="majorHAnsi" w:eastAsiaTheme="majorEastAsia" w:hAnsiTheme="majorHAnsi" w:cs="David"/>
      <w:sz w:val="24"/>
      <w:szCs w:val="28"/>
      <w:u w:val="double"/>
    </w:rPr>
  </w:style>
  <w:style w:type="character" w:customStyle="1" w:styleId="40">
    <w:name w:val="כותרת 4 תו"/>
    <w:basedOn w:val="a0"/>
    <w:link w:val="4"/>
    <w:uiPriority w:val="9"/>
    <w:rsid w:val="00155B10"/>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155B10"/>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155B10"/>
    <w:pPr>
      <w:widowControl/>
      <w:spacing w:before="120" w:after="120"/>
      <w:outlineLvl w:val="9"/>
    </w:pPr>
    <w:rPr>
      <w:rtl/>
      <w:cs/>
    </w:rPr>
  </w:style>
  <w:style w:type="paragraph" w:styleId="TOC1">
    <w:name w:val="toc 1"/>
    <w:basedOn w:val="a"/>
    <w:next w:val="a"/>
    <w:autoRedefine/>
    <w:uiPriority w:val="39"/>
    <w:unhideWhenUsed/>
    <w:rsid w:val="00155B10"/>
    <w:pPr>
      <w:tabs>
        <w:tab w:val="right" w:leader="dot" w:pos="9629"/>
      </w:tabs>
      <w:spacing w:after="100"/>
    </w:pPr>
    <w:rPr>
      <w:bCs/>
      <w:szCs w:val="22"/>
    </w:rPr>
  </w:style>
  <w:style w:type="paragraph" w:styleId="TOC2">
    <w:name w:val="toc 2"/>
    <w:basedOn w:val="a"/>
    <w:next w:val="a"/>
    <w:uiPriority w:val="39"/>
    <w:unhideWhenUsed/>
    <w:rsid w:val="00155B10"/>
    <w:pPr>
      <w:tabs>
        <w:tab w:val="right" w:leader="dot" w:pos="9628"/>
      </w:tabs>
      <w:spacing w:after="100"/>
    </w:pPr>
    <w:rPr>
      <w:szCs w:val="22"/>
    </w:rPr>
  </w:style>
  <w:style w:type="character" w:styleId="Hyperlink">
    <w:name w:val="Hyperlink"/>
    <w:basedOn w:val="a0"/>
    <w:uiPriority w:val="99"/>
    <w:unhideWhenUsed/>
    <w:rsid w:val="00155B10"/>
    <w:rPr>
      <w:color w:val="0000FF" w:themeColor="hyperlink"/>
      <w:u w:val="single"/>
    </w:rPr>
  </w:style>
  <w:style w:type="paragraph" w:styleId="TOC3">
    <w:name w:val="toc 3"/>
    <w:basedOn w:val="a"/>
    <w:next w:val="a"/>
    <w:uiPriority w:val="39"/>
    <w:unhideWhenUsed/>
    <w:rsid w:val="00155B10"/>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155B1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55B10"/>
    <w:pPr>
      <w:tabs>
        <w:tab w:val="right" w:leader="dot" w:pos="9628"/>
      </w:tabs>
      <w:spacing w:after="100"/>
      <w:ind w:left="567"/>
    </w:pPr>
    <w:rPr>
      <w:szCs w:val="22"/>
    </w:rPr>
  </w:style>
  <w:style w:type="paragraph" w:styleId="TOC6">
    <w:name w:val="toc 6"/>
    <w:basedOn w:val="a"/>
    <w:next w:val="a"/>
    <w:autoRedefine/>
    <w:semiHidden/>
    <w:unhideWhenUsed/>
    <w:rsid w:val="00155B10"/>
    <w:pPr>
      <w:spacing w:after="100"/>
      <w:ind w:left="850"/>
    </w:pPr>
  </w:style>
  <w:style w:type="paragraph" w:styleId="TOC7">
    <w:name w:val="toc 7"/>
    <w:basedOn w:val="a"/>
    <w:next w:val="a"/>
    <w:autoRedefine/>
    <w:semiHidden/>
    <w:unhideWhenUsed/>
    <w:rsid w:val="00155B10"/>
    <w:pPr>
      <w:spacing w:after="100"/>
      <w:ind w:left="1020"/>
    </w:pPr>
  </w:style>
  <w:style w:type="paragraph" w:styleId="TOC8">
    <w:name w:val="toc 8"/>
    <w:basedOn w:val="a"/>
    <w:next w:val="a"/>
    <w:autoRedefine/>
    <w:semiHidden/>
    <w:unhideWhenUsed/>
    <w:rsid w:val="00155B10"/>
    <w:pPr>
      <w:spacing w:after="100"/>
      <w:ind w:left="1190"/>
    </w:pPr>
  </w:style>
  <w:style w:type="paragraph" w:styleId="TOC9">
    <w:name w:val="toc 9"/>
    <w:basedOn w:val="a"/>
    <w:next w:val="a"/>
    <w:autoRedefine/>
    <w:semiHidden/>
    <w:unhideWhenUsed/>
    <w:rsid w:val="00155B10"/>
    <w:pPr>
      <w:spacing w:after="100"/>
      <w:ind w:left="1360"/>
    </w:pPr>
  </w:style>
  <w:style w:type="paragraph" w:customStyle="1" w:styleId="TableHead2">
    <w:name w:val="Table Head2"/>
    <w:basedOn w:val="TableHead"/>
    <w:qFormat/>
    <w:rsid w:val="00155B10"/>
    <w:pPr>
      <w:outlineLvl w:val="9"/>
    </w:pPr>
  </w:style>
  <w:style w:type="paragraph" w:customStyle="1" w:styleId="TableSideHeading2">
    <w:name w:val="Table SideHeading2"/>
    <w:basedOn w:val="TableSideHeading"/>
    <w:autoRedefine/>
    <w:qFormat/>
    <w:rsid w:val="00155B10"/>
    <w:pPr>
      <w:keepLines w:val="0"/>
      <w:outlineLvl w:val="9"/>
    </w:pPr>
  </w:style>
  <w:style w:type="paragraph" w:customStyle="1" w:styleId="0">
    <w:name w:val="סגנון שורה ראשונה:  0  ס''מ"/>
    <w:basedOn w:val="2"/>
    <w:rsid w:val="00155B10"/>
    <w:rPr>
      <w:rFonts w:eastAsia="Times New Roman"/>
    </w:rPr>
  </w:style>
  <w:style w:type="paragraph" w:styleId="af">
    <w:name w:val="List Paragraph"/>
    <w:basedOn w:val="a"/>
    <w:uiPriority w:val="34"/>
    <w:qFormat/>
    <w:rsid w:val="00155B10"/>
    <w:pPr>
      <w:widowControl/>
      <w:spacing w:line="259" w:lineRule="auto"/>
    </w:pPr>
    <w:rPr>
      <w:rFonts w:asciiTheme="minorHAnsi" w:hAnsiTheme="minorHAnsi"/>
      <w:sz w:val="22"/>
    </w:rPr>
  </w:style>
  <w:style w:type="table" w:styleId="af0">
    <w:name w:val="Table Grid"/>
    <w:basedOn w:val="a1"/>
    <w:rsid w:val="001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55B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5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55B10"/>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55B10"/>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290d5b49-c690-4c6f-bbb9-1e50dab33e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D52864-8CD2-401F-8867-A2F0C086F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3A57-506E-4A8C-A8E7-157D107C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עדן ישראלי</cp:lastModifiedBy>
  <cp:revision>11</cp:revision>
  <cp:lastPrinted>2013-07-04T08:25:00Z</cp:lastPrinted>
  <dcterms:created xsi:type="dcterms:W3CDTF">2015-04-20T09:58:00Z</dcterms:created>
  <dcterms:modified xsi:type="dcterms:W3CDTF">2022-11-29T12:43:00Z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2196154</vt:r8>
  </property>
</Properties>
</file>