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47289" w14:textId="77777777" w:rsidR="00B50239" w:rsidRPr="00E635A2" w:rsidRDefault="00B50239" w:rsidP="00B50239">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2240459</w:t>
      </w:r>
      <w:bookmarkEnd w:id="0"/>
    </w:p>
    <w:p w14:paraId="2B6AB5E2" w14:textId="77777777" w:rsidR="00B50239" w:rsidRPr="00DB7060" w:rsidRDefault="00B50239" w:rsidP="00B50239">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37D056D9" w14:textId="77777777" w:rsidR="00B50239" w:rsidRPr="00F67051" w:rsidRDefault="00B50239" w:rsidP="00B50239">
      <w:pPr>
        <w:rPr>
          <w:b/>
          <w:bCs/>
          <w:sz w:val="26"/>
          <w:szCs w:val="26"/>
          <w:rtl/>
        </w:rPr>
      </w:pPr>
    </w:p>
    <w:p w14:paraId="4EA0A211" w14:textId="77777777" w:rsidR="00B50239" w:rsidRDefault="00B50239" w:rsidP="00B50239">
      <w:pPr>
        <w:pStyle w:val="David"/>
        <w:ind w:left="3544"/>
        <w:rPr>
          <w:b/>
          <w:bCs/>
          <w:rtl/>
        </w:rPr>
      </w:pPr>
      <w:bookmarkStart w:id="2" w:name="LGS_Initiators_List"/>
      <w:r>
        <w:rPr>
          <w:b/>
          <w:bCs/>
          <w:rtl/>
        </w:rPr>
        <w:t>יוזם:</w:t>
      </w:r>
      <w:r>
        <w:tab/>
      </w:r>
      <w:r>
        <w:rPr>
          <w:b/>
          <w:bCs/>
          <w:rtl/>
        </w:rPr>
        <w:t xml:space="preserve">      חבר הכנסת</w:t>
      </w:r>
      <w:bookmarkEnd w:id="2"/>
      <w:r w:rsidRPr="00F67051">
        <w:rPr>
          <w:b/>
          <w:bCs/>
        </w:rPr>
        <w:tab/>
      </w:r>
      <w:bookmarkStart w:id="3" w:name="LGS_PM_Names"/>
      <w:r>
        <w:rPr>
          <w:rFonts w:hint="cs"/>
          <w:b/>
          <w:bCs/>
          <w:rtl/>
        </w:rPr>
        <w:t>איתן גינזבורג</w:t>
      </w:r>
      <w:bookmarkEnd w:id="3"/>
    </w:p>
    <w:p w14:paraId="03763AD9" w14:textId="77777777" w:rsidR="00B50239" w:rsidRPr="00CF1AA2" w:rsidRDefault="00B50239" w:rsidP="00B50239">
      <w:pPr>
        <w:pStyle w:val="David"/>
        <w:ind w:left="3544"/>
        <w:rPr>
          <w:b/>
          <w:bCs/>
          <w:sz w:val="16"/>
          <w:szCs w:val="16"/>
          <w:rtl/>
        </w:rPr>
      </w:pPr>
      <w:bookmarkStart w:id="4" w:name="LGS_Join_List"/>
      <w:r>
        <w:rPr>
          <w:rtl/>
        </w:rPr>
        <w:t xml:space="preserve"> </w:t>
      </w:r>
      <w:bookmarkEnd w:id="4"/>
      <w:r w:rsidRPr="00CF1AA2">
        <w:rPr>
          <w:rFonts w:hint="cs"/>
          <w:rtl/>
        </w:rPr>
        <w:tab/>
      </w:r>
      <w:bookmarkStart w:id="5" w:name="LGS_PM_NamesJoin"/>
      <w:r>
        <w:rPr>
          <w:rFonts w:hint="cs"/>
          <w:rtl/>
        </w:rPr>
        <w:t xml:space="preserve"> </w:t>
      </w:r>
      <w:bookmarkEnd w:id="5"/>
    </w:p>
    <w:p w14:paraId="69BC540C" w14:textId="77777777" w:rsidR="00B50239" w:rsidRPr="00904591" w:rsidRDefault="00B50239" w:rsidP="00B50239">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78F1398E" w14:textId="324B754E" w:rsidR="00B50239" w:rsidRPr="00E06736" w:rsidRDefault="00B50239" w:rsidP="00B50239">
      <w:pPr>
        <w:pStyle w:val="David"/>
        <w:spacing w:line="240" w:lineRule="auto"/>
        <w:ind w:left="3544"/>
        <w:rPr>
          <w:rtl/>
        </w:rPr>
      </w:pPr>
      <w:r>
        <w:t xml:space="preserve">                                             </w:t>
      </w:r>
      <w:bookmarkStart w:id="6" w:name="Private_Number"/>
      <w:r w:rsidR="003C3467">
        <w:rPr>
          <w:rFonts w:hint="cs"/>
          <w:rtl/>
        </w:rPr>
        <w:t xml:space="preserve">    </w:t>
      </w:r>
      <w:r w:rsidR="00743D05">
        <w:rPr>
          <w:rFonts w:hint="cs"/>
          <w:rtl/>
        </w:rPr>
        <w:t xml:space="preserve">  </w:t>
      </w:r>
      <w:r>
        <w:rPr>
          <w:rFonts w:hint="cs"/>
          <w:rtl/>
        </w:rPr>
        <w:t>פ/6651/25</w:t>
      </w:r>
      <w:bookmarkEnd w:id="6"/>
    </w:p>
    <w:p w14:paraId="5939FDB0" w14:textId="77777777" w:rsidR="00B50239" w:rsidRDefault="00B50239" w:rsidP="00B50239">
      <w:pPr>
        <w:ind w:left="2880" w:firstLine="720"/>
        <w:rPr>
          <w:sz w:val="26"/>
          <w:szCs w:val="26"/>
          <w:rtl/>
        </w:rPr>
      </w:pPr>
    </w:p>
    <w:p w14:paraId="20C62194" w14:textId="74A0D485" w:rsidR="00B50239" w:rsidRDefault="00B50239" w:rsidP="00D37DCA">
      <w:pPr>
        <w:pStyle w:val="HeadHatzaotHok"/>
        <w:rPr>
          <w:rtl/>
        </w:rPr>
      </w:pPr>
      <w:bookmarkStart w:id="7" w:name="LGS_Subject"/>
      <w:r>
        <w:rPr>
          <w:rFonts w:hint="cs"/>
          <w:rtl/>
        </w:rPr>
        <w:t xml:space="preserve">הצעת חוק הבחירות (דרכי תעמולה) (תיקון </w:t>
      </w:r>
      <w:r w:rsidR="00D37DCA">
        <w:rPr>
          <w:rFonts w:hint="eastAsia"/>
          <w:rtl/>
        </w:rPr>
        <w:t>–</w:t>
      </w:r>
      <w:r>
        <w:rPr>
          <w:rFonts w:hint="cs"/>
          <w:rtl/>
        </w:rPr>
        <w:t xml:space="preserve"> תעמולה דיגיטלית, תעמולה מבוססת בינה מלאכותית והחמרת ענישה), התשפ"ו</w:t>
      </w:r>
      <w:r w:rsidR="00D37DCA">
        <w:rPr>
          <w:rFonts w:hint="eastAsia"/>
          <w:rtl/>
        </w:rPr>
        <w:t>–</w:t>
      </w:r>
      <w:r>
        <w:rPr>
          <w:rFonts w:hint="cs"/>
          <w:rtl/>
        </w:rPr>
        <w:t>2026</w:t>
      </w:r>
      <w:bookmarkEnd w:id="7"/>
    </w:p>
    <w:p w14:paraId="5905EC26" w14:textId="77777777" w:rsidR="003C3467" w:rsidRPr="00F67051" w:rsidRDefault="003C3467" w:rsidP="00D37DCA">
      <w:pPr>
        <w:pStyle w:val="HeadHatzaotHok"/>
        <w:rPr>
          <w:rtl/>
        </w:rPr>
      </w:pPr>
    </w:p>
    <w:tbl>
      <w:tblPr>
        <w:tblStyle w:val="ae"/>
        <w:bidiVisual/>
        <w:tblW w:w="9641"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24"/>
        <w:gridCol w:w="5898"/>
      </w:tblGrid>
      <w:tr w:rsidR="003C3467" w14:paraId="56355E5C" w14:textId="77777777" w:rsidTr="003C346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71" w:type="dxa"/>
            <w:shd w:val="clear" w:color="auto" w:fill="auto"/>
            <w:vAlign w:val="top"/>
          </w:tcPr>
          <w:p w14:paraId="4E8DE492" w14:textId="26D456EB" w:rsidR="003C3467" w:rsidRPr="003C3467" w:rsidRDefault="003C3467" w:rsidP="003C3467">
            <w:pPr>
              <w:pStyle w:val="TableSideHeading"/>
              <w:spacing w:line="240" w:lineRule="auto"/>
              <w:outlineLvl w:val="9"/>
              <w:rPr>
                <w:b/>
                <w:bCs w:val="0"/>
                <w:rtl/>
              </w:rPr>
            </w:pPr>
            <w:r w:rsidRPr="003C3467">
              <w:rPr>
                <w:rFonts w:hint="cs"/>
                <w:b/>
                <w:bCs w:val="0"/>
                <w:rtl/>
              </w:rPr>
              <w:t>תיקון סעיף 2א1</w:t>
            </w:r>
          </w:p>
        </w:tc>
        <w:tc>
          <w:tcPr>
            <w:tcW w:w="624" w:type="dxa"/>
            <w:shd w:val="clear" w:color="auto" w:fill="auto"/>
            <w:vAlign w:val="top"/>
          </w:tcPr>
          <w:p w14:paraId="34868C42" w14:textId="7E942885" w:rsidR="003C3467" w:rsidRPr="003C3467" w:rsidRDefault="003C3467" w:rsidP="003C3467">
            <w:pPr>
              <w:pStyle w:val="TableText"/>
              <w:jc w:val="both"/>
              <w:cnfStyle w:val="100000000000" w:firstRow="1" w:lastRow="0" w:firstColumn="0" w:lastColumn="0" w:oddVBand="0" w:evenVBand="0" w:oddHBand="0" w:evenHBand="0" w:firstRowFirstColumn="0" w:firstRowLastColumn="0" w:lastRowFirstColumn="0" w:lastRowLastColumn="0"/>
              <w:rPr>
                <w:b/>
                <w:bCs w:val="0"/>
                <w:rtl/>
              </w:rPr>
            </w:pPr>
            <w:r w:rsidRPr="003C3467">
              <w:rPr>
                <w:rFonts w:hint="cs"/>
                <w:b/>
                <w:bCs w:val="0"/>
                <w:rtl/>
              </w:rPr>
              <w:t>1.</w:t>
            </w:r>
          </w:p>
        </w:tc>
        <w:tc>
          <w:tcPr>
            <w:tcW w:w="7146" w:type="dxa"/>
            <w:gridSpan w:val="3"/>
            <w:shd w:val="clear" w:color="auto" w:fill="auto"/>
          </w:tcPr>
          <w:p w14:paraId="28BF83F0" w14:textId="38C126E1" w:rsidR="003C3467" w:rsidRPr="000D4CD7" w:rsidRDefault="003C3467" w:rsidP="003C3467">
            <w:pPr>
              <w:pStyle w:val="TableBlock"/>
              <w:cnfStyle w:val="100000000000" w:firstRow="1" w:lastRow="0" w:firstColumn="0" w:lastColumn="0" w:oddVBand="0" w:evenVBand="0" w:oddHBand="0" w:evenHBand="0" w:firstRowFirstColumn="0" w:firstRowLastColumn="0" w:lastRowFirstColumn="0" w:lastRowLastColumn="0"/>
              <w:rPr>
                <w:b/>
                <w:sz w:val="26"/>
                <w:rtl/>
              </w:rPr>
            </w:pPr>
            <w:r w:rsidRPr="000D4CD7">
              <w:rPr>
                <w:rFonts w:hint="cs"/>
                <w:b/>
                <w:bCs w:val="0"/>
                <w:sz w:val="26"/>
                <w:rtl/>
              </w:rPr>
              <w:t>ב</w:t>
            </w:r>
            <w:r w:rsidRPr="000D4CD7">
              <w:rPr>
                <w:b/>
                <w:bCs w:val="0"/>
                <w:rtl/>
              </w:rPr>
              <w:t xml:space="preserve">חוק </w:t>
            </w:r>
            <w:r w:rsidRPr="000D4CD7">
              <w:rPr>
                <w:rFonts w:hint="cs"/>
                <w:b/>
                <w:bCs w:val="0"/>
                <w:rtl/>
              </w:rPr>
              <w:t>הבחירות (דרכי תעמולה),</w:t>
            </w:r>
            <w:r w:rsidRPr="000D4CD7">
              <w:rPr>
                <w:b/>
                <w:bCs w:val="0"/>
                <w:rtl/>
              </w:rPr>
              <w:t xml:space="preserve"> </w:t>
            </w:r>
            <w:r w:rsidRPr="000D4CD7">
              <w:rPr>
                <w:rFonts w:hint="cs"/>
                <w:b/>
                <w:bCs w:val="0"/>
                <w:rtl/>
              </w:rPr>
              <w:t>ה</w:t>
            </w:r>
            <w:r w:rsidRPr="000D4CD7">
              <w:rPr>
                <w:b/>
                <w:bCs w:val="0"/>
                <w:rtl/>
              </w:rPr>
              <w:t>תשי"ט</w:t>
            </w:r>
            <w:r w:rsidRPr="000D4CD7">
              <w:rPr>
                <w:b/>
                <w:bCs w:val="0"/>
                <w:sz w:val="26"/>
                <w:rtl/>
              </w:rPr>
              <w:t>–</w:t>
            </w:r>
            <w:r w:rsidRPr="000D4CD7">
              <w:rPr>
                <w:b/>
                <w:bCs w:val="0"/>
                <w:rtl/>
              </w:rPr>
              <w:t>1959</w:t>
            </w:r>
            <w:r w:rsidRPr="003C3467">
              <w:rPr>
                <w:rStyle w:val="a6"/>
                <w:rFonts w:ascii="David" w:hAnsi="David"/>
                <w:b/>
                <w:bCs w:val="0"/>
                <w:sz w:val="26"/>
                <w:rtl/>
              </w:rPr>
              <w:footnoteReference w:id="2"/>
            </w:r>
            <w:r w:rsidRPr="000D4CD7">
              <w:rPr>
                <w:rFonts w:hint="cs"/>
                <w:b/>
                <w:bCs w:val="0"/>
                <w:sz w:val="26"/>
                <w:rtl/>
              </w:rPr>
              <w:t xml:space="preserve"> </w:t>
            </w:r>
            <w:r w:rsidRPr="000D4CD7">
              <w:rPr>
                <w:b/>
                <w:bCs w:val="0"/>
                <w:rtl/>
              </w:rPr>
              <w:t>(להלן –</w:t>
            </w:r>
            <w:r w:rsidRPr="000D4CD7">
              <w:rPr>
                <w:rFonts w:hint="cs"/>
                <w:b/>
                <w:bCs w:val="0"/>
                <w:rtl/>
              </w:rPr>
              <w:t xml:space="preserve"> </w:t>
            </w:r>
            <w:r w:rsidRPr="000D4CD7">
              <w:rPr>
                <w:b/>
                <w:bCs w:val="0"/>
                <w:rtl/>
              </w:rPr>
              <w:t>החוק העיקרי)</w:t>
            </w:r>
            <w:r w:rsidRPr="000D4CD7">
              <w:rPr>
                <w:rFonts w:hint="cs"/>
                <w:b/>
                <w:bCs w:val="0"/>
                <w:rtl/>
              </w:rPr>
              <w:t xml:space="preserve">, </w:t>
            </w:r>
            <w:r w:rsidRPr="000D4CD7">
              <w:rPr>
                <w:rFonts w:hint="cs"/>
                <w:b/>
                <w:bCs w:val="0"/>
                <w:sz w:val="26"/>
                <w:rtl/>
              </w:rPr>
              <w:t xml:space="preserve">בסעיף 2א1 </w:t>
            </w:r>
            <w:r w:rsidRPr="000D4CD7">
              <w:rPr>
                <w:b/>
                <w:bCs w:val="0"/>
                <w:sz w:val="26"/>
                <w:rtl/>
              </w:rPr>
              <w:t>–</w:t>
            </w:r>
          </w:p>
        </w:tc>
      </w:tr>
      <w:tr w:rsidR="00B50239" w14:paraId="2AC571B8"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4878869F" w14:textId="77777777" w:rsidR="00B50239" w:rsidRDefault="00B50239" w:rsidP="00086162">
            <w:pPr>
              <w:pStyle w:val="TableSideHeading"/>
              <w:rPr>
                <w:sz w:val="26"/>
                <w:rtl/>
              </w:rPr>
            </w:pPr>
          </w:p>
        </w:tc>
        <w:tc>
          <w:tcPr>
            <w:tcW w:w="624" w:type="dxa"/>
          </w:tcPr>
          <w:p w14:paraId="52D16B69"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rPr>
                <w:rtl/>
              </w:rPr>
            </w:pPr>
          </w:p>
        </w:tc>
        <w:tc>
          <w:tcPr>
            <w:tcW w:w="7146" w:type="dxa"/>
            <w:gridSpan w:val="3"/>
          </w:tcPr>
          <w:p w14:paraId="47127954" w14:textId="506F1C02" w:rsidR="00B50239" w:rsidRDefault="00B50239" w:rsidP="003C3467">
            <w:pPr>
              <w:pStyle w:val="TableBlock"/>
              <w:cnfStyle w:val="000000000000" w:firstRow="0" w:lastRow="0" w:firstColumn="0" w:lastColumn="0" w:oddVBand="0" w:evenVBand="0" w:oddHBand="0" w:evenHBand="0" w:firstRowFirstColumn="0" w:firstRowLastColumn="0" w:lastRowFirstColumn="0" w:lastRowLastColumn="0"/>
              <w:rPr>
                <w:sz w:val="26"/>
                <w:rtl/>
              </w:rPr>
            </w:pPr>
            <w:r>
              <w:rPr>
                <w:rFonts w:hint="cs"/>
                <w:sz w:val="26"/>
                <w:rtl/>
              </w:rPr>
              <w:t>(1)</w:t>
            </w:r>
            <w:r>
              <w:rPr>
                <w:sz w:val="26"/>
                <w:rtl/>
              </w:rPr>
              <w:tab/>
            </w:r>
            <w:r>
              <w:rPr>
                <w:rFonts w:hint="cs"/>
                <w:sz w:val="26"/>
                <w:rtl/>
              </w:rPr>
              <w:t>בסעיף קטן (א)</w:t>
            </w:r>
            <w:r w:rsidR="00743D05">
              <w:rPr>
                <w:rFonts w:hint="cs"/>
                <w:sz w:val="26"/>
                <w:rtl/>
              </w:rPr>
              <w:t>,</w:t>
            </w:r>
            <w:r>
              <w:rPr>
                <w:rFonts w:hint="cs"/>
                <w:sz w:val="26"/>
                <w:rtl/>
              </w:rPr>
              <w:t xml:space="preserve"> אחרי ״</w:t>
            </w:r>
            <w:r w:rsidRPr="00D86147">
              <w:rPr>
                <w:sz w:val="26"/>
                <w:rtl/>
              </w:rPr>
              <w:t>ואת הדרכים ליצירת קשר עימו</w:t>
            </w:r>
            <w:r>
              <w:rPr>
                <w:rFonts w:hint="cs"/>
                <w:sz w:val="26"/>
                <w:rtl/>
              </w:rPr>
              <w:t>״ יבוא</w:t>
            </w:r>
            <w:r w:rsidRPr="00D86147">
              <w:rPr>
                <w:sz w:val="26"/>
                <w:rtl/>
              </w:rPr>
              <w:t xml:space="preserve"> </w:t>
            </w:r>
            <w:r>
              <w:rPr>
                <w:rFonts w:hint="cs"/>
                <w:sz w:val="26"/>
                <w:rtl/>
              </w:rPr>
              <w:t>״</w:t>
            </w:r>
            <w:r>
              <w:rPr>
                <w:sz w:val="26"/>
                <w:rtl/>
              </w:rPr>
              <w:t>לגבי מודעה המפורסמת ברשת חברתית</w:t>
            </w:r>
            <w:r>
              <w:rPr>
                <w:rFonts w:hint="cs"/>
                <w:sz w:val="26"/>
                <w:rtl/>
              </w:rPr>
              <w:t xml:space="preserve"> </w:t>
            </w:r>
            <w:r>
              <w:rPr>
                <w:sz w:val="26"/>
                <w:rtl/>
              </w:rPr>
              <w:t>–</w:t>
            </w:r>
            <w:r>
              <w:rPr>
                <w:rFonts w:hint="cs"/>
                <w:sz w:val="26"/>
                <w:rtl/>
              </w:rPr>
              <w:t xml:space="preserve"> גם </w:t>
            </w:r>
            <w:r w:rsidRPr="00D86147">
              <w:rPr>
                <w:sz w:val="26"/>
                <w:rtl/>
              </w:rPr>
              <w:t>את מ</w:t>
            </w:r>
            <w:r>
              <w:rPr>
                <w:rFonts w:hint="cs"/>
                <w:sz w:val="26"/>
                <w:rtl/>
              </w:rPr>
              <w:t>י</w:t>
            </w:r>
            <w:r w:rsidRPr="00D86147">
              <w:rPr>
                <w:sz w:val="26"/>
                <w:rtl/>
              </w:rPr>
              <w:t xml:space="preserve">קום החשבון </w:t>
            </w:r>
            <w:r>
              <w:rPr>
                <w:rFonts w:hint="cs"/>
                <w:sz w:val="26"/>
                <w:rtl/>
              </w:rPr>
              <w:t>ממנו</w:t>
            </w:r>
            <w:r w:rsidRPr="00D86147">
              <w:rPr>
                <w:sz w:val="26"/>
                <w:rtl/>
              </w:rPr>
              <w:t xml:space="preserve"> פורסמה</w:t>
            </w:r>
            <w:r>
              <w:rPr>
                <w:rFonts w:hint="cs"/>
                <w:sz w:val="26"/>
                <w:rtl/>
              </w:rPr>
              <w:t>״;</w:t>
            </w:r>
          </w:p>
        </w:tc>
      </w:tr>
      <w:tr w:rsidR="00B50239" w14:paraId="1DD43A9E"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73A87064" w14:textId="77777777" w:rsidR="00B50239" w:rsidRDefault="00B50239" w:rsidP="00086162">
            <w:pPr>
              <w:pStyle w:val="TableSideHeading"/>
              <w:rPr>
                <w:sz w:val="26"/>
                <w:rtl/>
              </w:rPr>
            </w:pPr>
          </w:p>
        </w:tc>
        <w:tc>
          <w:tcPr>
            <w:tcW w:w="624" w:type="dxa"/>
          </w:tcPr>
          <w:p w14:paraId="1FEC9049"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rPr>
                <w:rtl/>
              </w:rPr>
            </w:pPr>
          </w:p>
        </w:tc>
        <w:tc>
          <w:tcPr>
            <w:tcW w:w="7146" w:type="dxa"/>
            <w:gridSpan w:val="3"/>
          </w:tcPr>
          <w:p w14:paraId="5167FFFC" w14:textId="77777777" w:rsidR="00B50239" w:rsidRDefault="00B50239" w:rsidP="003C3467">
            <w:pPr>
              <w:pStyle w:val="TableBlock"/>
              <w:cnfStyle w:val="000000000000" w:firstRow="0" w:lastRow="0" w:firstColumn="0" w:lastColumn="0" w:oddVBand="0" w:evenVBand="0" w:oddHBand="0" w:evenHBand="0" w:firstRowFirstColumn="0" w:firstRowLastColumn="0" w:lastRowFirstColumn="0" w:lastRowLastColumn="0"/>
              <w:rPr>
                <w:sz w:val="26"/>
                <w:rtl/>
              </w:rPr>
            </w:pPr>
            <w:r>
              <w:rPr>
                <w:rFonts w:hint="cs"/>
                <w:rtl/>
              </w:rPr>
              <w:t>(2)</w:t>
            </w:r>
            <w:r>
              <w:rPr>
                <w:rtl/>
              </w:rPr>
              <w:tab/>
            </w:r>
            <w:r>
              <w:rPr>
                <w:rFonts w:hint="cs"/>
                <w:rtl/>
              </w:rPr>
              <w:t>אחרי סעיף קטן (א) יבוא:</w:t>
            </w:r>
          </w:p>
        </w:tc>
      </w:tr>
      <w:tr w:rsidR="00B50239" w14:paraId="79AC2502"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71D99198" w14:textId="77777777" w:rsidR="00B50239" w:rsidRDefault="00B50239" w:rsidP="00086162">
            <w:pPr>
              <w:pStyle w:val="TableSideHeading"/>
              <w:rPr>
                <w:rtl/>
              </w:rPr>
            </w:pPr>
          </w:p>
        </w:tc>
        <w:tc>
          <w:tcPr>
            <w:tcW w:w="624" w:type="dxa"/>
          </w:tcPr>
          <w:p w14:paraId="42B35806"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7544B5EB" w14:textId="77777777" w:rsidR="00B50239" w:rsidRDefault="00B50239" w:rsidP="00086162">
            <w:pPr>
              <w:pStyle w:val="TableText"/>
              <w:cnfStyle w:val="000000000000" w:firstRow="0" w:lastRow="0" w:firstColumn="0" w:lastColumn="0" w:oddVBand="0" w:evenVBand="0" w:oddHBand="0" w:evenHBand="0" w:firstRowFirstColumn="0" w:firstRowLastColumn="0" w:lastRowFirstColumn="0" w:lastRowLastColumn="0"/>
            </w:pPr>
          </w:p>
        </w:tc>
        <w:tc>
          <w:tcPr>
            <w:tcW w:w="6522" w:type="dxa"/>
            <w:gridSpan w:val="2"/>
          </w:tcPr>
          <w:p w14:paraId="6803ED1B" w14:textId="0D0E821A" w:rsidR="00B50239" w:rsidRPr="00B17EB2" w:rsidRDefault="00B50239" w:rsidP="003C3467">
            <w:pPr>
              <w:pStyle w:val="TableBlock"/>
              <w:cnfStyle w:val="000000000000" w:firstRow="0" w:lastRow="0" w:firstColumn="0" w:lastColumn="0" w:oddVBand="0" w:evenVBand="0" w:oddHBand="0" w:evenHBand="0" w:firstRowFirstColumn="0" w:firstRowLastColumn="0" w:lastRowFirstColumn="0" w:lastRowLastColumn="0"/>
              <w:rPr>
                <w:rtl/>
              </w:rPr>
            </w:pPr>
            <w:r w:rsidRPr="00B17EB2">
              <w:rPr>
                <w:rtl/>
              </w:rPr>
              <w:t>״(א1)</w:t>
            </w:r>
            <w:r w:rsidRPr="00B17EB2">
              <w:rPr>
                <w:rtl/>
              </w:rPr>
              <w:tab/>
              <w:t>לא יפרסם אדם מודעת בחירות</w:t>
            </w:r>
            <w:r>
              <w:rPr>
                <w:rFonts w:hint="cs"/>
                <w:rtl/>
              </w:rPr>
              <w:t>,</w:t>
            </w:r>
            <w:r w:rsidRPr="00B17EB2">
              <w:rPr>
                <w:rtl/>
              </w:rPr>
              <w:t xml:space="preserve"> אשר תוכנה נוצר או שונה באופן מהותי באמצעות מערכת בינה מלאכותית</w:t>
            </w:r>
            <w:r>
              <w:rPr>
                <w:rFonts w:hint="cs"/>
                <w:rtl/>
              </w:rPr>
              <w:t>,</w:t>
            </w:r>
            <w:r w:rsidRPr="00B17EB2">
              <w:rPr>
                <w:rtl/>
              </w:rPr>
              <w:t xml:space="preserve"> העלולה להביא אדם סביר להניח כי תוכנה </w:t>
            </w:r>
            <w:r>
              <w:rPr>
                <w:rFonts w:hint="cs"/>
                <w:rtl/>
              </w:rPr>
              <w:t>לא</w:t>
            </w:r>
            <w:r w:rsidRPr="00B17EB2">
              <w:rPr>
                <w:rtl/>
              </w:rPr>
              <w:t xml:space="preserve"> נוצר או שונה כאמור, בלי שהיא נושאת סימון ברור ובולט כי מדובר בתוכן שנוצר או שונה </w:t>
            </w:r>
            <w:r w:rsidR="00743D05">
              <w:rPr>
                <w:rFonts w:hint="cs"/>
                <w:rtl/>
              </w:rPr>
              <w:t>כאמור</w:t>
            </w:r>
            <w:r w:rsidR="003C3467">
              <w:rPr>
                <w:rFonts w:hint="cs"/>
                <w:rtl/>
              </w:rPr>
              <w:t>"</w:t>
            </w:r>
            <w:r w:rsidR="00743D05">
              <w:rPr>
                <w:rFonts w:hint="cs"/>
                <w:rtl/>
              </w:rPr>
              <w:t>;</w:t>
            </w:r>
          </w:p>
        </w:tc>
      </w:tr>
      <w:tr w:rsidR="00B50239" w14:paraId="7F2F8EED"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5C14B5C3" w14:textId="77777777" w:rsidR="00B50239" w:rsidRDefault="00B50239" w:rsidP="00086162">
            <w:pPr>
              <w:pStyle w:val="TableSideHeading"/>
            </w:pPr>
          </w:p>
        </w:tc>
        <w:tc>
          <w:tcPr>
            <w:tcW w:w="624" w:type="dxa"/>
          </w:tcPr>
          <w:p w14:paraId="218DD362"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7146" w:type="dxa"/>
            <w:gridSpan w:val="3"/>
          </w:tcPr>
          <w:p w14:paraId="58F30C66" w14:textId="77777777" w:rsidR="00B50239" w:rsidRPr="00B17EB2" w:rsidRDefault="00B50239" w:rsidP="003C3467">
            <w:pPr>
              <w:pStyle w:val="TableBlock"/>
              <w:cnfStyle w:val="000000000000" w:firstRow="0" w:lastRow="0" w:firstColumn="0" w:lastColumn="0" w:oddVBand="0" w:evenVBand="0" w:oddHBand="0" w:evenHBand="0" w:firstRowFirstColumn="0" w:firstRowLastColumn="0" w:lastRowFirstColumn="0" w:lastRowLastColumn="0"/>
              <w:rPr>
                <w:rtl/>
              </w:rPr>
            </w:pPr>
            <w:r>
              <w:rPr>
                <w:rFonts w:hint="cs"/>
                <w:rtl/>
              </w:rPr>
              <w:t>(3)</w:t>
            </w:r>
            <w:r>
              <w:rPr>
                <w:rtl/>
              </w:rPr>
              <w:tab/>
            </w:r>
            <w:r>
              <w:rPr>
                <w:rFonts w:hint="cs"/>
                <w:rtl/>
              </w:rPr>
              <w:t xml:space="preserve">בסעיף קטן (ב) </w:t>
            </w:r>
            <w:r>
              <w:rPr>
                <w:rtl/>
              </w:rPr>
              <w:t>–</w:t>
            </w:r>
            <w:r>
              <w:rPr>
                <w:rFonts w:hint="cs"/>
                <w:rtl/>
              </w:rPr>
              <w:t xml:space="preserve"> </w:t>
            </w:r>
          </w:p>
        </w:tc>
      </w:tr>
      <w:tr w:rsidR="00B50239" w14:paraId="67A688FD"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5E8B0D30" w14:textId="77777777" w:rsidR="00B50239" w:rsidRPr="003C3467" w:rsidRDefault="00B50239" w:rsidP="003C3467">
            <w:pPr>
              <w:pStyle w:val="TableSideHeading"/>
              <w:outlineLvl w:val="9"/>
              <w:rPr>
                <w:rtl/>
              </w:rPr>
            </w:pPr>
          </w:p>
        </w:tc>
        <w:tc>
          <w:tcPr>
            <w:tcW w:w="624" w:type="dxa"/>
          </w:tcPr>
          <w:p w14:paraId="1785C448"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01C7A978"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6522" w:type="dxa"/>
            <w:gridSpan w:val="2"/>
          </w:tcPr>
          <w:p w14:paraId="63BD139E" w14:textId="77777777" w:rsidR="00B50239" w:rsidRPr="00027B5E" w:rsidRDefault="00B50239" w:rsidP="003C3467">
            <w:pPr>
              <w:pStyle w:val="TableBlockOutdent"/>
              <w:cnfStyle w:val="000000000000" w:firstRow="0" w:lastRow="0" w:firstColumn="0" w:lastColumn="0" w:oddVBand="0" w:evenVBand="0" w:oddHBand="0" w:evenHBand="0" w:firstRowFirstColumn="0" w:firstRowLastColumn="0" w:lastRowFirstColumn="0" w:lastRowLastColumn="0"/>
              <w:rPr>
                <w:rtl/>
              </w:rPr>
            </w:pPr>
            <w:r>
              <w:rPr>
                <w:rFonts w:hint="cs"/>
                <w:rtl/>
              </w:rPr>
              <w:t>(א)</w:t>
            </w:r>
            <w:r>
              <w:rPr>
                <w:rtl/>
              </w:rPr>
              <w:tab/>
            </w:r>
            <w:r>
              <w:rPr>
                <w:rFonts w:hint="cs"/>
                <w:rtl/>
              </w:rPr>
              <w:t>אחרי ההגדרה ״מודעת בחירות״ יבוא:</w:t>
            </w:r>
          </w:p>
        </w:tc>
      </w:tr>
      <w:tr w:rsidR="00B50239" w:rsidRPr="007929A3" w14:paraId="6034DFD2"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7AE234AA" w14:textId="77777777" w:rsidR="00B50239" w:rsidRPr="003C3467" w:rsidRDefault="00B50239" w:rsidP="003C3467">
            <w:pPr>
              <w:pStyle w:val="TableSideHeading"/>
              <w:outlineLvl w:val="9"/>
              <w:rPr>
                <w:rtl/>
              </w:rPr>
            </w:pPr>
          </w:p>
        </w:tc>
        <w:tc>
          <w:tcPr>
            <w:tcW w:w="624" w:type="dxa"/>
          </w:tcPr>
          <w:p w14:paraId="530B4708"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72B0DFAF"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624" w:type="dxa"/>
          </w:tcPr>
          <w:p w14:paraId="06823E5B"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5898" w:type="dxa"/>
          </w:tcPr>
          <w:p w14:paraId="4D9ECD40" w14:textId="77777777" w:rsidR="00B50239" w:rsidRPr="007929A3" w:rsidRDefault="00B50239" w:rsidP="003C3467">
            <w:pPr>
              <w:pStyle w:val="TableBlockOutdent"/>
              <w:cnfStyle w:val="000000000000" w:firstRow="0" w:lastRow="0" w:firstColumn="0" w:lastColumn="0" w:oddVBand="0" w:evenVBand="0" w:oddHBand="0" w:evenHBand="0" w:firstRowFirstColumn="0" w:firstRowLastColumn="0" w:lastRowFirstColumn="0" w:lastRowLastColumn="0"/>
            </w:pPr>
            <w:r w:rsidRPr="00027B5E">
              <w:rPr>
                <w:rtl/>
              </w:rPr>
              <w:t>״״מחשב״ – כהגדרתו בחוק המחשבים, התשנ״ה–1995</w:t>
            </w:r>
            <w:r w:rsidRPr="003C3467">
              <w:rPr>
                <w:rStyle w:val="a6"/>
                <w:rFonts w:ascii="David" w:hAnsi="David"/>
                <w:sz w:val="26"/>
                <w:rtl/>
              </w:rPr>
              <w:footnoteReference w:id="3"/>
            </w:r>
            <w:r w:rsidRPr="00027B5E">
              <w:rPr>
                <w:rtl/>
              </w:rPr>
              <w:t>;</w:t>
            </w:r>
          </w:p>
        </w:tc>
      </w:tr>
      <w:tr w:rsidR="00B50239" w:rsidRPr="007929A3" w14:paraId="2308BF55"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677B77BE" w14:textId="77777777" w:rsidR="00B50239" w:rsidRPr="003C3467" w:rsidRDefault="00B50239" w:rsidP="003C3467">
            <w:pPr>
              <w:pStyle w:val="TableSideHeading"/>
              <w:outlineLvl w:val="9"/>
              <w:rPr>
                <w:rtl/>
              </w:rPr>
            </w:pPr>
          </w:p>
        </w:tc>
        <w:tc>
          <w:tcPr>
            <w:tcW w:w="624" w:type="dxa"/>
          </w:tcPr>
          <w:p w14:paraId="06ADA8EA"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4F35DA45"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624" w:type="dxa"/>
          </w:tcPr>
          <w:p w14:paraId="60036AEC"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5898" w:type="dxa"/>
          </w:tcPr>
          <w:p w14:paraId="7E29C21D" w14:textId="4952E33E" w:rsidR="00B50239" w:rsidRPr="00027B5E" w:rsidRDefault="00B50239" w:rsidP="003C3467">
            <w:pPr>
              <w:pStyle w:val="TableBlockOutdent"/>
              <w:cnfStyle w:val="000000000000" w:firstRow="0" w:lastRow="0" w:firstColumn="0" w:lastColumn="0" w:oddVBand="0" w:evenVBand="0" w:oddHBand="0" w:evenHBand="0" w:firstRowFirstColumn="0" w:firstRowLastColumn="0" w:lastRowFirstColumn="0" w:lastRowLastColumn="0"/>
              <w:rPr>
                <w:rtl/>
              </w:rPr>
            </w:pPr>
            <w:r w:rsidRPr="00027B5E">
              <w:rPr>
                <w:rtl/>
              </w:rPr>
              <w:t>"מערכת בינה מלאכותית" – מערכת מבוססת מחשב, הפועלת ברמות משתנות של עצמאות והסתגלות, אשר מפיקה מהקלט המוזן לה תוצאות, לרבות תחזיות, המלצות</w:t>
            </w:r>
            <w:r>
              <w:rPr>
                <w:rFonts w:hint="cs"/>
                <w:rtl/>
              </w:rPr>
              <w:t xml:space="preserve"> </w:t>
            </w:r>
            <w:r w:rsidRPr="00027B5E">
              <w:rPr>
                <w:rtl/>
              </w:rPr>
              <w:t>והחלטות, וכן תוכן טקסטואלי, חזותי, קולי, חוזי-שמע או אחר</w:t>
            </w:r>
            <w:r w:rsidR="00743D05">
              <w:rPr>
                <w:rFonts w:hint="cs"/>
                <w:rtl/>
              </w:rPr>
              <w:t>;</w:t>
            </w:r>
            <w:r w:rsidRPr="00027B5E">
              <w:rPr>
                <w:rtl/>
              </w:rPr>
              <w:t>״</w:t>
            </w:r>
            <w:r>
              <w:rPr>
                <w:rFonts w:hint="cs"/>
                <w:rtl/>
              </w:rPr>
              <w:t>;</w:t>
            </w:r>
          </w:p>
        </w:tc>
      </w:tr>
      <w:tr w:rsidR="00B50239" w14:paraId="414A2936"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21A0EFD4" w14:textId="77777777" w:rsidR="00B50239" w:rsidRPr="003C3467" w:rsidRDefault="00B50239" w:rsidP="003C3467">
            <w:pPr>
              <w:pStyle w:val="TableSideHeading"/>
              <w:outlineLvl w:val="9"/>
              <w:rPr>
                <w:rtl/>
              </w:rPr>
            </w:pPr>
          </w:p>
        </w:tc>
        <w:tc>
          <w:tcPr>
            <w:tcW w:w="624" w:type="dxa"/>
          </w:tcPr>
          <w:p w14:paraId="361D6A96"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218EDCC7"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6522" w:type="dxa"/>
            <w:gridSpan w:val="2"/>
          </w:tcPr>
          <w:p w14:paraId="00B8816F" w14:textId="77777777" w:rsidR="00B50239" w:rsidRPr="00027B5E" w:rsidRDefault="00B50239" w:rsidP="003C3467">
            <w:pPr>
              <w:pStyle w:val="TableBlockOutdent"/>
              <w:cnfStyle w:val="000000000000" w:firstRow="0" w:lastRow="0" w:firstColumn="0" w:lastColumn="0" w:oddVBand="0" w:evenVBand="0" w:oddHBand="0" w:evenHBand="0" w:firstRowFirstColumn="0" w:firstRowLastColumn="0" w:lastRowFirstColumn="0" w:lastRowLastColumn="0"/>
            </w:pPr>
            <w:r>
              <w:rPr>
                <w:rFonts w:hint="cs"/>
                <w:rtl/>
              </w:rPr>
              <w:t>(ב)</w:t>
            </w:r>
            <w:r>
              <w:rPr>
                <w:rtl/>
              </w:rPr>
              <w:tab/>
            </w:r>
            <w:r>
              <w:rPr>
                <w:rFonts w:hint="cs"/>
                <w:rtl/>
              </w:rPr>
              <w:t>בסופו יבוא:</w:t>
            </w:r>
          </w:p>
        </w:tc>
      </w:tr>
      <w:tr w:rsidR="00B50239" w:rsidRPr="007929A3" w14:paraId="019A31F4" w14:textId="77777777" w:rsidTr="003C3467">
        <w:trPr>
          <w:cantSplit/>
        </w:trPr>
        <w:tc>
          <w:tcPr>
            <w:cnfStyle w:val="001000000000" w:firstRow="0" w:lastRow="0" w:firstColumn="1" w:lastColumn="0" w:oddVBand="0" w:evenVBand="0" w:oddHBand="0" w:evenHBand="0" w:firstRowFirstColumn="0" w:firstRowLastColumn="0" w:lastRowFirstColumn="0" w:lastRowLastColumn="0"/>
            <w:tcW w:w="1871" w:type="dxa"/>
          </w:tcPr>
          <w:p w14:paraId="551BC4B3" w14:textId="77777777" w:rsidR="00B50239" w:rsidRPr="003C3467" w:rsidRDefault="00B50239" w:rsidP="003C3467">
            <w:pPr>
              <w:pStyle w:val="TableSideHeading"/>
              <w:outlineLvl w:val="9"/>
              <w:rPr>
                <w:rtl/>
              </w:rPr>
            </w:pPr>
          </w:p>
        </w:tc>
        <w:tc>
          <w:tcPr>
            <w:tcW w:w="624" w:type="dxa"/>
          </w:tcPr>
          <w:p w14:paraId="2555E24B" w14:textId="77777777" w:rsidR="00B50239" w:rsidRPr="003C3467" w:rsidRDefault="00B50239" w:rsidP="003C3467">
            <w:pPr>
              <w:pStyle w:val="TableText"/>
              <w:cnfStyle w:val="000000000000" w:firstRow="0" w:lastRow="0" w:firstColumn="0" w:lastColumn="0" w:oddVBand="0" w:evenVBand="0" w:oddHBand="0" w:evenHBand="0" w:firstRowFirstColumn="0" w:firstRowLastColumn="0" w:lastRowFirstColumn="0" w:lastRowLastColumn="0"/>
            </w:pPr>
          </w:p>
        </w:tc>
        <w:tc>
          <w:tcPr>
            <w:tcW w:w="624" w:type="dxa"/>
          </w:tcPr>
          <w:p w14:paraId="6AD713DC"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624" w:type="dxa"/>
          </w:tcPr>
          <w:p w14:paraId="5821DD1A" w14:textId="77777777" w:rsidR="00B50239" w:rsidRPr="003C3467" w:rsidRDefault="00B50239" w:rsidP="003C3467">
            <w:pPr>
              <w:pStyle w:val="TableText"/>
              <w:jc w:val="both"/>
              <w:cnfStyle w:val="000000000000" w:firstRow="0" w:lastRow="0" w:firstColumn="0" w:lastColumn="0" w:oddVBand="0" w:evenVBand="0" w:oddHBand="0" w:evenHBand="0" w:firstRowFirstColumn="0" w:firstRowLastColumn="0" w:lastRowFirstColumn="0" w:lastRowLastColumn="0"/>
            </w:pPr>
          </w:p>
        </w:tc>
        <w:tc>
          <w:tcPr>
            <w:tcW w:w="5898" w:type="dxa"/>
          </w:tcPr>
          <w:p w14:paraId="262C03CA" w14:textId="77777777" w:rsidR="00B50239" w:rsidRPr="007929A3" w:rsidRDefault="00B50239" w:rsidP="003C3467">
            <w:pPr>
              <w:pStyle w:val="TableBlockOutdent"/>
              <w:cnfStyle w:val="000000000000" w:firstRow="0" w:lastRow="0" w:firstColumn="0" w:lastColumn="0" w:oddVBand="0" w:evenVBand="0" w:oddHBand="0" w:evenHBand="0" w:firstRowFirstColumn="0" w:firstRowLastColumn="0" w:lastRowFirstColumn="0" w:lastRowLastColumn="0"/>
            </w:pPr>
            <w:r>
              <w:rPr>
                <w:rFonts w:hint="cs"/>
                <w:rtl/>
              </w:rPr>
              <w:t>"</w:t>
            </w:r>
            <w:r w:rsidRPr="0046512C">
              <w:rPr>
                <w:rFonts w:hint="eastAsia"/>
                <w:rtl/>
              </w:rPr>
              <w:t>״</w:t>
            </w:r>
            <w:r w:rsidRPr="0046512C">
              <w:rPr>
                <w:rtl/>
              </w:rPr>
              <w:t xml:space="preserve">רשת חברתית" – שירות ברשת תקשורת נתונים, המאפשר למשתמש לפרסם ולשתף תכנים לציבור או לחלק ממנו ומאפשר למשתמש גישה לתכנים באמצעות מערכת חיפוש והמלצה, בין שהשרת שהוא מאוחסן בו </w:t>
            </w:r>
            <w:r>
              <w:rPr>
                <w:rFonts w:hint="cs"/>
                <w:rtl/>
              </w:rPr>
              <w:t xml:space="preserve">נמצא </w:t>
            </w:r>
            <w:r w:rsidRPr="0046512C">
              <w:rPr>
                <w:rtl/>
              </w:rPr>
              <w:t>בישראל ובין שהוא נמצא בחוץ לארץ, בין שבתמורה ובין שלא בתמורה.</w:t>
            </w:r>
            <w:r w:rsidRPr="0046512C">
              <w:rPr>
                <w:rFonts w:hint="eastAsia"/>
                <w:rtl/>
              </w:rPr>
              <w:t>״</w:t>
            </w:r>
          </w:p>
        </w:tc>
      </w:tr>
    </w:tbl>
    <w:tbl>
      <w:tblPr>
        <w:bidiVisual/>
        <w:tblW w:w="9641"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24"/>
        <w:gridCol w:w="624"/>
        <w:gridCol w:w="624"/>
        <w:gridCol w:w="4650"/>
      </w:tblGrid>
      <w:tr w:rsidR="00B50239" w14:paraId="3E94CA76" w14:textId="77777777" w:rsidTr="00086162">
        <w:tc>
          <w:tcPr>
            <w:tcW w:w="1871" w:type="dxa"/>
          </w:tcPr>
          <w:p w14:paraId="137B21C1" w14:textId="77777777" w:rsidR="00B50239" w:rsidRDefault="00B50239" w:rsidP="00086162">
            <w:pPr>
              <w:pStyle w:val="TableSideHeading"/>
              <w:rPr>
                <w:rtl/>
              </w:rPr>
            </w:pPr>
            <w:r>
              <w:rPr>
                <w:rFonts w:hint="cs"/>
                <w:rtl/>
              </w:rPr>
              <w:t>הוספת סעיף 2א2</w:t>
            </w:r>
          </w:p>
        </w:tc>
        <w:tc>
          <w:tcPr>
            <w:tcW w:w="624" w:type="dxa"/>
          </w:tcPr>
          <w:p w14:paraId="75CAA0DC" w14:textId="77777777" w:rsidR="00B50239" w:rsidRDefault="00B50239" w:rsidP="00086162">
            <w:pPr>
              <w:pStyle w:val="TableText"/>
            </w:pPr>
            <w:r>
              <w:rPr>
                <w:rFonts w:hint="cs"/>
                <w:rtl/>
              </w:rPr>
              <w:t>2.</w:t>
            </w:r>
          </w:p>
        </w:tc>
        <w:tc>
          <w:tcPr>
            <w:tcW w:w="7146" w:type="dxa"/>
            <w:gridSpan w:val="5"/>
          </w:tcPr>
          <w:p w14:paraId="798A02A7" w14:textId="77777777" w:rsidR="00B50239" w:rsidRDefault="00B50239" w:rsidP="00086162">
            <w:pPr>
              <w:pStyle w:val="TableBlockOutdent"/>
            </w:pPr>
            <w:r>
              <w:rPr>
                <w:rFonts w:hint="cs"/>
                <w:rtl/>
              </w:rPr>
              <w:t>אחרי סעיף 2א1 לחוק העיקרי יבוא:</w:t>
            </w:r>
          </w:p>
        </w:tc>
      </w:tr>
      <w:tr w:rsidR="00B50239" w14:paraId="6649051A" w14:textId="77777777" w:rsidTr="00086162">
        <w:tc>
          <w:tcPr>
            <w:tcW w:w="1871" w:type="dxa"/>
          </w:tcPr>
          <w:p w14:paraId="6D27EC34" w14:textId="77777777" w:rsidR="00B50239" w:rsidRPr="007929A3" w:rsidRDefault="00B50239" w:rsidP="00086162">
            <w:pPr>
              <w:pStyle w:val="TableBlock"/>
              <w:rPr>
                <w:rtl/>
              </w:rPr>
            </w:pPr>
          </w:p>
        </w:tc>
        <w:tc>
          <w:tcPr>
            <w:tcW w:w="624" w:type="dxa"/>
          </w:tcPr>
          <w:p w14:paraId="2F9D70D7" w14:textId="77777777" w:rsidR="00B50239" w:rsidRPr="007929A3" w:rsidRDefault="00B50239" w:rsidP="00086162">
            <w:pPr>
              <w:pStyle w:val="TableBlock"/>
            </w:pPr>
          </w:p>
        </w:tc>
        <w:tc>
          <w:tcPr>
            <w:tcW w:w="1872" w:type="dxa"/>
            <w:gridSpan w:val="3"/>
          </w:tcPr>
          <w:p w14:paraId="45FEBBF3" w14:textId="77777777" w:rsidR="00B50239" w:rsidRPr="007929A3" w:rsidRDefault="00B50239" w:rsidP="00086162">
            <w:pPr>
              <w:pStyle w:val="TableInnerSideHeading"/>
            </w:pPr>
            <w:r w:rsidRPr="007929A3">
              <w:rPr>
                <w:rtl/>
              </w:rPr>
              <w:t>״איסור על פעילות מתואמת לא אותנטית</w:t>
            </w:r>
          </w:p>
        </w:tc>
        <w:tc>
          <w:tcPr>
            <w:tcW w:w="624" w:type="dxa"/>
          </w:tcPr>
          <w:p w14:paraId="587D3CEE" w14:textId="77777777" w:rsidR="00B50239" w:rsidRPr="007929A3" w:rsidRDefault="00B50239" w:rsidP="00086162">
            <w:pPr>
              <w:pStyle w:val="TableBlock"/>
            </w:pPr>
            <w:r w:rsidRPr="007929A3">
              <w:rPr>
                <w:rtl/>
              </w:rPr>
              <w:t>2א2.</w:t>
            </w:r>
          </w:p>
        </w:tc>
        <w:tc>
          <w:tcPr>
            <w:tcW w:w="4650" w:type="dxa"/>
            <w:hideMark/>
          </w:tcPr>
          <w:p w14:paraId="579766A1" w14:textId="77777777" w:rsidR="00B50239" w:rsidRPr="007929A3" w:rsidRDefault="00B50239" w:rsidP="00086162">
            <w:pPr>
              <w:pStyle w:val="TableBlock"/>
            </w:pPr>
            <w:r w:rsidRPr="007929A3">
              <w:rPr>
                <w:rtl/>
              </w:rPr>
              <w:t>(א)</w:t>
            </w:r>
            <w:r w:rsidRPr="007929A3">
              <w:rPr>
                <w:rtl/>
              </w:rPr>
              <w:tab/>
              <w:t>לא יפרסם אדם מודעת בחירות באמצעות פעילות מתואמת לא אותנטית.</w:t>
            </w:r>
          </w:p>
        </w:tc>
      </w:tr>
      <w:tr w:rsidR="00B50239" w14:paraId="16E0D1E3" w14:textId="77777777" w:rsidTr="00086162">
        <w:tc>
          <w:tcPr>
            <w:tcW w:w="1871" w:type="dxa"/>
          </w:tcPr>
          <w:p w14:paraId="1A55B5C0" w14:textId="77777777" w:rsidR="00B50239" w:rsidRPr="007929A3" w:rsidRDefault="00B50239" w:rsidP="00086162">
            <w:pPr>
              <w:pStyle w:val="TableBlock"/>
              <w:rPr>
                <w:rtl/>
              </w:rPr>
            </w:pPr>
          </w:p>
        </w:tc>
        <w:tc>
          <w:tcPr>
            <w:tcW w:w="624" w:type="dxa"/>
          </w:tcPr>
          <w:p w14:paraId="652A5187" w14:textId="77777777" w:rsidR="00B50239" w:rsidRPr="007929A3" w:rsidRDefault="00B50239" w:rsidP="00086162">
            <w:pPr>
              <w:pStyle w:val="TableBlock"/>
            </w:pPr>
          </w:p>
        </w:tc>
        <w:tc>
          <w:tcPr>
            <w:tcW w:w="1872" w:type="dxa"/>
            <w:gridSpan w:val="3"/>
          </w:tcPr>
          <w:p w14:paraId="23868C86" w14:textId="77777777" w:rsidR="00B50239" w:rsidRPr="007929A3" w:rsidRDefault="00B50239" w:rsidP="00086162">
            <w:pPr>
              <w:pStyle w:val="TableBlock"/>
              <w:rPr>
                <w:rtl/>
              </w:rPr>
            </w:pPr>
          </w:p>
        </w:tc>
        <w:tc>
          <w:tcPr>
            <w:tcW w:w="624" w:type="dxa"/>
          </w:tcPr>
          <w:p w14:paraId="7BC9BA68" w14:textId="77777777" w:rsidR="00B50239" w:rsidRPr="007929A3" w:rsidRDefault="00B50239" w:rsidP="00086162">
            <w:pPr>
              <w:pStyle w:val="TableBlock"/>
              <w:rPr>
                <w:rtl/>
              </w:rPr>
            </w:pPr>
          </w:p>
        </w:tc>
        <w:tc>
          <w:tcPr>
            <w:tcW w:w="4650" w:type="dxa"/>
          </w:tcPr>
          <w:p w14:paraId="05011DCC" w14:textId="77777777" w:rsidR="00B50239" w:rsidRPr="007929A3" w:rsidRDefault="00B50239" w:rsidP="00086162">
            <w:pPr>
              <w:pStyle w:val="TableBlock"/>
              <w:rPr>
                <w:rtl/>
              </w:rPr>
            </w:pPr>
            <w:r w:rsidRPr="007929A3">
              <w:rPr>
                <w:rtl/>
              </w:rPr>
              <w:t>(ב)</w:t>
            </w:r>
            <w:r w:rsidRPr="007929A3">
              <w:rPr>
                <w:rtl/>
              </w:rPr>
              <w:tab/>
              <w:t>בסעיף זה –</w:t>
            </w:r>
          </w:p>
        </w:tc>
      </w:tr>
      <w:tr w:rsidR="00B50239" w14:paraId="2BD8BFDE" w14:textId="77777777" w:rsidTr="00086162">
        <w:tblPrEx>
          <w:tblLook w:val="01E0" w:firstRow="1" w:lastRow="1" w:firstColumn="1" w:lastColumn="1" w:noHBand="0" w:noVBand="0"/>
        </w:tblPrEx>
        <w:trPr>
          <w:cantSplit/>
          <w:trHeight w:val="60"/>
        </w:trPr>
        <w:tc>
          <w:tcPr>
            <w:tcW w:w="1871" w:type="dxa"/>
          </w:tcPr>
          <w:p w14:paraId="49E09C79" w14:textId="77777777" w:rsidR="00B50239" w:rsidRDefault="00B50239" w:rsidP="00086162">
            <w:pPr>
              <w:pStyle w:val="TableSideHeading"/>
            </w:pPr>
          </w:p>
        </w:tc>
        <w:tc>
          <w:tcPr>
            <w:tcW w:w="624" w:type="dxa"/>
          </w:tcPr>
          <w:p w14:paraId="48DFB1D6" w14:textId="77777777" w:rsidR="00B50239" w:rsidRDefault="00B50239" w:rsidP="00086162">
            <w:pPr>
              <w:pStyle w:val="TableText"/>
            </w:pPr>
          </w:p>
        </w:tc>
        <w:tc>
          <w:tcPr>
            <w:tcW w:w="624" w:type="dxa"/>
          </w:tcPr>
          <w:p w14:paraId="48B63D74" w14:textId="77777777" w:rsidR="00B50239" w:rsidRDefault="00B50239" w:rsidP="00086162">
            <w:pPr>
              <w:pStyle w:val="TableText"/>
            </w:pPr>
          </w:p>
        </w:tc>
        <w:tc>
          <w:tcPr>
            <w:tcW w:w="624" w:type="dxa"/>
          </w:tcPr>
          <w:p w14:paraId="12605566" w14:textId="77777777" w:rsidR="00B50239" w:rsidRDefault="00B50239" w:rsidP="00086162">
            <w:pPr>
              <w:pStyle w:val="TableText"/>
            </w:pPr>
          </w:p>
        </w:tc>
        <w:tc>
          <w:tcPr>
            <w:tcW w:w="624" w:type="dxa"/>
          </w:tcPr>
          <w:p w14:paraId="14B8DDC2" w14:textId="77777777" w:rsidR="00B50239" w:rsidRDefault="00B50239" w:rsidP="00086162">
            <w:pPr>
              <w:pStyle w:val="TableText"/>
            </w:pPr>
          </w:p>
        </w:tc>
        <w:tc>
          <w:tcPr>
            <w:tcW w:w="624" w:type="dxa"/>
          </w:tcPr>
          <w:p w14:paraId="13201BB1" w14:textId="77777777" w:rsidR="00B50239" w:rsidRDefault="00B50239" w:rsidP="00086162">
            <w:pPr>
              <w:pStyle w:val="TableText"/>
            </w:pPr>
          </w:p>
        </w:tc>
        <w:tc>
          <w:tcPr>
            <w:tcW w:w="4650" w:type="dxa"/>
          </w:tcPr>
          <w:p w14:paraId="51D32254" w14:textId="77777777" w:rsidR="00B50239" w:rsidRDefault="00B50239" w:rsidP="00086162">
            <w:pPr>
              <w:pStyle w:val="TableBlock"/>
            </w:pPr>
            <w:r>
              <w:rPr>
                <w:rFonts w:hint="cs"/>
                <w:rtl/>
              </w:rPr>
              <w:t xml:space="preserve">"מודעת בחירות" </w:t>
            </w:r>
            <w:r>
              <w:rPr>
                <w:rFonts w:hint="eastAsia"/>
                <w:rtl/>
              </w:rPr>
              <w:t>–</w:t>
            </w:r>
            <w:r>
              <w:rPr>
                <w:rFonts w:hint="cs"/>
                <w:rtl/>
              </w:rPr>
              <w:t xml:space="preserve"> כהגדרתה בסעיף 2א1;</w:t>
            </w:r>
          </w:p>
        </w:tc>
      </w:tr>
      <w:tr w:rsidR="00B50239" w14:paraId="77F423F5" w14:textId="77777777" w:rsidTr="00086162">
        <w:tc>
          <w:tcPr>
            <w:tcW w:w="1871" w:type="dxa"/>
          </w:tcPr>
          <w:p w14:paraId="354568D6" w14:textId="77777777" w:rsidR="00B50239" w:rsidRPr="007929A3" w:rsidRDefault="00B50239" w:rsidP="00086162">
            <w:pPr>
              <w:pStyle w:val="TableBlock"/>
              <w:rPr>
                <w:rtl/>
              </w:rPr>
            </w:pPr>
          </w:p>
        </w:tc>
        <w:tc>
          <w:tcPr>
            <w:tcW w:w="624" w:type="dxa"/>
          </w:tcPr>
          <w:p w14:paraId="42D3B4A1" w14:textId="77777777" w:rsidR="00B50239" w:rsidRPr="007929A3" w:rsidRDefault="00B50239" w:rsidP="00086162">
            <w:pPr>
              <w:pStyle w:val="TableBlock"/>
            </w:pPr>
          </w:p>
        </w:tc>
        <w:tc>
          <w:tcPr>
            <w:tcW w:w="624" w:type="dxa"/>
          </w:tcPr>
          <w:p w14:paraId="4EC56AFD" w14:textId="77777777" w:rsidR="00B50239" w:rsidRPr="007929A3" w:rsidRDefault="00B50239" w:rsidP="00086162">
            <w:pPr>
              <w:pStyle w:val="TableBlock"/>
              <w:rPr>
                <w:rtl/>
              </w:rPr>
            </w:pPr>
          </w:p>
        </w:tc>
        <w:tc>
          <w:tcPr>
            <w:tcW w:w="624" w:type="dxa"/>
          </w:tcPr>
          <w:p w14:paraId="06A65856" w14:textId="77777777" w:rsidR="00B50239" w:rsidRPr="007929A3" w:rsidRDefault="00B50239" w:rsidP="00086162">
            <w:pPr>
              <w:pStyle w:val="TableBlock"/>
              <w:rPr>
                <w:rtl/>
              </w:rPr>
            </w:pPr>
          </w:p>
        </w:tc>
        <w:tc>
          <w:tcPr>
            <w:tcW w:w="624" w:type="dxa"/>
          </w:tcPr>
          <w:p w14:paraId="3697885A" w14:textId="77777777" w:rsidR="00B50239" w:rsidRPr="007929A3" w:rsidRDefault="00B50239" w:rsidP="00086162">
            <w:pPr>
              <w:pStyle w:val="TableBlock"/>
              <w:rPr>
                <w:rtl/>
              </w:rPr>
            </w:pPr>
          </w:p>
        </w:tc>
        <w:tc>
          <w:tcPr>
            <w:tcW w:w="624" w:type="dxa"/>
          </w:tcPr>
          <w:p w14:paraId="6E56A581" w14:textId="77777777" w:rsidR="00B50239" w:rsidRPr="007929A3" w:rsidRDefault="00B50239" w:rsidP="00086162">
            <w:pPr>
              <w:pStyle w:val="TableBlock"/>
              <w:rPr>
                <w:rtl/>
              </w:rPr>
            </w:pPr>
          </w:p>
        </w:tc>
        <w:tc>
          <w:tcPr>
            <w:tcW w:w="4650" w:type="dxa"/>
          </w:tcPr>
          <w:p w14:paraId="0D184AA4" w14:textId="77777777" w:rsidR="00B50239" w:rsidRPr="007929A3" w:rsidRDefault="00B50239" w:rsidP="00086162">
            <w:pPr>
              <w:pStyle w:val="TableBlockOutdent"/>
              <w:rPr>
                <w:rtl/>
              </w:rPr>
            </w:pPr>
            <w:r w:rsidRPr="00A705BB">
              <w:rPr>
                <w:rtl/>
              </w:rPr>
              <w:t xml:space="preserve">"פעילות מתואמת לא אותנטית" – פעילות מתואמת בין שני חשבונות לפחות ברשת חברתית, הגורמת </w:t>
            </w:r>
            <w:r w:rsidRPr="00A705BB">
              <w:rPr>
                <w:rFonts w:hint="eastAsia"/>
                <w:rtl/>
              </w:rPr>
              <w:t>או</w:t>
            </w:r>
            <w:r w:rsidRPr="00A705BB">
              <w:rPr>
                <w:rtl/>
              </w:rPr>
              <w:t xml:space="preserve"> העלולה לגרום להגברת ההפצה של תוכן ברשת החברתית ואשר נעשית תוך הסתרה, לרבות בדרך של התחזות, לגבי זהות המפרסם, מיקומו, מטרת המפרסם או מהותו של החשבון;  לעניין זה, אין נפקא מינה אם החשבונות אמיתיים או מזויפי</w:t>
            </w:r>
            <w:r w:rsidRPr="00A705BB">
              <w:rPr>
                <w:rFonts w:hint="eastAsia"/>
                <w:rtl/>
              </w:rPr>
              <w:t>ם</w:t>
            </w:r>
            <w:r w:rsidRPr="00A705BB">
              <w:rPr>
                <w:rtl/>
              </w:rPr>
              <w:t>, ואם הפעילות נעשתה בידי אדם או באופן אוטומטי;</w:t>
            </w:r>
          </w:p>
        </w:tc>
      </w:tr>
      <w:tr w:rsidR="00B50239" w14:paraId="1EFD1F32" w14:textId="77777777" w:rsidTr="00086162">
        <w:tc>
          <w:tcPr>
            <w:tcW w:w="1871" w:type="dxa"/>
          </w:tcPr>
          <w:p w14:paraId="6C14588D" w14:textId="77777777" w:rsidR="00B50239" w:rsidRPr="007929A3" w:rsidRDefault="00B50239" w:rsidP="00086162">
            <w:pPr>
              <w:pStyle w:val="TableBlock"/>
              <w:rPr>
                <w:rtl/>
              </w:rPr>
            </w:pPr>
          </w:p>
        </w:tc>
        <w:tc>
          <w:tcPr>
            <w:tcW w:w="624" w:type="dxa"/>
          </w:tcPr>
          <w:p w14:paraId="6395FE73" w14:textId="77777777" w:rsidR="00B50239" w:rsidRPr="007929A3" w:rsidRDefault="00B50239" w:rsidP="00086162">
            <w:pPr>
              <w:pStyle w:val="TableBlock"/>
            </w:pPr>
          </w:p>
        </w:tc>
        <w:tc>
          <w:tcPr>
            <w:tcW w:w="624" w:type="dxa"/>
          </w:tcPr>
          <w:p w14:paraId="0C4F6AE8" w14:textId="77777777" w:rsidR="00B50239" w:rsidRPr="007929A3" w:rsidRDefault="00B50239" w:rsidP="00086162">
            <w:pPr>
              <w:pStyle w:val="TableBlock"/>
            </w:pPr>
          </w:p>
        </w:tc>
        <w:tc>
          <w:tcPr>
            <w:tcW w:w="624" w:type="dxa"/>
          </w:tcPr>
          <w:p w14:paraId="5DC4F3B0" w14:textId="77777777" w:rsidR="00B50239" w:rsidRPr="007929A3" w:rsidRDefault="00B50239" w:rsidP="00086162">
            <w:pPr>
              <w:pStyle w:val="TableBlock"/>
            </w:pPr>
          </w:p>
        </w:tc>
        <w:tc>
          <w:tcPr>
            <w:tcW w:w="624" w:type="dxa"/>
          </w:tcPr>
          <w:p w14:paraId="67C5839F" w14:textId="77777777" w:rsidR="00B50239" w:rsidRPr="007929A3" w:rsidRDefault="00B50239" w:rsidP="00086162">
            <w:pPr>
              <w:pStyle w:val="TableBlock"/>
            </w:pPr>
          </w:p>
        </w:tc>
        <w:tc>
          <w:tcPr>
            <w:tcW w:w="624" w:type="dxa"/>
          </w:tcPr>
          <w:p w14:paraId="1F575F0E" w14:textId="77777777" w:rsidR="00B50239" w:rsidRPr="007929A3" w:rsidRDefault="00B50239" w:rsidP="00086162">
            <w:pPr>
              <w:pStyle w:val="TableBlock"/>
            </w:pPr>
          </w:p>
        </w:tc>
        <w:tc>
          <w:tcPr>
            <w:tcW w:w="4650" w:type="dxa"/>
          </w:tcPr>
          <w:p w14:paraId="75E64BF6" w14:textId="77777777" w:rsidR="00B50239" w:rsidRPr="007929A3" w:rsidRDefault="00B50239" w:rsidP="00086162">
            <w:pPr>
              <w:pStyle w:val="TableBlockOutdent"/>
            </w:pPr>
            <w:r w:rsidRPr="007929A3">
              <w:rPr>
                <w:rtl/>
              </w:rPr>
              <w:t xml:space="preserve">"רשת חברתית" – </w:t>
            </w:r>
            <w:r>
              <w:rPr>
                <w:rFonts w:hint="cs"/>
                <w:rtl/>
              </w:rPr>
              <w:t>כהגדרתה בסעיף 2א1</w:t>
            </w:r>
            <w:r w:rsidRPr="007929A3">
              <w:rPr>
                <w:rtl/>
              </w:rPr>
              <w:t>.</w:t>
            </w:r>
            <w:r>
              <w:rPr>
                <w:rFonts w:hint="cs"/>
                <w:rtl/>
              </w:rPr>
              <w:t>״</w:t>
            </w:r>
          </w:p>
        </w:tc>
      </w:tr>
      <w:tr w:rsidR="00B50239" w14:paraId="13B636E8" w14:textId="77777777" w:rsidTr="00086162">
        <w:tc>
          <w:tcPr>
            <w:tcW w:w="1871" w:type="dxa"/>
          </w:tcPr>
          <w:p w14:paraId="6FA27A55" w14:textId="77777777" w:rsidR="00B50239" w:rsidRPr="007929A3" w:rsidRDefault="00B50239" w:rsidP="00086162">
            <w:pPr>
              <w:pStyle w:val="TableBlock"/>
              <w:rPr>
                <w:rtl/>
              </w:rPr>
            </w:pPr>
          </w:p>
        </w:tc>
        <w:tc>
          <w:tcPr>
            <w:tcW w:w="624" w:type="dxa"/>
          </w:tcPr>
          <w:p w14:paraId="473BFF6C" w14:textId="77777777" w:rsidR="00B50239" w:rsidRPr="007929A3" w:rsidRDefault="00B50239" w:rsidP="00086162">
            <w:pPr>
              <w:pStyle w:val="TableBlock"/>
            </w:pPr>
          </w:p>
        </w:tc>
        <w:tc>
          <w:tcPr>
            <w:tcW w:w="624" w:type="dxa"/>
          </w:tcPr>
          <w:p w14:paraId="63C2A57A" w14:textId="77777777" w:rsidR="00B50239" w:rsidRPr="007929A3" w:rsidRDefault="00B50239" w:rsidP="00086162">
            <w:pPr>
              <w:pStyle w:val="TableBlock"/>
            </w:pPr>
          </w:p>
        </w:tc>
        <w:tc>
          <w:tcPr>
            <w:tcW w:w="624" w:type="dxa"/>
          </w:tcPr>
          <w:p w14:paraId="3D5331F5" w14:textId="77777777" w:rsidR="00B50239" w:rsidRPr="007929A3" w:rsidRDefault="00B50239" w:rsidP="00086162">
            <w:pPr>
              <w:pStyle w:val="TableBlock"/>
            </w:pPr>
          </w:p>
        </w:tc>
        <w:tc>
          <w:tcPr>
            <w:tcW w:w="624" w:type="dxa"/>
          </w:tcPr>
          <w:p w14:paraId="3BB0486A" w14:textId="77777777" w:rsidR="00B50239" w:rsidRPr="007929A3" w:rsidRDefault="00B50239" w:rsidP="00086162">
            <w:pPr>
              <w:pStyle w:val="TableBlock"/>
            </w:pPr>
          </w:p>
        </w:tc>
        <w:tc>
          <w:tcPr>
            <w:tcW w:w="624" w:type="dxa"/>
          </w:tcPr>
          <w:p w14:paraId="74D6DE20" w14:textId="77777777" w:rsidR="00B50239" w:rsidRPr="007929A3" w:rsidRDefault="00B50239" w:rsidP="00086162">
            <w:pPr>
              <w:pStyle w:val="TableBlock"/>
            </w:pPr>
          </w:p>
        </w:tc>
        <w:tc>
          <w:tcPr>
            <w:tcW w:w="4650" w:type="dxa"/>
          </w:tcPr>
          <w:p w14:paraId="721466BC" w14:textId="3AB84694" w:rsidR="00B50239" w:rsidRPr="00EB6486" w:rsidRDefault="00B50239" w:rsidP="00743D05">
            <w:pPr>
              <w:pStyle w:val="TableBlockOutdent"/>
              <w:ind w:left="0" w:firstLine="0"/>
              <w:rPr>
                <w:rtl/>
              </w:rPr>
            </w:pPr>
            <w:r w:rsidRPr="00EB6486">
              <w:rPr>
                <w:rtl/>
              </w:rPr>
              <w:t>(ג)</w:t>
            </w:r>
            <w:r>
              <w:rPr>
                <w:rtl/>
              </w:rPr>
              <w:tab/>
            </w:r>
            <w:r w:rsidRPr="00EB6486">
              <w:rPr>
                <w:rtl/>
              </w:rPr>
              <w:t>סעיף זה יחול גם על תעמולה בבחירות מקדימות, בשינו</w:t>
            </w:r>
            <w:r w:rsidR="00743D05">
              <w:rPr>
                <w:rtl/>
              </w:rPr>
              <w:t>י זה: ב</w:t>
            </w:r>
            <w:r w:rsidRPr="00EB6486">
              <w:rPr>
                <w:rtl/>
              </w:rPr>
              <w:t>הגדרה "מודעת בחירות", ב</w:t>
            </w:r>
            <w:r w:rsidR="00743D05">
              <w:rPr>
                <w:rFonts w:hint="cs"/>
                <w:rtl/>
              </w:rPr>
              <w:t>פסקה (1), ב</w:t>
            </w:r>
            <w:r w:rsidRPr="00EB6486">
              <w:rPr>
                <w:rtl/>
              </w:rPr>
              <w:t>מקום "מתמודד בבחירות, גוף הקשור לסיעה או גוף פעיל בבחירות או מי מטעמם" יקראו "מועמד בבחירות מקדימות או מטעמו</w:t>
            </w:r>
            <w:r>
              <w:rPr>
                <w:rtl/>
              </w:rPr>
              <w:t>"</w:t>
            </w:r>
            <w:r w:rsidR="00743D05">
              <w:rPr>
                <w:rFonts w:hint="cs"/>
                <w:rtl/>
              </w:rPr>
              <w:t>.</w:t>
            </w:r>
          </w:p>
        </w:tc>
      </w:tr>
      <w:tr w:rsidR="00B50239" w14:paraId="5EC77FB0" w14:textId="77777777" w:rsidTr="00086162">
        <w:tc>
          <w:tcPr>
            <w:tcW w:w="1871" w:type="dxa"/>
          </w:tcPr>
          <w:p w14:paraId="50651874" w14:textId="77777777" w:rsidR="00B50239" w:rsidRPr="007929A3" w:rsidRDefault="00B50239" w:rsidP="00086162">
            <w:pPr>
              <w:pStyle w:val="TableBlock"/>
              <w:rPr>
                <w:rtl/>
              </w:rPr>
            </w:pPr>
            <w:r w:rsidRPr="00D05502">
              <w:rPr>
                <w:rtl/>
              </w:rPr>
              <w:t>תיקון סעיף 17</w:t>
            </w:r>
          </w:p>
        </w:tc>
        <w:tc>
          <w:tcPr>
            <w:tcW w:w="624" w:type="dxa"/>
          </w:tcPr>
          <w:p w14:paraId="5168007E" w14:textId="77777777" w:rsidR="00B50239" w:rsidRPr="007929A3" w:rsidRDefault="00B50239" w:rsidP="00086162">
            <w:pPr>
              <w:pStyle w:val="TableBlock"/>
            </w:pPr>
            <w:r>
              <w:rPr>
                <w:rFonts w:hint="cs"/>
                <w:rtl/>
              </w:rPr>
              <w:t>3.</w:t>
            </w:r>
          </w:p>
        </w:tc>
        <w:tc>
          <w:tcPr>
            <w:tcW w:w="7146" w:type="dxa"/>
            <w:gridSpan w:val="5"/>
          </w:tcPr>
          <w:p w14:paraId="1DE7C043" w14:textId="77777777" w:rsidR="00B50239" w:rsidRPr="00CE3C02" w:rsidRDefault="00B50239" w:rsidP="00086162">
            <w:pPr>
              <w:pStyle w:val="TableBlock"/>
              <w:rPr>
                <w:rtl/>
              </w:rPr>
            </w:pPr>
            <w:r w:rsidRPr="00CE3C02">
              <w:rPr>
                <w:rtl/>
              </w:rPr>
              <w:t>בסעיף 17 לחוק העיקרי</w:t>
            </w:r>
            <w:r>
              <w:rPr>
                <w:rFonts w:hint="cs"/>
                <w:rtl/>
              </w:rPr>
              <w:t>,</w:t>
            </w:r>
            <w:r w:rsidRPr="00CE3C02">
              <w:rPr>
                <w:rtl/>
              </w:rPr>
              <w:t xml:space="preserve"> במקום ״ששה חדשים או״ יבוא ״שמונה עשר חודשים או שלוש פעמים״.</w:t>
            </w:r>
          </w:p>
        </w:tc>
      </w:tr>
      <w:tr w:rsidR="00B50239" w14:paraId="2526258E" w14:textId="77777777" w:rsidTr="00086162">
        <w:tc>
          <w:tcPr>
            <w:tcW w:w="1871" w:type="dxa"/>
          </w:tcPr>
          <w:p w14:paraId="267A695E" w14:textId="77777777" w:rsidR="00B50239" w:rsidRDefault="00B50239" w:rsidP="00086162">
            <w:pPr>
              <w:pStyle w:val="TableBlock"/>
              <w:rPr>
                <w:rtl/>
              </w:rPr>
            </w:pPr>
            <w:r>
              <w:rPr>
                <w:rFonts w:hint="cs"/>
                <w:rtl/>
              </w:rPr>
              <w:t>תיקון סעיף 17ב</w:t>
            </w:r>
          </w:p>
        </w:tc>
        <w:tc>
          <w:tcPr>
            <w:tcW w:w="624" w:type="dxa"/>
          </w:tcPr>
          <w:p w14:paraId="4128FA3D" w14:textId="77777777" w:rsidR="00B50239" w:rsidRDefault="00B50239" w:rsidP="00086162">
            <w:pPr>
              <w:pStyle w:val="TableText"/>
            </w:pPr>
            <w:r>
              <w:rPr>
                <w:rFonts w:hint="cs"/>
                <w:rtl/>
              </w:rPr>
              <w:t>4.</w:t>
            </w:r>
          </w:p>
        </w:tc>
        <w:tc>
          <w:tcPr>
            <w:tcW w:w="7146" w:type="dxa"/>
            <w:gridSpan w:val="5"/>
          </w:tcPr>
          <w:p w14:paraId="5C14CDC0" w14:textId="77777777" w:rsidR="00B50239" w:rsidRPr="00D05502" w:rsidRDefault="00B50239" w:rsidP="00086162">
            <w:pPr>
              <w:pStyle w:val="TableBlock"/>
            </w:pPr>
            <w:r>
              <w:rPr>
                <w:rFonts w:hint="cs"/>
                <w:rtl/>
              </w:rPr>
              <w:t>בסעיף 17ב לחוק העיקרי, אחרי סעיף קטן (א) יבוא:</w:t>
            </w:r>
          </w:p>
        </w:tc>
      </w:tr>
      <w:tr w:rsidR="00B50239" w14:paraId="4964ADE3" w14:textId="77777777" w:rsidTr="00086162">
        <w:tc>
          <w:tcPr>
            <w:tcW w:w="1871" w:type="dxa"/>
          </w:tcPr>
          <w:p w14:paraId="437B7427" w14:textId="77777777" w:rsidR="00B50239" w:rsidRDefault="00B50239" w:rsidP="00086162">
            <w:pPr>
              <w:pStyle w:val="TableBlock"/>
              <w:rPr>
                <w:rtl/>
              </w:rPr>
            </w:pPr>
          </w:p>
        </w:tc>
        <w:tc>
          <w:tcPr>
            <w:tcW w:w="624" w:type="dxa"/>
          </w:tcPr>
          <w:p w14:paraId="7223E584" w14:textId="77777777" w:rsidR="00B50239" w:rsidRDefault="00B50239" w:rsidP="00086162">
            <w:pPr>
              <w:pStyle w:val="TableText"/>
            </w:pPr>
          </w:p>
        </w:tc>
        <w:tc>
          <w:tcPr>
            <w:tcW w:w="7146" w:type="dxa"/>
            <w:gridSpan w:val="5"/>
          </w:tcPr>
          <w:p w14:paraId="6628E1A0" w14:textId="77777777" w:rsidR="00B50239" w:rsidRPr="00076F98" w:rsidRDefault="00B50239" w:rsidP="00086162">
            <w:pPr>
              <w:pStyle w:val="TableBlock"/>
            </w:pPr>
            <w:r w:rsidRPr="00076F98">
              <w:rPr>
                <w:rFonts w:hint="cs"/>
                <w:rtl/>
              </w:rPr>
              <w:t>״</w:t>
            </w:r>
            <w:r w:rsidRPr="00076F98">
              <w:rPr>
                <w:rtl/>
              </w:rPr>
              <w:t>(א1)</w:t>
            </w:r>
            <w:r w:rsidRPr="00076F98">
              <w:rPr>
                <w:rtl/>
              </w:rPr>
              <w:tab/>
              <w:t>על אף האמור בסעיף קטן (א), סבר יושב</w:t>
            </w:r>
            <w:r w:rsidRPr="00076F98">
              <w:rPr>
                <w:rFonts w:hint="cs"/>
                <w:rtl/>
              </w:rPr>
              <w:t xml:space="preserve"> </w:t>
            </w:r>
            <w:r w:rsidRPr="00076F98">
              <w:rPr>
                <w:rtl/>
              </w:rPr>
              <w:t xml:space="preserve">ראש ועדת הבחירות המרכזית לכנסת כי </w:t>
            </w:r>
            <w:r>
              <w:rPr>
                <w:rFonts w:hint="cs"/>
                <w:rtl/>
              </w:rPr>
              <w:t xml:space="preserve">מתן הזדמנות לטעון טענות כאמור בסעיף קטן (א) </w:t>
            </w:r>
            <w:r w:rsidRPr="00076F98">
              <w:rPr>
                <w:rtl/>
              </w:rPr>
              <w:t>עלול לגרום נזק חמור שאינו בר-תיקון</w:t>
            </w:r>
            <w:r>
              <w:rPr>
                <w:rFonts w:hint="cs"/>
                <w:rtl/>
              </w:rPr>
              <w:t xml:space="preserve"> ויש צורך בהוצאתו באופן מיידי</w:t>
            </w:r>
            <w:r w:rsidRPr="00076F98">
              <w:rPr>
                <w:rtl/>
              </w:rPr>
              <w:t>, רשאי הוא להורות על צו ארעי להסרה מיידית של פרסום שנעשה בניגוד להוראות סעיף 2א1</w:t>
            </w:r>
            <w:r>
              <w:rPr>
                <w:rFonts w:hint="cs"/>
                <w:rtl/>
              </w:rPr>
              <w:t xml:space="preserve"> </w:t>
            </w:r>
            <w:r w:rsidRPr="00076F98">
              <w:rPr>
                <w:rtl/>
              </w:rPr>
              <w:t>או 2א2</w:t>
            </w:r>
            <w:r w:rsidRPr="00076F98">
              <w:rPr>
                <w:rFonts w:hint="cs"/>
                <w:rtl/>
              </w:rPr>
              <w:t>,</w:t>
            </w:r>
            <w:r w:rsidRPr="00076F98">
              <w:rPr>
                <w:rtl/>
              </w:rPr>
              <w:t xml:space="preserve"> ו</w:t>
            </w:r>
            <w:r w:rsidRPr="00076F98">
              <w:rPr>
                <w:rFonts w:hint="cs"/>
                <w:rtl/>
              </w:rPr>
              <w:t>יי</w:t>
            </w:r>
            <w:r w:rsidRPr="00076F98">
              <w:rPr>
                <w:rtl/>
              </w:rPr>
              <w:t>תן הזדמנות לנוגע בדבר להביא טענותיו לפניו בהקדם האפשרי ולא יאוחר מ</w:t>
            </w:r>
            <w:r w:rsidRPr="00076F98">
              <w:rPr>
                <w:rFonts w:hint="cs"/>
                <w:rtl/>
              </w:rPr>
              <w:t>-24</w:t>
            </w:r>
            <w:r w:rsidRPr="00076F98">
              <w:rPr>
                <w:rtl/>
              </w:rPr>
              <w:t xml:space="preserve"> שעות לאחר מתן הצו.</w:t>
            </w:r>
            <w:r w:rsidRPr="00076F98">
              <w:rPr>
                <w:rFonts w:hint="cs"/>
                <w:rtl/>
              </w:rPr>
              <w:t>״</w:t>
            </w:r>
          </w:p>
        </w:tc>
      </w:tr>
    </w:tbl>
    <w:p w14:paraId="366FB37C" w14:textId="77777777" w:rsidR="00B50239" w:rsidRDefault="00B50239" w:rsidP="00B50239">
      <w:pPr>
        <w:pStyle w:val="HeadDivreiHesber"/>
        <w:jc w:val="both"/>
        <w:rPr>
          <w:rtl/>
        </w:rPr>
      </w:pPr>
    </w:p>
    <w:p w14:paraId="7645639A" w14:textId="77777777" w:rsidR="00B50239" w:rsidRDefault="00B50239" w:rsidP="00B50239">
      <w:pPr>
        <w:pStyle w:val="HeadDivreiHesber"/>
        <w:rPr>
          <w:rtl/>
        </w:rPr>
      </w:pPr>
      <w:r w:rsidRPr="0027450A">
        <w:rPr>
          <w:rFonts w:hint="cs"/>
          <w:rtl/>
        </w:rPr>
        <w:t>דברי הסבר</w:t>
      </w:r>
    </w:p>
    <w:p w14:paraId="5F0AF6B1" w14:textId="77777777" w:rsidR="00B50239" w:rsidRPr="00156587" w:rsidRDefault="00B50239" w:rsidP="003C3467">
      <w:pPr>
        <w:pStyle w:val="Hesber"/>
        <w:spacing w:line="240" w:lineRule="auto"/>
        <w:rPr>
          <w:rtl/>
        </w:rPr>
      </w:pPr>
      <w:r w:rsidRPr="00156587">
        <w:rPr>
          <w:rtl/>
        </w:rPr>
        <w:t xml:space="preserve">הצעת חוק זו נועדה להתאים את חוק הבחירות (דרכי תעמולה), התשי"ט–1959 (להלן – </w:t>
      </w:r>
      <w:r w:rsidRPr="00156587">
        <w:rPr>
          <w:rFonts w:hint="cs"/>
          <w:rtl/>
        </w:rPr>
        <w:t>ה</w:t>
      </w:r>
      <w:r w:rsidRPr="00156587">
        <w:rPr>
          <w:rtl/>
        </w:rPr>
        <w:t>חוק), להתפתחויות המשמעותיות שחלו בשנים האחרונות בדרכי התעמולה הפוליטית, ובפרט לשינויים המואצים שחוללו הרשתות החברתיות וכלים מבוססי בינה מלאכותית בזירת הבחירות הדמוקרטית.</w:t>
      </w:r>
    </w:p>
    <w:p w14:paraId="42A6C5EF" w14:textId="71AE3865" w:rsidR="00B50239" w:rsidRPr="00156587" w:rsidRDefault="00B50239" w:rsidP="003C3467">
      <w:pPr>
        <w:pStyle w:val="Hesber"/>
        <w:spacing w:line="240" w:lineRule="auto"/>
        <w:rPr>
          <w:rtl/>
        </w:rPr>
      </w:pPr>
      <w:r w:rsidRPr="00156587">
        <w:rPr>
          <w:rtl/>
        </w:rPr>
        <w:t>אין מחלוקת בדבר תרומתו של המרחב הדיגיטלי להליך הפוליטי: הוא הרחיב את הנגישות למידע, פתח</w:t>
      </w:r>
      <w:r w:rsidR="00743D05">
        <w:rPr>
          <w:rtl/>
        </w:rPr>
        <w:t xml:space="preserve"> אפשרויות חדשות להשתתפות אזרחית</w:t>
      </w:r>
      <w:r w:rsidRPr="00156587">
        <w:rPr>
          <w:rtl/>
        </w:rPr>
        <w:t xml:space="preserve"> וחיזק את הקשר הישיר בין מתמודדים לבין ציבור הבוחרים. עם זאת, לצד יתרונות אלו הולכים ומתרבים גם סיכונים משמעותיים הנוגעים להוגנות הבחירות וליכולתם של אזרחים לממש את זכותם לבחור בחירה חופשית ואוטונומית.</w:t>
      </w:r>
    </w:p>
    <w:p w14:paraId="13042F4E" w14:textId="39E362E9" w:rsidR="00B50239" w:rsidRPr="00156587" w:rsidRDefault="00B50239" w:rsidP="003C3467">
      <w:pPr>
        <w:pStyle w:val="Hesber"/>
        <w:spacing w:line="240" w:lineRule="auto"/>
        <w:rPr>
          <w:rtl/>
        </w:rPr>
      </w:pPr>
      <w:r w:rsidRPr="00156587">
        <w:rPr>
          <w:rtl/>
        </w:rPr>
        <w:t>בשנים האחרונות מתפתחות תופעות חדשות של מניפולציה דיגיטלית, ובהן פעילות מתואמת ולא אותנטית ברשתות חברתיות, שמטרתה ליצור תפוצה מלאכותית של מסרים פוליטיים תוך הסתרת זהותם או מקורם, וכן הפצה של תעמולה שנוצרה או שונתה באופן מהותי באמצעות מערכות בינה מלאכותית, באופן העלול להטעות את הציבור באשר לאותנטיות התוכן. תופעות אלה מערערות את עקרון השקיפ</w:t>
      </w:r>
      <w:r w:rsidR="00743D05">
        <w:rPr>
          <w:rtl/>
        </w:rPr>
        <w:t>ות בבחירות, פוגעות באמון הציבור</w:t>
      </w:r>
      <w:r w:rsidRPr="00156587">
        <w:rPr>
          <w:rtl/>
        </w:rPr>
        <w:t xml:space="preserve"> ועלולות להביא להשפעה בלתי הוגנת על תהליכי הבחירה.</w:t>
      </w:r>
    </w:p>
    <w:p w14:paraId="22976FC5" w14:textId="335FB89D" w:rsidR="00B50239" w:rsidRPr="00156587" w:rsidRDefault="00B50239" w:rsidP="003C3467">
      <w:pPr>
        <w:pStyle w:val="Hesber"/>
        <w:spacing w:line="240" w:lineRule="auto"/>
        <w:rPr>
          <w:rtl/>
        </w:rPr>
      </w:pPr>
      <w:r w:rsidRPr="00156587">
        <w:rPr>
          <w:rtl/>
        </w:rPr>
        <w:t xml:space="preserve">הצעת החוק </w:t>
      </w:r>
      <w:r w:rsidR="003C3467">
        <w:rPr>
          <w:rFonts w:hint="cs"/>
          <w:rtl/>
        </w:rPr>
        <w:t>נועדה</w:t>
      </w:r>
      <w:r w:rsidRPr="00156587">
        <w:rPr>
          <w:rtl/>
        </w:rPr>
        <w:t xml:space="preserve"> לתת מענה ממוקד לאתגרים אלה באמצעות חיזוק חובות השקיפות והאחריות של מפרסמי תעמולת בחירות, תוך שמירה על עקרון יסוד שלפיו אין מדובר בהתערבות בתוכן המסר הפוליטי, אלא בהסדרה של אופן הפצתו וזיהויו, כדי להבטיח הליך בחירות הוגן ושוויוני.</w:t>
      </w:r>
    </w:p>
    <w:p w14:paraId="26A7A765" w14:textId="552BAE52" w:rsidR="00B50239" w:rsidRPr="00156587" w:rsidRDefault="00B50239" w:rsidP="003C3467">
      <w:pPr>
        <w:pStyle w:val="Hesber"/>
        <w:spacing w:line="240" w:lineRule="auto"/>
        <w:rPr>
          <w:rtl/>
        </w:rPr>
      </w:pPr>
      <w:r>
        <w:rPr>
          <w:rFonts w:hint="cs"/>
          <w:rtl/>
        </w:rPr>
        <w:t xml:space="preserve">התיקונים המוצעים בסעיף 2א1 </w:t>
      </w:r>
      <w:r w:rsidR="00743D05">
        <w:rPr>
          <w:rFonts w:hint="cs"/>
          <w:rtl/>
        </w:rPr>
        <w:t xml:space="preserve">לחוק </w:t>
      </w:r>
      <w:r w:rsidRPr="00156587">
        <w:rPr>
          <w:rFonts w:hint="cs"/>
          <w:rtl/>
        </w:rPr>
        <w:t xml:space="preserve">נובעים מן הצורך להגביר את חובות השקיפות ולהתאימן לכך שתעמולת הבחירות מתנהלת כיום, גם במרחב הדיגיטלי.   </w:t>
      </w:r>
    </w:p>
    <w:p w14:paraId="08CD8478" w14:textId="77777777" w:rsidR="00B50239" w:rsidRPr="00156587" w:rsidRDefault="00B50239" w:rsidP="003C3467">
      <w:pPr>
        <w:pStyle w:val="Hesber"/>
        <w:spacing w:line="240" w:lineRule="auto"/>
        <w:rPr>
          <w:rtl/>
        </w:rPr>
      </w:pPr>
      <w:r w:rsidRPr="00156587">
        <w:rPr>
          <w:rFonts w:hint="cs"/>
          <w:rtl/>
        </w:rPr>
        <w:t xml:space="preserve">סעיף 2א1 לחוק קובע חובת שקיפות בתעמולת בחירות כך שפרסום של כל מודעת בחירות מחויב בהוספת פרטים מזהים של האדם שאחראי לפרסומה, ואם פעל מטעם מתמודד בבחירות או באופן אחר </w:t>
      </w:r>
      <w:r w:rsidRPr="00156587">
        <w:rPr>
          <w:rtl/>
        </w:rPr>
        <w:t>–</w:t>
      </w:r>
      <w:r w:rsidRPr="00156587">
        <w:rPr>
          <w:rFonts w:hint="cs"/>
          <w:rtl/>
        </w:rPr>
        <w:t xml:space="preserve"> את פרטיהם. הסעיף קובע הוראות נוספות לעניין מודעה מודפסת. </w:t>
      </w:r>
      <w:r w:rsidRPr="00156587">
        <w:rPr>
          <w:rtl/>
        </w:rPr>
        <w:t xml:space="preserve">מוצע </w:t>
      </w:r>
      <w:r w:rsidRPr="00156587">
        <w:rPr>
          <w:rFonts w:hint="cs"/>
          <w:rtl/>
        </w:rPr>
        <w:t>לתקן את סעיף קטן (א) ו</w:t>
      </w:r>
      <w:r w:rsidRPr="00156587">
        <w:rPr>
          <w:rtl/>
        </w:rPr>
        <w:t>ל</w:t>
      </w:r>
      <w:r w:rsidRPr="00156587">
        <w:rPr>
          <w:rFonts w:hint="cs"/>
          <w:rtl/>
        </w:rPr>
        <w:t>קבוע הוראות גם בנוגע למודעת בחירות אשר מתפרסמת ברשת חברתית ול</w:t>
      </w:r>
      <w:r w:rsidRPr="00156587">
        <w:rPr>
          <w:rtl/>
        </w:rPr>
        <w:t xml:space="preserve">הרחיב את חובת הזיהוי החלה על מודעות בחירות </w:t>
      </w:r>
      <w:r w:rsidRPr="00156587">
        <w:rPr>
          <w:rFonts w:hint="cs"/>
          <w:rtl/>
        </w:rPr>
        <w:t>כזו</w:t>
      </w:r>
      <w:r w:rsidRPr="00156587">
        <w:rPr>
          <w:rtl/>
        </w:rPr>
        <w:t>, כך שתכלול גם ציון מיקומו של החשבון שבאמצעותו פורסמה המודעה. תוספת זו נועדה לחזק את השקיפות הציבורית ביחס למקורם של פרסומי תעמולת בחירות במרחב הדיגיטלי, ובפרט לאפשר זיהוי טוב יותר של פעילות תעמולתית המתבצעת באמצעות רשתות חשבונות מתואמות, לרבות חוות חשבונות מזויפים או אוטומטיים</w:t>
      </w:r>
      <w:r w:rsidRPr="00156587">
        <w:rPr>
          <w:rFonts w:hint="cs"/>
          <w:rtl/>
        </w:rPr>
        <w:t>, אשר עושות שימוש גם בחשבונות שמחוץ לגבולות המדינה</w:t>
      </w:r>
      <w:r w:rsidRPr="00156587">
        <w:rPr>
          <w:rtl/>
        </w:rPr>
        <w:t>. חובת ציון מיקום החשבון נועדה לצמצם את האפשרות להפצת תעמולה בלתי מסומנת ממקורות שמחוץ לגבולות המדינה, ולהגביר את יכולתם של הציבור ושל גורמי האכיפה להבחין בין פעילות פוליטית אותנטית לבין מבצעי השפעה זרים או מוסווים.</w:t>
      </w:r>
    </w:p>
    <w:p w14:paraId="4F5F9A9A" w14:textId="77777777" w:rsidR="00B50239" w:rsidRPr="00156587" w:rsidRDefault="00B50239" w:rsidP="003C3467">
      <w:pPr>
        <w:pStyle w:val="Hesber"/>
        <w:spacing w:line="240" w:lineRule="auto"/>
        <w:rPr>
          <w:rtl/>
        </w:rPr>
      </w:pPr>
      <w:r w:rsidRPr="00156587">
        <w:rPr>
          <w:rtl/>
        </w:rPr>
        <w:t>לנוכח ההתפתחות המואצת של כלים גנרטיביים המאפשרים יצירה והפצה של תוכן חזותי וקולי סינתטי בעל מראית עין אותנטית</w:t>
      </w:r>
      <w:r w:rsidRPr="00156587">
        <w:rPr>
          <w:rFonts w:hint="cs"/>
          <w:rtl/>
        </w:rPr>
        <w:t xml:space="preserve"> או באופן שאינו מאפשר לזהות את העובדה שהתוכן נוצר או שבוצע שינוי בתוכן קיים, </w:t>
      </w:r>
      <w:r w:rsidRPr="00156587">
        <w:rPr>
          <w:rtl/>
        </w:rPr>
        <w:t>מוצע</w:t>
      </w:r>
      <w:r w:rsidRPr="00156587">
        <w:rPr>
          <w:rFonts w:hint="cs"/>
          <w:rtl/>
        </w:rPr>
        <w:t xml:space="preserve"> להוסיף את סעיף קטן (א1)</w:t>
      </w:r>
      <w:r w:rsidRPr="00156587">
        <w:rPr>
          <w:rtl/>
        </w:rPr>
        <w:t xml:space="preserve"> </w:t>
      </w:r>
      <w:r w:rsidRPr="00156587">
        <w:rPr>
          <w:rFonts w:hint="cs"/>
          <w:rtl/>
        </w:rPr>
        <w:t>ו</w:t>
      </w:r>
      <w:r w:rsidRPr="00156587">
        <w:rPr>
          <w:rtl/>
        </w:rPr>
        <w:t xml:space="preserve">לקבוע חובה לסמן באופן ברור ובולט מודעת בחירות שנוצרה או שונתה באופן מהותי באמצעות מערכת בינה מלאכותית, כאשר השימוש בה עלול להטעות אדם סביר לחשוב כי </w:t>
      </w:r>
      <w:r w:rsidRPr="00156587">
        <w:rPr>
          <w:rFonts w:hint="cs"/>
          <w:rtl/>
        </w:rPr>
        <w:t>התוכן לא נוצר או שונה כאמור</w:t>
      </w:r>
      <w:r w:rsidRPr="00156587">
        <w:rPr>
          <w:rtl/>
        </w:rPr>
        <w:t xml:space="preserve">. זאת, </w:t>
      </w:r>
      <w:r w:rsidRPr="00156587">
        <w:rPr>
          <w:rFonts w:hint="cs"/>
          <w:rtl/>
        </w:rPr>
        <w:t xml:space="preserve">לאור הסכנה הקיימת משימוש באמצעים אלה </w:t>
      </w:r>
      <w:r w:rsidRPr="00156587">
        <w:rPr>
          <w:rtl/>
        </w:rPr>
        <w:t>לתעמולה מטעה בתקופת בחירות.</w:t>
      </w:r>
    </w:p>
    <w:p w14:paraId="21BAE9D4" w14:textId="537E1825" w:rsidR="00B50239" w:rsidRPr="00156587" w:rsidRDefault="00B50239" w:rsidP="003C3467">
      <w:pPr>
        <w:pStyle w:val="Hesber"/>
        <w:spacing w:line="240" w:lineRule="auto"/>
        <w:rPr>
          <w:rtl/>
        </w:rPr>
      </w:pPr>
      <w:r w:rsidRPr="00156587">
        <w:rPr>
          <w:rtl/>
        </w:rPr>
        <w:t>מטרת הסימון אינה לאסור שימוש בבינה מלאכותית בתעמולת בחירות כשלעצמו, אלא להבטיח שקיפות כלפי ציבור הבוחרים, כך שיוכל להבין א</w:t>
      </w:r>
      <w:r w:rsidR="00743D05">
        <w:rPr>
          <w:rtl/>
        </w:rPr>
        <w:t>ת מקורו של התוכן שהוא נחשף אליו</w:t>
      </w:r>
      <w:r w:rsidRPr="00156587">
        <w:rPr>
          <w:rtl/>
        </w:rPr>
        <w:t xml:space="preserve"> ולשפוט את המסרים הפוליטיים מתוך מודעות מלאה לאופן הפקתם. חובת סימון זו מבוססת על ההכרה כי בעידן שבו ניתן לייצר בקלות יחסית תכנים סינתטיים – בתמונה, בקול או בווידאו – תנאי יסוד לקיומה של </w:t>
      </w:r>
      <w:r w:rsidRPr="00156587">
        <w:rPr>
          <w:rtl/>
        </w:rPr>
        <w:lastRenderedPageBreak/>
        <w:t>בחירה חופשית הוא היכולת של הבוחר להבחין בין תוכן אותנטי לבין תוכן יציר מכונה</w:t>
      </w:r>
      <w:r>
        <w:rPr>
          <w:rFonts w:hint="cs"/>
          <w:rtl/>
        </w:rPr>
        <w:t>,</w:t>
      </w:r>
      <w:r w:rsidRPr="00156587">
        <w:rPr>
          <w:rFonts w:hint="cs"/>
          <w:rtl/>
        </w:rPr>
        <w:t xml:space="preserve"> ובין תוכן מקורי לבין תוכן ששונה באופן מהותי על ידי מכונה</w:t>
      </w:r>
      <w:r w:rsidRPr="00156587">
        <w:rPr>
          <w:rtl/>
        </w:rPr>
        <w:t>.</w:t>
      </w:r>
    </w:p>
    <w:p w14:paraId="1AA9225D" w14:textId="40E99164" w:rsidR="00B50239" w:rsidRPr="00156587" w:rsidRDefault="00743D05" w:rsidP="003C3467">
      <w:pPr>
        <w:pStyle w:val="Hesber"/>
        <w:spacing w:line="240" w:lineRule="auto"/>
        <w:rPr>
          <w:rtl/>
        </w:rPr>
      </w:pPr>
      <w:r>
        <w:rPr>
          <w:rtl/>
        </w:rPr>
        <w:t>החובה המוצעת משתלבת במגמה בי</w:t>
      </w:r>
      <w:r>
        <w:rPr>
          <w:rFonts w:hint="cs"/>
          <w:rtl/>
        </w:rPr>
        <w:t>ן-</w:t>
      </w:r>
      <w:r w:rsidR="00B50239" w:rsidRPr="00156587">
        <w:rPr>
          <w:rtl/>
        </w:rPr>
        <w:t>לאומית רחבה של חיזוק שקיפות ביחס לתוכן שנוצר או שונה באמצעות בינה מלאכותית באיחוד האירופי ובמדינות שונות בארצות הברית, במיוחד בתקופות בחירות.</w:t>
      </w:r>
    </w:p>
    <w:p w14:paraId="6598140A" w14:textId="77777777" w:rsidR="00B50239" w:rsidRPr="00156587" w:rsidRDefault="00B50239" w:rsidP="003C3467">
      <w:pPr>
        <w:pStyle w:val="Hesber"/>
        <w:spacing w:line="240" w:lineRule="auto"/>
        <w:rPr>
          <w:rtl/>
        </w:rPr>
      </w:pPr>
      <w:r w:rsidRPr="00156587">
        <w:rPr>
          <w:rFonts w:hint="cs"/>
          <w:rtl/>
        </w:rPr>
        <w:t xml:space="preserve">בנוסף, </w:t>
      </w:r>
      <w:r w:rsidRPr="00156587">
        <w:rPr>
          <w:rtl/>
        </w:rPr>
        <w:t xml:space="preserve">ההסדר המוצע אינו מתערב בתוכן </w:t>
      </w:r>
      <w:r w:rsidRPr="00156587">
        <w:rPr>
          <w:rFonts w:hint="cs"/>
          <w:rtl/>
        </w:rPr>
        <w:t>מודעת הבחירות,</w:t>
      </w:r>
      <w:r w:rsidRPr="00156587">
        <w:rPr>
          <w:rtl/>
        </w:rPr>
        <w:t xml:space="preserve"> אלא מחיל חובת גילוי ושקיפות בלבד. </w:t>
      </w:r>
    </w:p>
    <w:p w14:paraId="16459DB3" w14:textId="77777777" w:rsidR="00B50239" w:rsidRPr="00156587" w:rsidRDefault="00B50239" w:rsidP="003C3467">
      <w:pPr>
        <w:pStyle w:val="Hesber"/>
        <w:spacing w:line="240" w:lineRule="auto"/>
        <w:rPr>
          <w:rtl/>
        </w:rPr>
      </w:pPr>
      <w:r w:rsidRPr="00156587">
        <w:rPr>
          <w:rFonts w:hint="cs"/>
          <w:rtl/>
        </w:rPr>
        <w:t>בשים לב לתיקונים המוצעים יש צורך בהוספת הגדרות של כל אותם מונחים במרחב הדיגיטלי ובכלל זאת את ההגדרה למערכת בינה מלאכותית ורשת חברתית.</w:t>
      </w:r>
    </w:p>
    <w:p w14:paraId="07BF9C3F" w14:textId="77777777" w:rsidR="00B50239" w:rsidRPr="00156587" w:rsidRDefault="00B50239" w:rsidP="003C3467">
      <w:pPr>
        <w:pStyle w:val="Hesber"/>
        <w:spacing w:line="240" w:lineRule="auto"/>
        <w:rPr>
          <w:rtl/>
        </w:rPr>
      </w:pPr>
      <w:r w:rsidRPr="00156587">
        <w:rPr>
          <w:rFonts w:hint="cs"/>
          <w:rtl/>
        </w:rPr>
        <w:t xml:space="preserve"> </w:t>
      </w:r>
      <w:r w:rsidRPr="00156587">
        <w:rPr>
          <w:rtl/>
        </w:rPr>
        <w:t>ההגדרה המוצעת למערכת בינה מלאכותית מורכבת מהרכיבים הבאים אשר מאפיינים את הפעילות של מערכות כאמור. ראשית, המערכת מבוססת מחשב, והיא מפיקה תוצאות מסוגים שונים על בסיס קלט המוזן לה. ההגדרה מבהירה כי התוצאות שהמערכת מפיקה כוללות תחזיות, המלצות והחלטות, ובראש ובראשונה, תוכן בכל סוגי המדיה הקיימים – טקסט, תמונה, קול, וידאו או כל תוכן אחר. שנית, המערכת פועלת ברמות משתנות של עצמאות הסתגלות – זה הרכיב החשוב ביותר שמבחין את מערכת הבינה המלאכותית ממערכות מחשב אחרות. ההגדרה המוצעת מתבססת על ההגדרה המקובלת בתחום של ארגון ה-</w:t>
      </w:r>
      <w:r w:rsidRPr="00156587">
        <w:t>OECD</w:t>
      </w:r>
      <w:r w:rsidRPr="00156587">
        <w:rPr>
          <w:rtl/>
        </w:rPr>
        <w:t>, שאומצה באיחוד האירופי בחוק הבינה המלאכותית (</w:t>
      </w:r>
      <w:r w:rsidRPr="00156587">
        <w:t>AI Act</w:t>
      </w:r>
      <w:r w:rsidRPr="00156587">
        <w:rPr>
          <w:rtl/>
        </w:rPr>
        <w:t xml:space="preserve">), וגם בישראל בהמלצות והנחיות מדיניות כמו במסמך עקרונות מדיניות, רגולציה ואתיקה בתחום הבינה המלאכותית שפרסם משרד החדשנות, המדע והטכנולוגיה ומשרד המשפטים בדצמבר 2023, בטיוטת הנחיית הרשות להגנת הפרטיות לעניין תחולת הוראות חוק הגנת הפרטיות על מערכות בינה מלאכותית שפורסמה באפריל 2025, או בדוח הסופי של הצוות הבין-משרדי לבחינת שימושי בינה מלאכותית בסקטור הפיננסי שפורסם בדצמבר 2025. </w:t>
      </w:r>
    </w:p>
    <w:p w14:paraId="5CD9C38C" w14:textId="77777777" w:rsidR="00B50239" w:rsidRPr="00156587" w:rsidRDefault="00B50239" w:rsidP="003C3467">
      <w:pPr>
        <w:pStyle w:val="Hesber"/>
        <w:spacing w:line="240" w:lineRule="auto"/>
        <w:rPr>
          <w:rtl/>
        </w:rPr>
      </w:pPr>
      <w:r w:rsidRPr="00156587">
        <w:rPr>
          <w:rtl/>
        </w:rPr>
        <w:t xml:space="preserve">ההגדרה המוצעת לרשת חברתית מורכבת משני היבטים: </w:t>
      </w:r>
      <w:r w:rsidRPr="00156587">
        <w:rPr>
          <w:rFonts w:hint="cs"/>
          <w:rtl/>
        </w:rPr>
        <w:t>היות</w:t>
      </w:r>
      <w:r w:rsidRPr="00156587">
        <w:rPr>
          <w:rtl/>
        </w:rPr>
        <w:t xml:space="preserve"> השירות המקוון – במקרה זה מדובר בשירות ברשת תקשורת נתונים; וההיבט החברתי – הכולל פרסום, שיתוף או הפצה של אותו מידע. ההגדרה חלה על כל הרשתות החברתיות, לרבות רשתות תקשורת בין-אישית, כדוגמת ווטסאפ או טלגרם. במסגרת ההגדרה מובהר כי אין זה משנה האם השרת שהתוכן מאוחסן בו נמצא בישראל או מחוץ לה</w:t>
      </w:r>
      <w:r w:rsidRPr="00156587">
        <w:rPr>
          <w:rFonts w:hint="cs"/>
          <w:rtl/>
        </w:rPr>
        <w:t xml:space="preserve"> או שאלת התמורה</w:t>
      </w:r>
      <w:r w:rsidRPr="00156587">
        <w:rPr>
          <w:rtl/>
        </w:rPr>
        <w:t>.</w:t>
      </w:r>
    </w:p>
    <w:p w14:paraId="292FC793" w14:textId="77777777" w:rsidR="00B50239" w:rsidRPr="00156587" w:rsidRDefault="00B50239" w:rsidP="003C3467">
      <w:pPr>
        <w:pStyle w:val="Hesber"/>
        <w:spacing w:line="240" w:lineRule="auto"/>
        <w:rPr>
          <w:rtl/>
        </w:rPr>
      </w:pPr>
      <w:r w:rsidRPr="00156587">
        <w:rPr>
          <w:rtl/>
        </w:rPr>
        <w:t>ההגדרה מתבססת על הגדרות שמעוגנות ב</w:t>
      </w:r>
      <w:r w:rsidRPr="00156587">
        <w:rPr>
          <w:rFonts w:hint="cs"/>
          <w:rtl/>
        </w:rPr>
        <w:t>חוק השירותים הדיגיטליים של האיחוד האירופי (</w:t>
      </w:r>
      <w:r w:rsidRPr="00156587">
        <w:t>DSA</w:t>
      </w:r>
      <w:r w:rsidRPr="00156587">
        <w:rPr>
          <w:rFonts w:hint="cs"/>
          <w:rtl/>
        </w:rPr>
        <w:t xml:space="preserve">) </w:t>
      </w:r>
      <w:r w:rsidRPr="00156587">
        <w:rPr>
          <w:rtl/>
        </w:rPr>
        <w:t>וכן על הגדרות שגובשו על ידי שתי ועדות ממשלתיות</w:t>
      </w:r>
      <w:r w:rsidRPr="00156587">
        <w:rPr>
          <w:rFonts w:hint="cs"/>
          <w:rtl/>
        </w:rPr>
        <w:t xml:space="preserve">: </w:t>
      </w:r>
      <w:r w:rsidRPr="00156587">
        <w:rPr>
          <w:rtl/>
        </w:rPr>
        <w:t>ועדת בן-חורין (הצוות המייעץ לשר התקשורת לבחינת האסדרה על פלטפורמות תוכן דיגיטליות)</w:t>
      </w:r>
      <w:r w:rsidRPr="00156587">
        <w:rPr>
          <w:rFonts w:hint="cs"/>
          <w:rtl/>
        </w:rPr>
        <w:t xml:space="preserve"> ו</w:t>
      </w:r>
      <w:r w:rsidRPr="00156587">
        <w:rPr>
          <w:rtl/>
        </w:rPr>
        <w:t xml:space="preserve">ועדת דוידי (הוועדה להתאמת המשפט לאתגרי החדשנות והאצת הטכנולוגיה בנושא תכנים לא חוקיים במרחב הדיגיטלי). </w:t>
      </w:r>
    </w:p>
    <w:p w14:paraId="29081397" w14:textId="0B79C460" w:rsidR="00B50239" w:rsidRPr="00156587" w:rsidRDefault="00B50239" w:rsidP="003C3467">
      <w:pPr>
        <w:pStyle w:val="Hesber"/>
        <w:spacing w:line="240" w:lineRule="auto"/>
        <w:rPr>
          <w:rtl/>
        </w:rPr>
      </w:pPr>
      <w:r>
        <w:rPr>
          <w:rFonts w:hint="cs"/>
          <w:rtl/>
        </w:rPr>
        <w:t xml:space="preserve">עוד </w:t>
      </w:r>
      <w:r w:rsidRPr="00156587">
        <w:rPr>
          <w:rtl/>
        </w:rPr>
        <w:t xml:space="preserve">מוצע </w:t>
      </w:r>
      <w:r w:rsidRPr="00156587">
        <w:rPr>
          <w:rFonts w:hint="cs"/>
          <w:rtl/>
        </w:rPr>
        <w:t xml:space="preserve">להוסיף את סעיף 2א2 </w:t>
      </w:r>
      <w:r w:rsidR="00743D05">
        <w:rPr>
          <w:rFonts w:hint="cs"/>
          <w:rtl/>
        </w:rPr>
        <w:t xml:space="preserve">לחוק </w:t>
      </w:r>
      <w:r>
        <w:rPr>
          <w:rFonts w:hint="cs"/>
          <w:rtl/>
        </w:rPr>
        <w:t xml:space="preserve">בו ייקבע </w:t>
      </w:r>
      <w:r w:rsidRPr="00156587">
        <w:rPr>
          <w:rtl/>
        </w:rPr>
        <w:t>איסור מפורש על פרסום מודעת בחירות באמצעות פעילות מתואמת לא אותנטית ברשתות חברתיות. פעילות זו הפכה בשנים האחרונות לאחת מן התופעות המרכזיות והמדאיגות ביותר בזירת התעמולה הדיגיטלית, הן בישראל והן בעולם, והיא מאופיינת בניסיון לייצר השפעה פוליטית לא באמצעות שכנוע גלוי ופתוח, אלא באמצעות מניפולציה על מנגנוני ההפצה.</w:t>
      </w:r>
    </w:p>
    <w:p w14:paraId="35E462BF" w14:textId="77777777" w:rsidR="00B50239" w:rsidRPr="00156587" w:rsidRDefault="00B50239" w:rsidP="003C3467">
      <w:pPr>
        <w:pStyle w:val="Hesber"/>
        <w:spacing w:line="240" w:lineRule="auto"/>
        <w:rPr>
          <w:rtl/>
        </w:rPr>
      </w:pPr>
      <w:r w:rsidRPr="00156587">
        <w:rPr>
          <w:rtl/>
        </w:rPr>
        <w:t>פעילות מתואמת לא אותנטית מבוססת על הפעלה מתוזמנת של רשת חשבונות, אמיתיים או מזויפים, שמטרתה ליצור מצג שווא של תמיכה ציבורית רחבה, להעצים מסרים מסוימים באופן מלאכותי, או לדחוק תכנים אחרים לשוליים. בניגוד לביטוי פוליטי אותנטי של אזרחים, מדובר בדפוס פעולה שמנצל את מערכות ההמלצה והדירוג האלגוריתמיות של הרשתות החברתיות כדי להנדס תפוצה, להטות את השיח, ולשבש את יכולתו של הציבור להבחין בין שיח פוליטי אותנטי לבין מבצע השפעה מתואם.</w:t>
      </w:r>
    </w:p>
    <w:p w14:paraId="15ACF987" w14:textId="77777777" w:rsidR="00B50239" w:rsidRPr="00156587" w:rsidRDefault="00B50239" w:rsidP="003C3467">
      <w:pPr>
        <w:pStyle w:val="Hesber"/>
        <w:spacing w:line="240" w:lineRule="auto"/>
        <w:rPr>
          <w:rtl/>
        </w:rPr>
      </w:pPr>
      <w:r w:rsidRPr="00156587">
        <w:rPr>
          <w:rtl/>
        </w:rPr>
        <w:t xml:space="preserve">פעילות מסוג זה עלולה לפגוע באופן ישיר בתנאים הבסיסיים לקיומן של בחירות דמוקרטיות הוגנות. ראשית, היא מערערת את עקרון השקיפות, שכן הציבור נחשף לתוכן פוליטי מבלי לדעת שמדובר במסר שמופץ באופן מניפולטיבי ומתוזמר, תוך יצירת תחושת "רוב מדומיין" ופופולריות מזויפת. שנית, היא פוגעת בשוויון ההזדמנויות בין מתמודדים בבחירות, משום שהשפעה דיגיטלית מלאכותית עשויה לאפשר יתרון בלתי הוגן לגורם בעל משאבים, תשתיות או יכולות טכנולוגיות עודפות. </w:t>
      </w:r>
    </w:p>
    <w:p w14:paraId="27ED761A" w14:textId="77777777" w:rsidR="00B50239" w:rsidRPr="00156587" w:rsidRDefault="00B50239" w:rsidP="003C3467">
      <w:pPr>
        <w:pStyle w:val="Hesber"/>
        <w:spacing w:line="240" w:lineRule="auto"/>
        <w:rPr>
          <w:rtl/>
        </w:rPr>
      </w:pPr>
      <w:r w:rsidRPr="00156587">
        <w:rPr>
          <w:rtl/>
        </w:rPr>
        <w:t>תופעה זו אינה ייחודית לישראל. בשנים האחרונות הוכרה פעילות מתואמת לא אותנטית כאחד מן הסיכונים המרכזיים לתקינות הבחירות גם בדמוקרטיות אחרות. מוסדות האיחוד האירופי, כמו גם רשויות פדרליות בארצות הברית, הצביעו על כך כאמצעי מרכזי להטיה מלאכותית של השיח הציבורי, לערעור אמון הציבור בתהליך הבחירות, ולעיתים אף כפלטפורמה להתערבות זרה ולהשפעה חיצונית על מערכות פוליטיות באמצעות רשתות חברתיות. על רקע זה, ההסדרה המוצעת משתלבת במגמה רחבה של חיזוק מנגנוני שקיפות והוגנות נוכח טכניקות הפצה מתואמות ומטעות במרחב הדיגיטלי.</w:t>
      </w:r>
    </w:p>
    <w:p w14:paraId="5BD896EA" w14:textId="77777777" w:rsidR="00B50239" w:rsidRPr="00156587" w:rsidRDefault="00B50239" w:rsidP="003C3467">
      <w:pPr>
        <w:pStyle w:val="Hesber"/>
        <w:spacing w:line="240" w:lineRule="auto"/>
        <w:rPr>
          <w:rtl/>
        </w:rPr>
      </w:pPr>
      <w:r w:rsidRPr="00156587">
        <w:rPr>
          <w:rtl/>
        </w:rPr>
        <w:t xml:space="preserve">מוצע להגדיר פעילות מתואמת לא אותנטית כפעילות מתואמת בין שני חשבונות לפחות ברשת חברתית, הגורמת </w:t>
      </w:r>
      <w:r w:rsidRPr="00156587">
        <w:rPr>
          <w:rFonts w:hint="cs"/>
          <w:rtl/>
        </w:rPr>
        <w:t xml:space="preserve">או העלולה לגרום </w:t>
      </w:r>
      <w:r w:rsidRPr="00156587">
        <w:rPr>
          <w:rtl/>
        </w:rPr>
        <w:t>להגברת ההפצה של תוכן ברשת החברתית, ואשר נעשית תוך הסתרה</w:t>
      </w:r>
      <w:r w:rsidRPr="00156587">
        <w:rPr>
          <w:rFonts w:hint="cs"/>
          <w:rtl/>
        </w:rPr>
        <w:t xml:space="preserve">, לרבות באמצעות </w:t>
      </w:r>
      <w:r w:rsidRPr="00156587">
        <w:rPr>
          <w:rtl/>
        </w:rPr>
        <w:t>התחזות לגבי זהות המפרסם, מיקומו</w:t>
      </w:r>
      <w:r w:rsidRPr="00156587">
        <w:rPr>
          <w:rFonts w:hint="cs"/>
          <w:rtl/>
        </w:rPr>
        <w:t>, מטרתו,</w:t>
      </w:r>
      <w:r w:rsidRPr="00156587">
        <w:rPr>
          <w:rtl/>
        </w:rPr>
        <w:t xml:space="preserve"> או </w:t>
      </w:r>
      <w:r w:rsidRPr="00156587">
        <w:rPr>
          <w:rFonts w:hint="cs"/>
          <w:rtl/>
        </w:rPr>
        <w:t xml:space="preserve">לגבי </w:t>
      </w:r>
      <w:r w:rsidRPr="00156587">
        <w:rPr>
          <w:rtl/>
        </w:rPr>
        <w:t xml:space="preserve">מהותו של החשבון. </w:t>
      </w:r>
      <w:r w:rsidRPr="00156587">
        <w:rPr>
          <w:rtl/>
        </w:rPr>
        <w:lastRenderedPageBreak/>
        <w:t>ההגדרה המוצעת נועדה לחול הן על חשבונות מזויפים והן על חשבונות אמיתיים, וכן על פעילות אנושית או אוטומטית, מתוך הבנה כי מוקד הפגיעה אינו טמון בזהות החשבון כשלעצמו, אלא באופי המתואם והמטעה של מנגנון ההפצה.</w:t>
      </w:r>
    </w:p>
    <w:p w14:paraId="1F227630" w14:textId="77777777" w:rsidR="00B50239" w:rsidRPr="00156587" w:rsidRDefault="00B50239" w:rsidP="003C3467">
      <w:pPr>
        <w:pStyle w:val="Hesber"/>
        <w:spacing w:line="240" w:lineRule="auto"/>
        <w:rPr>
          <w:rtl/>
        </w:rPr>
      </w:pPr>
      <w:r w:rsidRPr="00156587">
        <w:rPr>
          <w:rtl/>
        </w:rPr>
        <w:t>איסור זה נועד להגן על השיח הדמוקרטי מפני מניפולציות מערכתיות המערערות את תנאי ההוגנות והשוויון בתעמולת הבחירות, תוך שמירה על גבולות ההתערבות כך שלא תחול על ביטוי פוליטי אותנטי של אזרחים, אלא על שימוש באמצעים מתואמים ומטעים שנועדו ליצור השפעה מלאכותית על הפצת המידע.</w:t>
      </w:r>
    </w:p>
    <w:p w14:paraId="081CC77D" w14:textId="77777777" w:rsidR="00B50239" w:rsidRPr="00156587" w:rsidRDefault="00B50239" w:rsidP="003C3467">
      <w:pPr>
        <w:pStyle w:val="Hesber"/>
        <w:spacing w:line="240" w:lineRule="auto"/>
        <w:rPr>
          <w:rtl/>
        </w:rPr>
      </w:pPr>
      <w:r w:rsidRPr="00156587">
        <w:rPr>
          <w:rtl/>
        </w:rPr>
        <w:t>ההגדרה המוצעת לפעילות מתואמת לא אותנטית מבקשת לגלם את שלושת הרכיבים המרכיבים את הפעילות לפי המקורות המפורטים בהמשך: התנהגות – הפעילות מושתתת על התנהגות שגורמת להגברת ההפצה של תוכן ברשת חברתית, בלי קשר למהות התוכן; אי-אותנטיות – זהו הרכיב המרכזי של ההגדרה – הפעילות מאופיינת בהיעדר אותנטיות בכך שהיא נעשית תוך כדי הסתרה וביצירת מצג השווא מטעם שחקנים המסתירים את זהותם, מיקומם</w:t>
      </w:r>
      <w:r w:rsidRPr="00156587">
        <w:rPr>
          <w:rFonts w:hint="cs"/>
          <w:rtl/>
        </w:rPr>
        <w:t xml:space="preserve">, </w:t>
      </w:r>
      <w:r w:rsidRPr="00156587">
        <w:rPr>
          <w:rtl/>
        </w:rPr>
        <w:t>מטרתם האמיתית</w:t>
      </w:r>
      <w:r w:rsidRPr="00156587">
        <w:rPr>
          <w:rFonts w:hint="cs"/>
          <w:rtl/>
        </w:rPr>
        <w:t xml:space="preserve"> או מהות החשבון בו הם עושים שימוש</w:t>
      </w:r>
      <w:r w:rsidRPr="00156587">
        <w:rPr>
          <w:rtl/>
        </w:rPr>
        <w:t>. לעניין זה, אין זה משנה אם מדובר בחשבונות אמיתיים או מזויפים או אם מדובר באמצעים אוטומטיים או לא; מתואמת – הפעילות מתואמת בין מספר שחקנים, לכל הפחות בין שני חשבונות הפועלים ברשת חברתית.</w:t>
      </w:r>
    </w:p>
    <w:p w14:paraId="531DB4CA" w14:textId="77777777" w:rsidR="00B50239" w:rsidRPr="00156587" w:rsidRDefault="00B50239" w:rsidP="003C3467">
      <w:pPr>
        <w:pStyle w:val="Hesber"/>
        <w:spacing w:line="240" w:lineRule="auto"/>
        <w:rPr>
          <w:rtl/>
        </w:rPr>
      </w:pPr>
      <w:r w:rsidRPr="00156587">
        <w:rPr>
          <w:rtl/>
        </w:rPr>
        <w:t>ההגדרה המוצעת מבוססת על מספר הגדרות קיימות לתופעה ובהן: ההגדרה של מערך הסייבר הלאומי; חברת מטא; סינגפור (</w:t>
      </w:r>
      <w:r w:rsidRPr="00156587">
        <w:t>Protection from Online Falsehood and Manipulation Act</w:t>
      </w:r>
      <w:r w:rsidRPr="00156587">
        <w:rPr>
          <w:rtl/>
        </w:rPr>
        <w:t xml:space="preserve">) ובהשראת ההמלצות של ארגון המחקר האירופאי </w:t>
      </w:r>
      <w:r w:rsidRPr="00156587">
        <w:t>EU DisinfoLab</w:t>
      </w:r>
      <w:r w:rsidRPr="00156587">
        <w:rPr>
          <w:rtl/>
        </w:rPr>
        <w:t>.</w:t>
      </w:r>
    </w:p>
    <w:p w14:paraId="35AD93EF" w14:textId="183A09CB" w:rsidR="00B50239" w:rsidRPr="00156587" w:rsidRDefault="00B50239" w:rsidP="003C3467">
      <w:pPr>
        <w:pStyle w:val="Hesber"/>
        <w:spacing w:line="240" w:lineRule="auto"/>
        <w:rPr>
          <w:rtl/>
        </w:rPr>
      </w:pPr>
      <w:r>
        <w:rPr>
          <w:rFonts w:hint="cs"/>
          <w:rtl/>
        </w:rPr>
        <w:t xml:space="preserve">כמו כן </w:t>
      </w:r>
      <w:r w:rsidRPr="00156587">
        <w:rPr>
          <w:rtl/>
        </w:rPr>
        <w:t>מוצע להחמיר את הענישה הקבועה בחוק, כך שעב</w:t>
      </w:r>
      <w:r w:rsidR="00743D05">
        <w:rPr>
          <w:rtl/>
        </w:rPr>
        <w:t>ירה על הוראות החוק או אי</w:t>
      </w:r>
      <w:r w:rsidR="00743D05">
        <w:rPr>
          <w:rFonts w:hint="cs"/>
          <w:rtl/>
        </w:rPr>
        <w:t>-</w:t>
      </w:r>
      <w:r w:rsidRPr="00156587">
        <w:rPr>
          <w:rtl/>
        </w:rPr>
        <w:t>קיום חיוב שהוטל על ידי יושב ראש ועדת הבחירות המרכזית תהווה עבירה שעונשה מאסר של עד שמונה עשר חודשים</w:t>
      </w:r>
      <w:r w:rsidRPr="00156587">
        <w:rPr>
          <w:rFonts w:hint="cs"/>
          <w:rtl/>
        </w:rPr>
        <w:t>, תקופת מאסר פי שלוש מזו הקבועה כיום בחוק,</w:t>
      </w:r>
      <w:r w:rsidRPr="00156587">
        <w:rPr>
          <w:rtl/>
        </w:rPr>
        <w:t xml:space="preserve"> או קנס גבוה פי </w:t>
      </w:r>
      <w:r w:rsidRPr="00156587">
        <w:rPr>
          <w:rFonts w:hint="cs"/>
          <w:rtl/>
        </w:rPr>
        <w:t>שלוש</w:t>
      </w:r>
      <w:r w:rsidRPr="00156587">
        <w:rPr>
          <w:rtl/>
        </w:rPr>
        <w:t xml:space="preserve"> מן הקנס הקבוע כיום בחוק. בכך מבקשת ההצעה להבטיח הרתעה אפקטיבית לנוכח חומרת הפגיעות האפשריות בהוגנות ההליך הדמוקרטי.</w:t>
      </w:r>
    </w:p>
    <w:p w14:paraId="5F10F68A" w14:textId="77777777" w:rsidR="00B50239" w:rsidRPr="00156587" w:rsidRDefault="00B50239" w:rsidP="003C3467">
      <w:pPr>
        <w:pStyle w:val="Hesber"/>
        <w:spacing w:line="240" w:lineRule="auto"/>
        <w:rPr>
          <w:rtl/>
        </w:rPr>
      </w:pPr>
      <w:r w:rsidRPr="00156587">
        <w:rPr>
          <w:rtl/>
        </w:rPr>
        <w:t>החמרת הענישה נדרשת גם על רקע העובדה שבמערכות בחירות בשנים האחרונות התפתחה, בפועל, פרקטיקה של הפרות חוזרות של כללי תעמולת הבחירות, לעיתים תוך נטילת סיכון מחושב מצד מתמודדים וגופים פוליטיים, בהנחה שהאכיפה מוגבלת והסנקציות הקיימות אינן יוצרות הרתעה של ממש. במציאות זו עלול להיווצר תמריץ להפרות יעילות של הדין, שבהן הפגיעה בערכי השקיפות וההוגנות נתפסת ככדאית ביחס לעלות המשפטית הצפויה.</w:t>
      </w:r>
    </w:p>
    <w:p w14:paraId="28CEE73F" w14:textId="77777777" w:rsidR="00B50239" w:rsidRPr="00156587" w:rsidRDefault="00B50239" w:rsidP="003C3467">
      <w:pPr>
        <w:pStyle w:val="Hesber"/>
        <w:spacing w:line="240" w:lineRule="auto"/>
        <w:rPr>
          <w:rtl/>
        </w:rPr>
      </w:pPr>
      <w:r w:rsidRPr="00156587">
        <w:rPr>
          <w:rtl/>
        </w:rPr>
        <w:t>הצורך בעדכון רף הענישה מתחדד במיוחד בעידן הדיגיטלי, שבו פרסום בלתי חוקי או מטעה עשוי להגיע בתוך שעות ספורות לקהלים רחבים, להשפיע על השיח הציבורי בזמן אמת, ולגרום נזק בלתי הפיך להוגנות מערכת הבחירות עוד בטרם ניתן יהיה להפעיל אמצעי תיקון או אכיפה. לפיכך מוצע לעדכן את רף הענישה כך שישקף את חומרת העבירות ואת הצורך בהבטחת ציות אפקטיבי להוראות החוק בתקופת בחירות.</w:t>
      </w:r>
    </w:p>
    <w:p w14:paraId="248A30EF" w14:textId="4F2C24DC" w:rsidR="00B50239" w:rsidRPr="00156587" w:rsidRDefault="00B50239" w:rsidP="003C3467">
      <w:pPr>
        <w:pStyle w:val="Hesber"/>
        <w:spacing w:line="240" w:lineRule="auto"/>
        <w:rPr>
          <w:rtl/>
        </w:rPr>
      </w:pPr>
      <w:r>
        <w:rPr>
          <w:rFonts w:hint="cs"/>
          <w:rtl/>
        </w:rPr>
        <w:t xml:space="preserve">לבסוף, מוצע לתקן את </w:t>
      </w:r>
      <w:r w:rsidRPr="00156587">
        <w:rPr>
          <w:rFonts w:hint="cs"/>
          <w:rtl/>
        </w:rPr>
        <w:t xml:space="preserve">סעיף 17ב לחוק </w:t>
      </w:r>
      <w:r>
        <w:rPr>
          <w:rFonts w:hint="cs"/>
          <w:rtl/>
        </w:rPr>
        <w:t>המעניק</w:t>
      </w:r>
      <w:r w:rsidRPr="00156587">
        <w:rPr>
          <w:rFonts w:hint="cs"/>
          <w:rtl/>
        </w:rPr>
        <w:t xml:space="preserve"> סמכות ליושב ראש ועדת הבחירות המרכזית להוציא צו מניעה, לאחר שנתן לנוגע בדבר הזדמנות להביא טענותיו לפניו. </w:t>
      </w:r>
      <w:r w:rsidRPr="00156587">
        <w:rPr>
          <w:rtl/>
        </w:rPr>
        <w:t xml:space="preserve">בעידן הדיגיטלי, שבו </w:t>
      </w:r>
      <w:r w:rsidR="00743D05">
        <w:rPr>
          <w:rFonts w:hint="cs"/>
          <w:rtl/>
        </w:rPr>
        <w:t xml:space="preserve">כאמור </w:t>
      </w:r>
      <w:r w:rsidRPr="00156587">
        <w:rPr>
          <w:rtl/>
        </w:rPr>
        <w:t xml:space="preserve">פרסום בלתי חוקי או מטעה עשוי להגיע בתוך שעות ספורות </w:t>
      </w:r>
      <w:r w:rsidRPr="00156587">
        <w:rPr>
          <w:rFonts w:hint="cs"/>
          <w:rtl/>
        </w:rPr>
        <w:t xml:space="preserve">ולעיתים אפילו דקות </w:t>
      </w:r>
      <w:r w:rsidRPr="00156587">
        <w:rPr>
          <w:rtl/>
        </w:rPr>
        <w:t xml:space="preserve">לקהלים רחבים, </w:t>
      </w:r>
      <w:r w:rsidR="00743D05">
        <w:rPr>
          <w:rtl/>
        </w:rPr>
        <w:t>להשפיע על השיח הציבורי בזמן אמת</w:t>
      </w:r>
      <w:r w:rsidRPr="00156587">
        <w:rPr>
          <w:rtl/>
        </w:rPr>
        <w:t xml:space="preserve"> ולגרום נזק בלתי הפיך להוגנות מערכת הבחירות</w:t>
      </w:r>
      <w:r w:rsidRPr="00156587">
        <w:rPr>
          <w:rFonts w:hint="cs"/>
          <w:rtl/>
        </w:rPr>
        <w:t xml:space="preserve">, המתנה עד להשלמת ההליך עלול לגרום לנזק שאינו בר-תיקון. לאור זאת, </w:t>
      </w:r>
      <w:r w:rsidRPr="00156587">
        <w:rPr>
          <w:rtl/>
        </w:rPr>
        <w:t xml:space="preserve">מוצע </w:t>
      </w:r>
      <w:r w:rsidRPr="00156587">
        <w:rPr>
          <w:rFonts w:hint="cs"/>
          <w:rtl/>
        </w:rPr>
        <w:t>להוסיף את סעיף קטן (א1) ו</w:t>
      </w:r>
      <w:r w:rsidRPr="00156587">
        <w:rPr>
          <w:rtl/>
        </w:rPr>
        <w:t xml:space="preserve">להסמיך את יושב ראש ועדת הבחירות המרכזית להורות על צו ארעי להסרה מיידית של </w:t>
      </w:r>
      <w:r w:rsidRPr="00156587">
        <w:rPr>
          <w:rFonts w:hint="cs"/>
          <w:rtl/>
        </w:rPr>
        <w:t>פרסום מודעת בחירות</w:t>
      </w:r>
      <w:r w:rsidRPr="00156587">
        <w:rPr>
          <w:rtl/>
        </w:rPr>
        <w:t xml:space="preserve"> שנעשה בניגוד להוראות סעיף 2א1 או 2א2</w:t>
      </w:r>
      <w:r w:rsidRPr="00156587">
        <w:rPr>
          <w:rFonts w:hint="cs"/>
          <w:rtl/>
        </w:rPr>
        <w:t xml:space="preserve"> </w:t>
      </w:r>
      <w:r w:rsidR="00743D05">
        <w:rPr>
          <w:rFonts w:hint="cs"/>
          <w:rtl/>
        </w:rPr>
        <w:t xml:space="preserve">לחוק </w:t>
      </w:r>
      <w:bookmarkStart w:id="8" w:name="_GoBack"/>
      <w:bookmarkEnd w:id="8"/>
      <w:r w:rsidRPr="00156587">
        <w:rPr>
          <w:rFonts w:hint="cs"/>
          <w:rtl/>
        </w:rPr>
        <w:t xml:space="preserve">המוצעים, וזאת אם הוא סבר </w:t>
      </w:r>
      <w:r w:rsidRPr="00156587">
        <w:rPr>
          <w:rtl/>
        </w:rPr>
        <w:t xml:space="preserve">כי השהיית ההחלטה </w:t>
      </w:r>
      <w:r w:rsidRPr="00156587">
        <w:rPr>
          <w:rFonts w:hint="cs"/>
          <w:rtl/>
        </w:rPr>
        <w:t xml:space="preserve">על הוצאת צו מניעה לפי סעיף קטן (א) </w:t>
      </w:r>
      <w:r w:rsidRPr="00156587">
        <w:rPr>
          <w:rtl/>
        </w:rPr>
        <w:t>עלולה לגרום נזק חמור שאינו בר-תיקון.</w:t>
      </w:r>
      <w:r w:rsidRPr="00156587">
        <w:rPr>
          <w:rFonts w:hint="cs"/>
          <w:rtl/>
        </w:rPr>
        <w:t xml:space="preserve"> עוד מוצע לקבוע כי אם הוציא יושב ראש ועדת הבחירות צו ארעי כאמור, עליו לתת </w:t>
      </w:r>
      <w:r w:rsidRPr="00156587">
        <w:rPr>
          <w:rtl/>
        </w:rPr>
        <w:t xml:space="preserve">הזדמנות לנוגע בדבר להביא טענותיו לפניו בהקדם האפשרי ולא יאוחר מ-24 שעות לאחר מתן הצו. סמכות זו נועדה לחזק את האפקטיביות המעשית של כלי האכיפה הקיימים בידי יושב ראש ועדת הבחירות, ולהבטיח כי </w:t>
      </w:r>
      <w:r w:rsidRPr="00156587">
        <w:rPr>
          <w:rFonts w:hint="cs"/>
          <w:rtl/>
        </w:rPr>
        <w:t>אלה</w:t>
      </w:r>
      <w:r w:rsidRPr="00156587">
        <w:rPr>
          <w:rtl/>
        </w:rPr>
        <w:t xml:space="preserve"> יוכלו להתממש בפועל במסגרת לוחות הזמנים הייחודיים של מערכת בחירות בסביבה הדיגיטלית, שבה תפוצת תכנים פוליטיים ברשתות חברתיות מתרחשת במהירות רבה</w:t>
      </w:r>
      <w:r w:rsidRPr="00156587">
        <w:rPr>
          <w:rFonts w:hint="cs"/>
          <w:rtl/>
        </w:rPr>
        <w:t>.</w:t>
      </w:r>
    </w:p>
    <w:p w14:paraId="6483FA84" w14:textId="77777777" w:rsidR="00B50239" w:rsidRDefault="00B50239" w:rsidP="00B50239">
      <w:pPr>
        <w:pStyle w:val="Hesber"/>
        <w:rPr>
          <w:rtl/>
        </w:rPr>
      </w:pPr>
    </w:p>
    <w:p w14:paraId="5175BFED" w14:textId="77777777" w:rsidR="002D5DF4" w:rsidRDefault="003C3467">
      <w:pPr>
        <w:jc w:val="left"/>
      </w:pPr>
      <w:bookmarkStart w:id="9" w:name="selectedDocDateB"/>
      <w:bookmarkEnd w:id="9"/>
      <w:r>
        <w:rPr>
          <w:rFonts w:eastAsia="David" w:hint="cs"/>
          <w:sz w:val="26"/>
          <w:szCs w:val="26"/>
          <w:rtl/>
        </w:rPr>
        <w:t>--------------------------------</w:t>
      </w:r>
    </w:p>
    <w:p w14:paraId="2D50D46B" w14:textId="77777777" w:rsidR="002D5DF4" w:rsidRDefault="003C3467">
      <w:pPr>
        <w:jc w:val="left"/>
      </w:pPr>
      <w:r>
        <w:rPr>
          <w:rFonts w:eastAsia="David" w:hint="cs"/>
          <w:sz w:val="26"/>
          <w:szCs w:val="26"/>
          <w:rtl/>
        </w:rPr>
        <w:t>הוגשה ליו"ר הכנסת והסגנים</w:t>
      </w:r>
    </w:p>
    <w:p w14:paraId="10F1E73D" w14:textId="77777777" w:rsidR="002D5DF4" w:rsidRDefault="003C3467">
      <w:pPr>
        <w:jc w:val="left"/>
      </w:pPr>
      <w:r>
        <w:rPr>
          <w:rFonts w:eastAsia="David" w:hint="cs"/>
          <w:sz w:val="26"/>
          <w:szCs w:val="26"/>
          <w:rtl/>
        </w:rPr>
        <w:t>והונחה על שולחן הכנסת ביום</w:t>
      </w:r>
    </w:p>
    <w:p w14:paraId="2BCF7985" w14:textId="4E8C53DA" w:rsidR="002D5DF4" w:rsidRDefault="003C3467" w:rsidP="003C3467">
      <w:pPr>
        <w:jc w:val="left"/>
      </w:pPr>
      <w:r>
        <w:rPr>
          <w:rFonts w:eastAsia="David" w:hint="cs"/>
          <w:sz w:val="26"/>
          <w:szCs w:val="26"/>
          <w:rtl/>
        </w:rPr>
        <w:t xml:space="preserve">כ"ד באייר התשפ"ו (11.05.2026) </w:t>
      </w:r>
    </w:p>
    <w:sectPr w:rsidR="002D5DF4" w:rsidSect="003C3467">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1F98499C"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743D05">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3C3467">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4FD6066" w14:textId="77777777" w:rsidR="003C3467" w:rsidRDefault="003C3467" w:rsidP="003C3467">
      <w:pPr>
        <w:pStyle w:val="a4"/>
      </w:pPr>
      <w:r>
        <w:rPr>
          <w:rStyle w:val="a6"/>
        </w:rPr>
        <w:footnoteRef/>
      </w:r>
      <w:r>
        <w:rPr>
          <w:rtl/>
        </w:rPr>
        <w:t xml:space="preserve"> </w:t>
      </w:r>
      <w:r w:rsidRPr="00F1384B">
        <w:rPr>
          <w:rtl/>
        </w:rPr>
        <w:t xml:space="preserve">ס״ח </w:t>
      </w:r>
      <w:r>
        <w:rPr>
          <w:rFonts w:hint="cs"/>
          <w:rtl/>
        </w:rPr>
        <w:t>ה</w:t>
      </w:r>
      <w:r w:rsidRPr="00F1384B">
        <w:rPr>
          <w:rtl/>
        </w:rPr>
        <w:t xml:space="preserve">תשי״ט, </w:t>
      </w:r>
      <w:r>
        <w:rPr>
          <w:rFonts w:hint="cs"/>
          <w:rtl/>
        </w:rPr>
        <w:t xml:space="preserve">עמ׳ </w:t>
      </w:r>
      <w:r w:rsidRPr="00F1384B">
        <w:rPr>
          <w:rtl/>
        </w:rPr>
        <w:t>138</w:t>
      </w:r>
      <w:r>
        <w:rPr>
          <w:rFonts w:hint="cs"/>
          <w:rtl/>
        </w:rPr>
        <w:t>.</w:t>
      </w:r>
    </w:p>
  </w:footnote>
  <w:footnote w:id="3">
    <w:p w14:paraId="34138B42" w14:textId="77777777" w:rsidR="00B50239" w:rsidRDefault="00B50239" w:rsidP="00B50239">
      <w:pPr>
        <w:pStyle w:val="a4"/>
        <w:rPr>
          <w:rtl/>
        </w:rPr>
      </w:pPr>
      <w:r>
        <w:rPr>
          <w:rStyle w:val="a6"/>
        </w:rPr>
        <w:footnoteRef/>
      </w:r>
      <w:r>
        <w:rPr>
          <w:rtl/>
        </w:rPr>
        <w:t xml:space="preserve"> </w:t>
      </w:r>
      <w:r w:rsidRPr="00027B5E">
        <w:rPr>
          <w:rtl/>
        </w:rPr>
        <w:t xml:space="preserve">ס״ח </w:t>
      </w:r>
      <w:r>
        <w:rPr>
          <w:rFonts w:hint="cs"/>
          <w:rtl/>
        </w:rPr>
        <w:t>ה</w:t>
      </w:r>
      <w:r w:rsidRPr="00027B5E">
        <w:rPr>
          <w:rtl/>
        </w:rPr>
        <w:t xml:space="preserve">תשנ״ה, </w:t>
      </w:r>
      <w:r>
        <w:rPr>
          <w:rFonts w:hint="cs"/>
          <w:rtl/>
        </w:rPr>
        <w:t xml:space="preserve">עמ׳ </w:t>
      </w:r>
      <w:r w:rsidRPr="00027B5E">
        <w:rPr>
          <w:rtl/>
        </w:rPr>
        <w:t>366</w:t>
      </w: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A0053"/>
    <w:multiLevelType w:val="hybridMultilevel"/>
    <w:tmpl w:val="5B4E47D4"/>
    <w:lvl w:ilvl="0" w:tplc="95B2769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F7053"/>
    <w:multiLevelType w:val="hybridMultilevel"/>
    <w:tmpl w:val="FC6A1EA8"/>
    <w:lvl w:ilvl="0" w:tplc="E68E5798">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065D04"/>
    <w:multiLevelType w:val="hybridMultilevel"/>
    <w:tmpl w:val="5B2AE2D2"/>
    <w:lvl w:ilvl="0" w:tplc="80A0166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BF4A5F"/>
    <w:multiLevelType w:val="hybridMultilevel"/>
    <w:tmpl w:val="B0289982"/>
    <w:lvl w:ilvl="0" w:tplc="F618AAB6">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EF05672"/>
    <w:multiLevelType w:val="hybridMultilevel"/>
    <w:tmpl w:val="23F6E124"/>
    <w:lvl w:ilvl="0" w:tplc="EABE14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303FB7"/>
    <w:multiLevelType w:val="hybridMultilevel"/>
    <w:tmpl w:val="07C8C390"/>
    <w:lvl w:ilvl="0" w:tplc="158846E4">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11"/>
  </w:num>
  <w:num w:numId="14">
    <w:abstractNumId w:val="22"/>
  </w:num>
  <w:num w:numId="15">
    <w:abstractNumId w:val="14"/>
  </w:num>
  <w:num w:numId="16">
    <w:abstractNumId w:val="17"/>
  </w:num>
  <w:num w:numId="17">
    <w:abstractNumId w:val="15"/>
  </w:num>
  <w:num w:numId="18">
    <w:abstractNumId w:val="19"/>
  </w:num>
  <w:num w:numId="19">
    <w:abstractNumId w:val="20"/>
  </w:num>
  <w:num w:numId="20">
    <w:abstractNumId w:val="13"/>
  </w:num>
  <w:num w:numId="21">
    <w:abstractNumId w:val="16"/>
  </w:num>
  <w:num w:numId="22">
    <w:abstractNumId w:val="16"/>
    <w:lvlOverride w:ilvl="0">
      <w:startOverride w:val="1"/>
    </w:lvlOverride>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1834"/>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2110E"/>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D5DF4"/>
    <w:rsid w:val="002F1D80"/>
    <w:rsid w:val="003232A2"/>
    <w:rsid w:val="00325C14"/>
    <w:rsid w:val="0036422C"/>
    <w:rsid w:val="003710F6"/>
    <w:rsid w:val="00386E88"/>
    <w:rsid w:val="00396585"/>
    <w:rsid w:val="003C3467"/>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B1A26"/>
    <w:rsid w:val="006C1D0D"/>
    <w:rsid w:val="0070601E"/>
    <w:rsid w:val="00712C72"/>
    <w:rsid w:val="00722FE9"/>
    <w:rsid w:val="00735FE9"/>
    <w:rsid w:val="00743D05"/>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50239"/>
    <w:rsid w:val="00B733A7"/>
    <w:rsid w:val="00B75C91"/>
    <w:rsid w:val="00B975AD"/>
    <w:rsid w:val="00BC45FB"/>
    <w:rsid w:val="00BF148D"/>
    <w:rsid w:val="00C23B1A"/>
    <w:rsid w:val="00C310EB"/>
    <w:rsid w:val="00C9176A"/>
    <w:rsid w:val="00CF1AA2"/>
    <w:rsid w:val="00D142D3"/>
    <w:rsid w:val="00D17774"/>
    <w:rsid w:val="00D37DCA"/>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33D3"/>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7A24DDDF-EB68-4E25-8B35-8FC5F358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467"/>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C3467"/>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C3467"/>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C3467"/>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C3467"/>
    <w:pPr>
      <w:numPr>
        <w:numId w:val="24"/>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C3467"/>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C3467"/>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C3467"/>
    <w:rPr>
      <w:sz w:val="36"/>
      <w:szCs w:val="52"/>
    </w:rPr>
  </w:style>
  <w:style w:type="paragraph" w:customStyle="1" w:styleId="Cover3-Haknesset">
    <w:name w:val="Cover 3-Haknesset"/>
    <w:basedOn w:val="Cover1-Reshumot"/>
    <w:rsid w:val="003C3467"/>
    <w:rPr>
      <w:b/>
      <w:bCs/>
      <w:spacing w:val="60"/>
    </w:rPr>
  </w:style>
  <w:style w:type="paragraph" w:customStyle="1" w:styleId="Cover4-Date">
    <w:name w:val="Cover 4-Date"/>
    <w:basedOn w:val="a"/>
    <w:rsid w:val="003C3467"/>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C3467"/>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C3467"/>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C3467"/>
    <w:pPr>
      <w:spacing w:before="120" w:after="120"/>
    </w:pPr>
    <w:rPr>
      <w:color w:val="FF0000"/>
      <w:w w:val="80"/>
    </w:rPr>
  </w:style>
  <w:style w:type="paragraph" w:styleId="a3">
    <w:name w:val="endnote text"/>
    <w:basedOn w:val="a"/>
    <w:semiHidden/>
    <w:rsid w:val="003C3467"/>
    <w:pPr>
      <w:ind w:left="227" w:hanging="227"/>
    </w:pPr>
    <w:rPr>
      <w:sz w:val="14"/>
      <w:szCs w:val="22"/>
    </w:rPr>
  </w:style>
  <w:style w:type="paragraph" w:customStyle="1" w:styleId="TableText">
    <w:name w:val="Table Text"/>
    <w:basedOn w:val="a"/>
    <w:rsid w:val="003C3467"/>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3C3467"/>
    <w:pPr>
      <w:outlineLvl w:val="2"/>
    </w:pPr>
  </w:style>
  <w:style w:type="paragraph" w:customStyle="1" w:styleId="TableBlock">
    <w:name w:val="Table Block"/>
    <w:basedOn w:val="TableText"/>
    <w:rsid w:val="003C3467"/>
    <w:pPr>
      <w:jc w:val="both"/>
    </w:pPr>
  </w:style>
  <w:style w:type="paragraph" w:customStyle="1" w:styleId="TableHead">
    <w:name w:val="Table Head"/>
    <w:basedOn w:val="TableText"/>
    <w:rsid w:val="003C3467"/>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C3467"/>
    <w:pPr>
      <w:outlineLvl w:val="9"/>
    </w:pPr>
  </w:style>
  <w:style w:type="paragraph" w:customStyle="1" w:styleId="Hesber">
    <w:name w:val="Hesber"/>
    <w:basedOn w:val="a"/>
    <w:rsid w:val="003C3467"/>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3C3467"/>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3C3467"/>
    <w:rPr>
      <w:vertAlign w:val="superscript"/>
    </w:rPr>
  </w:style>
  <w:style w:type="paragraph" w:customStyle="1" w:styleId="HesberHeading">
    <w:name w:val="Hesber Heading"/>
    <w:basedOn w:val="Hesber"/>
    <w:rsid w:val="003C3467"/>
    <w:pPr>
      <w:tabs>
        <w:tab w:val="left" w:pos="624"/>
        <w:tab w:val="left" w:pos="1247"/>
      </w:tabs>
    </w:pPr>
    <w:rPr>
      <w:b/>
      <w:bCs/>
    </w:rPr>
  </w:style>
  <w:style w:type="paragraph" w:customStyle="1" w:styleId="HesberWriters">
    <w:name w:val="Hesber Writers"/>
    <w:basedOn w:val="Hesber"/>
    <w:rsid w:val="003C3467"/>
    <w:pPr>
      <w:spacing w:before="120" w:after="120"/>
      <w:ind w:left="1418"/>
      <w:jc w:val="right"/>
    </w:pPr>
    <w:rPr>
      <w:b/>
      <w:bCs/>
    </w:rPr>
  </w:style>
  <w:style w:type="paragraph" w:customStyle="1" w:styleId="Hesber1st">
    <w:name w:val="Hesber 1st"/>
    <w:basedOn w:val="Hesber"/>
    <w:rsid w:val="003C3467"/>
    <w:pPr>
      <w:tabs>
        <w:tab w:val="left" w:pos="680"/>
        <w:tab w:val="left" w:pos="1020"/>
      </w:tabs>
      <w:ind w:firstLine="0"/>
    </w:pPr>
  </w:style>
  <w:style w:type="character" w:styleId="a7">
    <w:name w:val="endnote reference"/>
    <w:basedOn w:val="a0"/>
    <w:semiHidden/>
    <w:rsid w:val="003C3467"/>
    <w:rPr>
      <w:vertAlign w:val="superscript"/>
    </w:rPr>
  </w:style>
  <w:style w:type="paragraph" w:customStyle="1" w:styleId="TableBlockOutdent">
    <w:name w:val="Table BlockOutdent"/>
    <w:basedOn w:val="TableBlock"/>
    <w:rsid w:val="003C3467"/>
    <w:pPr>
      <w:ind w:left="624" w:hanging="624"/>
    </w:pPr>
  </w:style>
  <w:style w:type="paragraph" w:styleId="a8">
    <w:name w:val="header"/>
    <w:basedOn w:val="a"/>
    <w:rsid w:val="003C3467"/>
    <w:pPr>
      <w:tabs>
        <w:tab w:val="center" w:pos="4153"/>
        <w:tab w:val="right" w:pos="8306"/>
      </w:tabs>
    </w:pPr>
  </w:style>
  <w:style w:type="paragraph" w:styleId="a9">
    <w:name w:val="footer"/>
    <w:basedOn w:val="a"/>
    <w:rsid w:val="003C3467"/>
    <w:pPr>
      <w:tabs>
        <w:tab w:val="center" w:pos="4153"/>
        <w:tab w:val="right" w:pos="8306"/>
      </w:tabs>
    </w:pPr>
  </w:style>
  <w:style w:type="paragraph" w:customStyle="1" w:styleId="HeadDivreiHesber">
    <w:name w:val="Head DivreiHesber"/>
    <w:basedOn w:val="a"/>
    <w:rsid w:val="003C3467"/>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C3467"/>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C3467"/>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6B1A26"/>
    <w:rPr>
      <w:rFonts w:ascii="Arial" w:eastAsia="Arial Unicode MS" w:hAnsi="Arial" w:cs="David"/>
      <w:snapToGrid w:val="0"/>
      <w:sz w:val="14"/>
    </w:rPr>
  </w:style>
  <w:style w:type="table" w:customStyle="1" w:styleId="ae">
    <w:name w:val="טבלת חקיקה"/>
    <w:basedOn w:val="a1"/>
    <w:uiPriority w:val="99"/>
    <w:rsid w:val="003C3467"/>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character" w:customStyle="1" w:styleId="10">
    <w:name w:val="כותרת 1 תו"/>
    <w:basedOn w:val="a0"/>
    <w:link w:val="1"/>
    <w:uiPriority w:val="9"/>
    <w:rsid w:val="003C3467"/>
    <w:rPr>
      <w:rFonts w:asciiTheme="majorHAnsi" w:eastAsiaTheme="majorEastAsia" w:hAnsiTheme="majorHAnsi" w:cs="David"/>
      <w:bCs/>
      <w:sz w:val="32"/>
      <w:szCs w:val="36"/>
    </w:rPr>
  </w:style>
  <w:style w:type="character" w:customStyle="1" w:styleId="20">
    <w:name w:val="כותרת 2 תו"/>
    <w:basedOn w:val="a0"/>
    <w:link w:val="2"/>
    <w:rsid w:val="003C3467"/>
    <w:rPr>
      <w:rFonts w:asciiTheme="majorHAnsi" w:eastAsiaTheme="majorEastAsia" w:hAnsiTheme="majorHAnsi" w:cs="David"/>
      <w:bCs/>
      <w:sz w:val="26"/>
      <w:szCs w:val="36"/>
      <w:u w:val="single"/>
    </w:rPr>
  </w:style>
  <w:style w:type="character" w:customStyle="1" w:styleId="30">
    <w:name w:val="כותרת 3 תו"/>
    <w:basedOn w:val="a0"/>
    <w:link w:val="3"/>
    <w:rsid w:val="003C3467"/>
    <w:rPr>
      <w:rFonts w:asciiTheme="majorHAnsi" w:eastAsiaTheme="majorEastAsia" w:hAnsiTheme="majorHAnsi" w:cs="David"/>
      <w:sz w:val="24"/>
      <w:szCs w:val="28"/>
      <w:u w:val="double"/>
    </w:rPr>
  </w:style>
  <w:style w:type="character" w:customStyle="1" w:styleId="40">
    <w:name w:val="כותרת 4 תו"/>
    <w:basedOn w:val="a0"/>
    <w:link w:val="4"/>
    <w:uiPriority w:val="9"/>
    <w:rsid w:val="003C3467"/>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C3467"/>
    <w:rPr>
      <w:rFonts w:ascii="David" w:eastAsiaTheme="minorHAnsi" w:hAnsi="David" w:cs="David"/>
      <w:color w:val="000000" w:themeColor="text1"/>
      <w:sz w:val="24"/>
      <w:szCs w:val="24"/>
    </w:rPr>
  </w:style>
  <w:style w:type="paragraph" w:styleId="af">
    <w:name w:val="TOC Heading"/>
    <w:basedOn w:val="1"/>
    <w:next w:val="a"/>
    <w:uiPriority w:val="39"/>
    <w:unhideWhenUsed/>
    <w:qFormat/>
    <w:rsid w:val="003C3467"/>
    <w:pPr>
      <w:widowControl/>
      <w:spacing w:before="120" w:after="120"/>
      <w:outlineLvl w:val="9"/>
    </w:pPr>
    <w:rPr>
      <w:rtl/>
      <w:cs/>
    </w:rPr>
  </w:style>
  <w:style w:type="paragraph" w:styleId="TOC1">
    <w:name w:val="toc 1"/>
    <w:basedOn w:val="a"/>
    <w:next w:val="a"/>
    <w:autoRedefine/>
    <w:uiPriority w:val="39"/>
    <w:unhideWhenUsed/>
    <w:rsid w:val="003C3467"/>
    <w:pPr>
      <w:tabs>
        <w:tab w:val="right" w:leader="dot" w:pos="9629"/>
      </w:tabs>
      <w:spacing w:after="100"/>
    </w:pPr>
    <w:rPr>
      <w:bCs/>
      <w:szCs w:val="22"/>
    </w:rPr>
  </w:style>
  <w:style w:type="paragraph" w:styleId="TOC2">
    <w:name w:val="toc 2"/>
    <w:basedOn w:val="a"/>
    <w:next w:val="a"/>
    <w:uiPriority w:val="39"/>
    <w:unhideWhenUsed/>
    <w:rsid w:val="003C3467"/>
    <w:pPr>
      <w:tabs>
        <w:tab w:val="right" w:leader="dot" w:pos="9628"/>
      </w:tabs>
      <w:spacing w:after="100"/>
    </w:pPr>
    <w:rPr>
      <w:szCs w:val="22"/>
    </w:rPr>
  </w:style>
  <w:style w:type="character" w:styleId="Hyperlink">
    <w:name w:val="Hyperlink"/>
    <w:basedOn w:val="a0"/>
    <w:uiPriority w:val="99"/>
    <w:unhideWhenUsed/>
    <w:rsid w:val="003C3467"/>
    <w:rPr>
      <w:color w:val="0000FF" w:themeColor="hyperlink"/>
      <w:u w:val="single"/>
    </w:rPr>
  </w:style>
  <w:style w:type="paragraph" w:styleId="TOC3">
    <w:name w:val="toc 3"/>
    <w:basedOn w:val="a"/>
    <w:next w:val="a"/>
    <w:uiPriority w:val="39"/>
    <w:unhideWhenUsed/>
    <w:rsid w:val="003C3467"/>
    <w:pPr>
      <w:numPr>
        <w:numId w:val="27"/>
      </w:numPr>
      <w:tabs>
        <w:tab w:val="right" w:leader="dot" w:pos="9629"/>
      </w:tabs>
      <w:spacing w:after="100"/>
      <w:ind w:left="811" w:hanging="357"/>
    </w:pPr>
    <w:rPr>
      <w:szCs w:val="22"/>
    </w:rPr>
  </w:style>
  <w:style w:type="paragraph" w:styleId="TOC4">
    <w:name w:val="toc 4"/>
    <w:basedOn w:val="a"/>
    <w:next w:val="a"/>
    <w:autoRedefine/>
    <w:unhideWhenUsed/>
    <w:qFormat/>
    <w:rsid w:val="003C3467"/>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C3467"/>
    <w:pPr>
      <w:tabs>
        <w:tab w:val="right" w:leader="dot" w:pos="9628"/>
      </w:tabs>
      <w:spacing w:after="100"/>
      <w:ind w:left="567"/>
    </w:pPr>
    <w:rPr>
      <w:szCs w:val="22"/>
    </w:rPr>
  </w:style>
  <w:style w:type="paragraph" w:styleId="TOC6">
    <w:name w:val="toc 6"/>
    <w:basedOn w:val="a"/>
    <w:next w:val="a"/>
    <w:autoRedefine/>
    <w:semiHidden/>
    <w:unhideWhenUsed/>
    <w:rsid w:val="003C3467"/>
    <w:pPr>
      <w:spacing w:after="100"/>
      <w:ind w:left="850"/>
    </w:pPr>
  </w:style>
  <w:style w:type="paragraph" w:styleId="TOC7">
    <w:name w:val="toc 7"/>
    <w:basedOn w:val="a"/>
    <w:next w:val="a"/>
    <w:autoRedefine/>
    <w:semiHidden/>
    <w:unhideWhenUsed/>
    <w:rsid w:val="003C3467"/>
    <w:pPr>
      <w:spacing w:after="100"/>
      <w:ind w:left="1020"/>
    </w:pPr>
  </w:style>
  <w:style w:type="paragraph" w:styleId="TOC8">
    <w:name w:val="toc 8"/>
    <w:basedOn w:val="a"/>
    <w:next w:val="a"/>
    <w:autoRedefine/>
    <w:semiHidden/>
    <w:unhideWhenUsed/>
    <w:rsid w:val="003C3467"/>
    <w:pPr>
      <w:spacing w:after="100"/>
      <w:ind w:left="1190"/>
    </w:pPr>
  </w:style>
  <w:style w:type="paragraph" w:styleId="TOC9">
    <w:name w:val="toc 9"/>
    <w:basedOn w:val="a"/>
    <w:next w:val="a"/>
    <w:autoRedefine/>
    <w:semiHidden/>
    <w:unhideWhenUsed/>
    <w:rsid w:val="003C3467"/>
    <w:pPr>
      <w:spacing w:after="100"/>
      <w:ind w:left="1360"/>
    </w:pPr>
  </w:style>
  <w:style w:type="paragraph" w:customStyle="1" w:styleId="TableHead2">
    <w:name w:val="Table Head2"/>
    <w:basedOn w:val="TableHead"/>
    <w:qFormat/>
    <w:rsid w:val="003C3467"/>
    <w:pPr>
      <w:outlineLvl w:val="9"/>
    </w:pPr>
  </w:style>
  <w:style w:type="paragraph" w:customStyle="1" w:styleId="TableSideHeading2">
    <w:name w:val="Table SideHeading2"/>
    <w:basedOn w:val="TableSideHeading"/>
    <w:autoRedefine/>
    <w:qFormat/>
    <w:rsid w:val="003C3467"/>
    <w:pPr>
      <w:keepLines w:val="0"/>
      <w:outlineLvl w:val="9"/>
    </w:pPr>
  </w:style>
  <w:style w:type="paragraph" w:customStyle="1" w:styleId="0">
    <w:name w:val="סגנון שורה ראשונה:  0  ס''מ"/>
    <w:basedOn w:val="2"/>
    <w:rsid w:val="003C3467"/>
    <w:rPr>
      <w:rFonts w:eastAsia="Times New Roman"/>
    </w:rPr>
  </w:style>
  <w:style w:type="paragraph" w:styleId="af0">
    <w:name w:val="List Paragraph"/>
    <w:basedOn w:val="a"/>
    <w:uiPriority w:val="34"/>
    <w:qFormat/>
    <w:rsid w:val="003C3467"/>
    <w:pPr>
      <w:widowControl/>
      <w:spacing w:line="259" w:lineRule="auto"/>
    </w:pPr>
    <w:rPr>
      <w:rFonts w:asciiTheme="minorHAnsi" w:hAnsiTheme="minorHAnsi"/>
      <w:sz w:val="22"/>
    </w:rPr>
  </w:style>
  <w:style w:type="table" w:styleId="af1">
    <w:name w:val="Table Grid"/>
    <w:basedOn w:val="a1"/>
    <w:rsid w:val="003C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C34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C34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
    <w:name w:val="סגנון1"/>
    <w:basedOn w:val="a1"/>
    <w:uiPriority w:val="99"/>
    <w:rsid w:val="003C3467"/>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290d5b49-c690-4c6f-bbb9-1e50dab33eee"/>
    <ds:schemaRef ds:uri="http://schemas.microsoft.com/office/2006/documentManagement/types"/>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C751E4A2-3F11-4BFC-AA8D-F51A6088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766468-E108-4228-B3DD-E70C732B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2253</Words>
  <Characters>11270</Characters>
  <Application>Microsoft Office Word</Application>
  <DocSecurity>0</DocSecurity>
  <Lines>93</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10</cp:revision>
  <cp:lastPrinted>2026-04-27T13:27:00Z</cp:lastPrinted>
  <dcterms:created xsi:type="dcterms:W3CDTF">2015-04-20T09:58:00Z</dcterms:created>
  <dcterms:modified xsi:type="dcterms:W3CDTF">2026-05-06T08:06:00Z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2240459</vt:r8>
  </property>
</Properties>
</file>