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C533FC" w:rsidRDefault="004033D8" w:rsidP="00E635A2">
      <w:pPr>
        <w:jc w:val="right"/>
        <w:rPr>
          <w:b/>
          <w:bCs/>
          <w:sz w:val="20"/>
          <w:szCs w:val="20"/>
        </w:rPr>
      </w:pPr>
      <w:r w:rsidRPr="00C533FC">
        <w:rPr>
          <w:sz w:val="20"/>
          <w:szCs w:val="20"/>
          <w:rtl/>
        </w:rPr>
        <w:t xml:space="preserve">מספר פנימי: </w:t>
      </w:r>
      <w:bookmarkStart w:id="0" w:name="LGS_Internal_ID"/>
      <w:r w:rsidRPr="00C533FC">
        <w:rPr>
          <w:sz w:val="20"/>
          <w:szCs w:val="20"/>
          <w:rtl/>
        </w:rPr>
        <w:t>2239606</w:t>
      </w:r>
      <w:bookmarkEnd w:id="0"/>
    </w:p>
    <w:p w14:paraId="7F6961A2" w14:textId="53D639AE" w:rsidR="00E13C27" w:rsidRPr="00740323" w:rsidRDefault="00E13C27" w:rsidP="00A443CF">
      <w:pPr>
        <w:pStyle w:val="HeadHatzaotHok"/>
        <w:rPr>
          <w:rFonts w:ascii="David" w:hAnsi="David"/>
          <w:sz w:val="26"/>
          <w:rtl/>
        </w:rPr>
      </w:pPr>
      <w:r w:rsidRPr="00740323">
        <w:rPr>
          <w:rFonts w:ascii="David" w:hAnsi="David"/>
          <w:sz w:val="26"/>
          <w:rtl/>
        </w:rPr>
        <w:t xml:space="preserve">הכנסת </w:t>
      </w:r>
      <w:bookmarkStart w:id="1" w:name="LGS_Knesset_Num"/>
      <w:r w:rsidRPr="00740323">
        <w:rPr>
          <w:rFonts w:ascii="David" w:hAnsi="David"/>
          <w:sz w:val="26"/>
          <w:rtl/>
        </w:rPr>
        <w:t>העשרים וחמש</w:t>
      </w:r>
      <w:bookmarkEnd w:id="1"/>
    </w:p>
    <w:p w14:paraId="7F6961A3" w14:textId="77777777" w:rsidR="00E13C27" w:rsidRPr="00740323" w:rsidRDefault="00E13C27" w:rsidP="00E13C27">
      <w:pPr>
        <w:rPr>
          <w:b/>
          <w:bCs/>
          <w:sz w:val="26"/>
          <w:szCs w:val="26"/>
          <w:rtl/>
        </w:rPr>
      </w:pPr>
    </w:p>
    <w:p w14:paraId="7F6961AA" w14:textId="4CCE4E50" w:rsidR="00E13C27" w:rsidRPr="00740323" w:rsidRDefault="008F6665" w:rsidP="00AE183F">
      <w:pPr>
        <w:pStyle w:val="David"/>
        <w:spacing w:before="102"/>
        <w:ind w:left="3544"/>
        <w:rPr>
          <w:b/>
          <w:bCs/>
          <w:rtl/>
        </w:rPr>
      </w:pPr>
      <w:bookmarkStart w:id="2" w:name="LGS_Initiators_List"/>
      <w:r w:rsidRPr="00740323">
        <w:rPr>
          <w:b/>
          <w:bCs/>
          <w:rtl/>
        </w:rPr>
        <w:t>יוזם:</w:t>
      </w:r>
      <w:r w:rsidRPr="00740323">
        <w:tab/>
      </w:r>
      <w:r w:rsidRPr="00740323">
        <w:rPr>
          <w:b/>
          <w:bCs/>
          <w:rtl/>
        </w:rPr>
        <w:t xml:space="preserve">      חבר הכנסת</w:t>
      </w:r>
      <w:bookmarkEnd w:id="2"/>
      <w:r w:rsidR="00B35784" w:rsidRPr="00740323">
        <w:rPr>
          <w:b/>
          <w:bCs/>
        </w:rPr>
        <w:tab/>
      </w:r>
      <w:bookmarkStart w:id="3" w:name="LGS_PM_Names"/>
      <w:r w:rsidRPr="00740323">
        <w:rPr>
          <w:b/>
          <w:bCs/>
          <w:rtl/>
        </w:rPr>
        <w:t>דן אילוז</w:t>
      </w:r>
      <w:bookmarkStart w:id="4" w:name="LGS_Join_List"/>
      <w:bookmarkEnd w:id="3"/>
      <w:r w:rsidR="007D585A" w:rsidRPr="00740323">
        <w:rPr>
          <w:rtl/>
        </w:rPr>
        <w:t xml:space="preserve"> </w:t>
      </w:r>
      <w:bookmarkEnd w:id="4"/>
      <w:r w:rsidR="002200A1" w:rsidRPr="00740323">
        <w:rPr>
          <w:rtl/>
        </w:rPr>
        <w:tab/>
      </w:r>
      <w:bookmarkStart w:id="5" w:name="LGS_PM_NamesJoin"/>
      <w:r w:rsidR="007D585A" w:rsidRPr="00740323">
        <w:rPr>
          <w:rtl/>
        </w:rPr>
        <w:t xml:space="preserve"> </w:t>
      </w:r>
      <w:bookmarkEnd w:id="5"/>
    </w:p>
    <w:p w14:paraId="1120640D" w14:textId="77777777" w:rsidR="00AE183F" w:rsidRDefault="00266D86" w:rsidP="00AE183F">
      <w:pPr>
        <w:pStyle w:val="David"/>
        <w:ind w:left="3544"/>
        <w:rPr>
          <w:rtl/>
        </w:rPr>
      </w:pPr>
      <w:r w:rsidRPr="00740323">
        <w:t>____</w:t>
      </w:r>
      <w:r w:rsidR="00E374F2" w:rsidRPr="00740323">
        <w:t>__</w:t>
      </w:r>
      <w:r w:rsidRPr="00740323">
        <w:t>________________________________________</w:t>
      </w:r>
      <w:bookmarkStart w:id="6" w:name="Private_Number"/>
    </w:p>
    <w:p w14:paraId="7F6961AB" w14:textId="7B053071" w:rsidR="00E13C27" w:rsidRPr="00740323" w:rsidRDefault="00266D86" w:rsidP="00AE183F">
      <w:pPr>
        <w:pStyle w:val="David"/>
        <w:ind w:left="6424" w:firstLine="56"/>
        <w:rPr>
          <w:rtl/>
        </w:rPr>
      </w:pPr>
      <w:r>
        <w:rPr>
          <w:rtl/>
        </w:rPr>
        <w:t>פ</w:t>
      </w:r>
      <w:r w:rsidR="00790B1C">
        <w:rPr>
          <w:rFonts w:hint="cs"/>
          <w:rtl/>
        </w:rPr>
        <w:t>/</w:t>
      </w:r>
      <w:r>
        <w:t>6503/25</w:t>
      </w:r>
      <w:bookmarkEnd w:id="6"/>
    </w:p>
    <w:p w14:paraId="7F6961AC" w14:textId="77777777" w:rsidR="00E13C27" w:rsidRPr="00740323" w:rsidRDefault="00E13C27" w:rsidP="00E13C27">
      <w:pPr>
        <w:ind w:left="2880" w:firstLine="720"/>
        <w:rPr>
          <w:sz w:val="26"/>
          <w:szCs w:val="26"/>
          <w:rtl/>
        </w:rPr>
      </w:pPr>
    </w:p>
    <w:p w14:paraId="3CA7B93D" w14:textId="77777777" w:rsidR="00C533FC" w:rsidRPr="00C533FC" w:rsidRDefault="00A443CF" w:rsidP="00C533FC">
      <w:pPr>
        <w:pStyle w:val="HeadHatzaotHok"/>
        <w:spacing w:before="0"/>
        <w:rPr>
          <w:rtl/>
        </w:rPr>
      </w:pPr>
      <w:bookmarkStart w:id="7" w:name="LGS_Subject"/>
      <w:r w:rsidRPr="00C533FC">
        <w:rPr>
          <w:rtl/>
        </w:rPr>
        <w:t xml:space="preserve">הצעת חוק העמותות (תיקון – הסדרת מעמדן של אגודות עותמאניות </w:t>
      </w:r>
      <w:r w:rsidR="00C533FC" w:rsidRPr="00C533FC">
        <w:rPr>
          <w:rtl/>
        </w:rPr>
        <w:t xml:space="preserve">כעמותות רשומות), </w:t>
      </w:r>
    </w:p>
    <w:p w14:paraId="7F6961AD" w14:textId="2C0E538B" w:rsidR="00E13C27" w:rsidRPr="00C533FC" w:rsidRDefault="00A443CF" w:rsidP="00C533FC">
      <w:pPr>
        <w:pStyle w:val="HeadHatzaotHok"/>
        <w:spacing w:before="0"/>
        <w:rPr>
          <w:rtl/>
        </w:rPr>
      </w:pPr>
      <w:r w:rsidRPr="00C533FC">
        <w:rPr>
          <w:rtl/>
        </w:rPr>
        <w:t>התשפ"ו–2026</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AF5865" w:rsidRPr="00C74A4D" w14:paraId="6AB0A352" w14:textId="77777777" w:rsidTr="00AE183F">
        <w:trPr>
          <w:cantSplit/>
        </w:trPr>
        <w:tc>
          <w:tcPr>
            <w:tcW w:w="1871" w:type="dxa"/>
            <w:hideMark/>
          </w:tcPr>
          <w:p w14:paraId="2520134F" w14:textId="77777777" w:rsidR="00AF5865" w:rsidRPr="00AE183F" w:rsidRDefault="00AF5865" w:rsidP="00AE183F">
            <w:pPr>
              <w:pStyle w:val="TableSideHeading"/>
              <w:tabs>
                <w:tab w:val="left" w:pos="624"/>
                <w:tab w:val="left" w:pos="1247"/>
              </w:tabs>
              <w:outlineLvl w:val="9"/>
            </w:pPr>
            <w:r w:rsidRPr="00AE183F">
              <w:rPr>
                <w:rtl/>
              </w:rPr>
              <w:t>תיקון סעיף 60</w:t>
            </w:r>
          </w:p>
        </w:tc>
        <w:tc>
          <w:tcPr>
            <w:tcW w:w="624" w:type="dxa"/>
            <w:hideMark/>
          </w:tcPr>
          <w:p w14:paraId="5A917F7C" w14:textId="77777777" w:rsidR="00AF5865" w:rsidRPr="00AE183F" w:rsidRDefault="00AF5865" w:rsidP="00AE183F">
            <w:pPr>
              <w:pStyle w:val="TableText"/>
              <w:tabs>
                <w:tab w:val="left" w:pos="624"/>
                <w:tab w:val="left" w:pos="1247"/>
              </w:tabs>
              <w:jc w:val="both"/>
            </w:pPr>
            <w:r w:rsidRPr="00AE183F">
              <w:rPr>
                <w:rtl/>
              </w:rPr>
              <w:t>1.</w:t>
            </w:r>
          </w:p>
        </w:tc>
        <w:tc>
          <w:tcPr>
            <w:tcW w:w="7143" w:type="dxa"/>
            <w:hideMark/>
          </w:tcPr>
          <w:p w14:paraId="1AD4A452" w14:textId="7111254E" w:rsidR="00AF5865" w:rsidRPr="00AE183F" w:rsidRDefault="00AF5865" w:rsidP="00AE183F">
            <w:pPr>
              <w:pStyle w:val="TableBlock"/>
              <w:tabs>
                <w:tab w:val="left" w:pos="624"/>
                <w:tab w:val="left" w:pos="1247"/>
              </w:tabs>
            </w:pPr>
            <w:r w:rsidRPr="00AE183F">
              <w:rPr>
                <w:rtl/>
              </w:rPr>
              <w:t>בחוק העמותות, התש"ם–1980</w:t>
            </w:r>
            <w:r w:rsidRPr="00AE183F">
              <w:rPr>
                <w:rFonts w:ascii="David" w:hAnsi="David"/>
                <w:sz w:val="26"/>
                <w:vertAlign w:val="superscript"/>
                <w:rtl/>
              </w:rPr>
              <w:footnoteReference w:id="2"/>
            </w:r>
            <w:r w:rsidRPr="00AE183F">
              <w:rPr>
                <w:rtl/>
              </w:rPr>
              <w:t xml:space="preserve"> (להלן – החוק העיקרי), בסעיף 60(א), במקום "רשאית להגיש לרשם בקשה להירשם כעמותה" יבוא "תגיש לרשם בקשה להירשם כעמותה בתוך שנה מיום פרסומו של חוק העמותות (תיקון – הסדרת מעמדן של אגודות </w:t>
            </w:r>
            <w:r w:rsidR="00790B1C" w:rsidRPr="00AE183F">
              <w:rPr>
                <w:rtl/>
              </w:rPr>
              <w:t>עותמאניות כעמותות רשומות), התש</w:t>
            </w:r>
            <w:r w:rsidR="00790B1C" w:rsidRPr="00AE183F">
              <w:rPr>
                <w:rFonts w:hint="cs"/>
                <w:rtl/>
              </w:rPr>
              <w:t>פ"ו</w:t>
            </w:r>
            <w:r w:rsidRPr="00AE183F">
              <w:rPr>
                <w:rtl/>
              </w:rPr>
              <w:t>–202</w:t>
            </w:r>
            <w:r w:rsidR="00790B1C" w:rsidRPr="00AE183F">
              <w:rPr>
                <w:rFonts w:hint="cs"/>
                <w:rtl/>
              </w:rPr>
              <w:t>6</w:t>
            </w:r>
            <w:r w:rsidRPr="00AE183F">
              <w:rPr>
                <w:rtl/>
              </w:rPr>
              <w:t>".</w:t>
            </w:r>
          </w:p>
        </w:tc>
      </w:tr>
      <w:tr w:rsidR="00AF5865" w:rsidRPr="00C74A4D" w14:paraId="2CD80338" w14:textId="77777777" w:rsidTr="00AE183F">
        <w:trPr>
          <w:cantSplit/>
        </w:trPr>
        <w:tc>
          <w:tcPr>
            <w:tcW w:w="1871" w:type="dxa"/>
            <w:hideMark/>
          </w:tcPr>
          <w:p w14:paraId="15767036" w14:textId="77777777" w:rsidR="00AF5865" w:rsidRPr="00AE183F" w:rsidRDefault="00AF5865" w:rsidP="00AE183F">
            <w:pPr>
              <w:pStyle w:val="TableSideHeading"/>
              <w:tabs>
                <w:tab w:val="left" w:pos="624"/>
                <w:tab w:val="left" w:pos="1247"/>
              </w:tabs>
              <w:outlineLvl w:val="9"/>
              <w:rPr>
                <w:rtl/>
              </w:rPr>
            </w:pPr>
            <w:r w:rsidRPr="00AE183F">
              <w:rPr>
                <w:rtl/>
              </w:rPr>
              <w:t xml:space="preserve">ביטול סעיפים </w:t>
            </w:r>
            <w:r w:rsidRPr="00AE183F">
              <w:rPr>
                <w:rtl/>
              </w:rPr>
              <w:br/>
              <w:t>67 ו-68</w:t>
            </w:r>
          </w:p>
        </w:tc>
        <w:tc>
          <w:tcPr>
            <w:tcW w:w="624" w:type="dxa"/>
            <w:hideMark/>
          </w:tcPr>
          <w:p w14:paraId="7BBB7EE9" w14:textId="77777777" w:rsidR="00AF5865" w:rsidRPr="00AE183F" w:rsidRDefault="00AF5865" w:rsidP="00AE183F">
            <w:pPr>
              <w:pStyle w:val="TableText"/>
              <w:tabs>
                <w:tab w:val="left" w:pos="624"/>
                <w:tab w:val="left" w:pos="1247"/>
              </w:tabs>
              <w:jc w:val="both"/>
              <w:rPr>
                <w:rtl/>
              </w:rPr>
            </w:pPr>
            <w:r w:rsidRPr="00AE183F">
              <w:rPr>
                <w:rtl/>
              </w:rPr>
              <w:t>2.</w:t>
            </w:r>
          </w:p>
        </w:tc>
        <w:tc>
          <w:tcPr>
            <w:tcW w:w="7143" w:type="dxa"/>
            <w:hideMark/>
          </w:tcPr>
          <w:p w14:paraId="6300B2CB" w14:textId="77777777" w:rsidR="00AF5865" w:rsidRPr="00AE183F" w:rsidRDefault="00AF5865" w:rsidP="00AE183F">
            <w:pPr>
              <w:pStyle w:val="TableBlock"/>
              <w:tabs>
                <w:tab w:val="left" w:pos="624"/>
                <w:tab w:val="left" w:pos="1247"/>
              </w:tabs>
              <w:rPr>
                <w:rtl/>
              </w:rPr>
            </w:pPr>
            <w:r w:rsidRPr="00AE183F">
              <w:rPr>
                <w:rtl/>
              </w:rPr>
              <w:t>סעיפים 67 ו-68 לחוק העיקרי – בטלים.</w:t>
            </w:r>
          </w:p>
        </w:tc>
      </w:tr>
      <w:tr w:rsidR="00AF5865" w:rsidRPr="00C74A4D" w14:paraId="34638CB6" w14:textId="77777777" w:rsidTr="00AE183F">
        <w:trPr>
          <w:cantSplit/>
        </w:trPr>
        <w:tc>
          <w:tcPr>
            <w:tcW w:w="1871" w:type="dxa"/>
            <w:hideMark/>
          </w:tcPr>
          <w:p w14:paraId="76003D47" w14:textId="77777777" w:rsidR="00AF5865" w:rsidRPr="00AE183F" w:rsidRDefault="00AF5865" w:rsidP="00AE183F">
            <w:pPr>
              <w:pStyle w:val="TableSideHeading"/>
              <w:tabs>
                <w:tab w:val="left" w:pos="624"/>
                <w:tab w:val="left" w:pos="1247"/>
              </w:tabs>
              <w:outlineLvl w:val="9"/>
              <w:rPr>
                <w:rtl/>
              </w:rPr>
            </w:pPr>
            <w:r w:rsidRPr="00AE183F">
              <w:rPr>
                <w:rtl/>
              </w:rPr>
              <w:t>ביטול החוק העותמאני על האגודות</w:t>
            </w:r>
          </w:p>
        </w:tc>
        <w:tc>
          <w:tcPr>
            <w:tcW w:w="624" w:type="dxa"/>
            <w:hideMark/>
          </w:tcPr>
          <w:p w14:paraId="023BC701" w14:textId="77777777" w:rsidR="00AF5865" w:rsidRPr="00AE183F" w:rsidRDefault="00AF5865" w:rsidP="00AE183F">
            <w:pPr>
              <w:pStyle w:val="TableText"/>
              <w:tabs>
                <w:tab w:val="left" w:pos="624"/>
                <w:tab w:val="left" w:pos="1247"/>
              </w:tabs>
              <w:jc w:val="both"/>
            </w:pPr>
            <w:r w:rsidRPr="00AE183F">
              <w:rPr>
                <w:rtl/>
              </w:rPr>
              <w:t>3.</w:t>
            </w:r>
          </w:p>
        </w:tc>
        <w:tc>
          <w:tcPr>
            <w:tcW w:w="7143" w:type="dxa"/>
            <w:hideMark/>
          </w:tcPr>
          <w:p w14:paraId="4A4E2EBB" w14:textId="77777777" w:rsidR="00AF5865" w:rsidRPr="00AE183F" w:rsidRDefault="00AF5865" w:rsidP="00AE183F">
            <w:pPr>
              <w:pStyle w:val="TableBlock"/>
              <w:tabs>
                <w:tab w:val="left" w:pos="624"/>
                <w:tab w:val="left" w:pos="1247"/>
              </w:tabs>
            </w:pPr>
            <w:r w:rsidRPr="00AE183F">
              <w:rPr>
                <w:rtl/>
              </w:rPr>
              <w:t xml:space="preserve">החוק העותמאני על האגודות מיום 29 לחודש רג'ב שנת 1327 (1909) – בטל. </w:t>
            </w:r>
          </w:p>
        </w:tc>
      </w:tr>
      <w:tr w:rsidR="00AF5865" w:rsidRPr="00C74A4D" w14:paraId="7522A218" w14:textId="77777777" w:rsidTr="00AE183F">
        <w:trPr>
          <w:cantSplit/>
        </w:trPr>
        <w:tc>
          <w:tcPr>
            <w:tcW w:w="1871" w:type="dxa"/>
            <w:hideMark/>
          </w:tcPr>
          <w:p w14:paraId="6A19E540" w14:textId="77777777" w:rsidR="00AF5865" w:rsidRPr="00AE183F" w:rsidRDefault="00AF5865" w:rsidP="00AE183F">
            <w:pPr>
              <w:pStyle w:val="TableSideHeading"/>
              <w:tabs>
                <w:tab w:val="left" w:pos="624"/>
                <w:tab w:val="left" w:pos="1247"/>
              </w:tabs>
              <w:outlineLvl w:val="9"/>
            </w:pPr>
            <w:r w:rsidRPr="00AE183F">
              <w:rPr>
                <w:rtl/>
              </w:rPr>
              <w:t>תחילה</w:t>
            </w:r>
          </w:p>
        </w:tc>
        <w:tc>
          <w:tcPr>
            <w:tcW w:w="624" w:type="dxa"/>
            <w:hideMark/>
          </w:tcPr>
          <w:p w14:paraId="7E7CBEDC" w14:textId="77777777" w:rsidR="00AF5865" w:rsidRPr="00AE183F" w:rsidRDefault="00AF5865" w:rsidP="00AE183F">
            <w:pPr>
              <w:pStyle w:val="TableText"/>
              <w:tabs>
                <w:tab w:val="left" w:pos="624"/>
                <w:tab w:val="left" w:pos="1247"/>
              </w:tabs>
              <w:jc w:val="both"/>
              <w:rPr>
                <w:rtl/>
              </w:rPr>
            </w:pPr>
            <w:r w:rsidRPr="00AE183F">
              <w:rPr>
                <w:rtl/>
              </w:rPr>
              <w:t>4.</w:t>
            </w:r>
          </w:p>
        </w:tc>
        <w:tc>
          <w:tcPr>
            <w:tcW w:w="7143" w:type="dxa"/>
            <w:hideMark/>
          </w:tcPr>
          <w:p w14:paraId="12B2EC5F" w14:textId="77777777" w:rsidR="00AF5865" w:rsidRPr="00AE183F" w:rsidRDefault="00AF5865" w:rsidP="00AE183F">
            <w:pPr>
              <w:pStyle w:val="TableBlock"/>
              <w:tabs>
                <w:tab w:val="left" w:pos="624"/>
                <w:tab w:val="left" w:pos="1247"/>
              </w:tabs>
              <w:rPr>
                <w:rtl/>
              </w:rPr>
            </w:pPr>
            <w:r w:rsidRPr="00AE183F">
              <w:rPr>
                <w:rtl/>
              </w:rPr>
              <w:t>תחילתם של סעיפים 2 ו-3 שנה מיום פרסומו של חוק זה.</w:t>
            </w:r>
          </w:p>
        </w:tc>
      </w:tr>
    </w:tbl>
    <w:p w14:paraId="7F6961CA" w14:textId="77777777" w:rsidR="002D1EE3" w:rsidRPr="00740323" w:rsidRDefault="002D1EE3" w:rsidP="002D1EE3">
      <w:pPr>
        <w:pStyle w:val="HeadDivreiHesber"/>
        <w:rPr>
          <w:rFonts w:ascii="David" w:hAnsi="David"/>
          <w:sz w:val="26"/>
          <w:rtl/>
        </w:rPr>
      </w:pPr>
      <w:r w:rsidRPr="00740323">
        <w:rPr>
          <w:rFonts w:ascii="David" w:hAnsi="David"/>
          <w:sz w:val="26"/>
          <w:rtl/>
        </w:rPr>
        <w:t>דברי הסבר</w:t>
      </w:r>
    </w:p>
    <w:p w14:paraId="13914FC9" w14:textId="2DF1AE95" w:rsidR="00AF5865" w:rsidRPr="00AE183F" w:rsidRDefault="00AF5865" w:rsidP="00AE183F">
      <w:pPr>
        <w:pStyle w:val="Hesber"/>
        <w:spacing w:line="240" w:lineRule="auto"/>
      </w:pPr>
      <w:r w:rsidRPr="00AE183F">
        <w:rPr>
          <w:rtl/>
        </w:rPr>
        <w:t>כיום חוק העמותות, התש"ם–1980, אינו מחייב אגודות עותמאניות להפוך לעמותות, ומאפשר ל</w:t>
      </w:r>
      <w:r w:rsidR="00AE183F">
        <w:rPr>
          <w:rFonts w:hint="cs"/>
          <w:rtl/>
        </w:rPr>
        <w:t>הן</w:t>
      </w:r>
      <w:r w:rsidRPr="00AE183F">
        <w:rPr>
          <w:rtl/>
        </w:rPr>
        <w:t xml:space="preserve"> להמשיך ולהתקיים בלי שהן נתונות לביקורת. החוק במתכונתו הנוכחית קוב</w:t>
      </w:r>
      <w:r w:rsidR="00AE183F">
        <w:rPr>
          <w:rtl/>
        </w:rPr>
        <w:t>ע כי העמותות העותמאניות רשאיות</w:t>
      </w:r>
      <w:r w:rsidRPr="00AE183F">
        <w:rPr>
          <w:rtl/>
        </w:rPr>
        <w:t xml:space="preserve"> להירשם כעמותות, כך שחוק העמותות יחול עליהן, אך בפועל חלק גדול מהן לא הגיש בקשה להירשם כעמותות ולכן אותן אגודות עותמאניות אינן עומדות לביקורת ואינן שקופות לעין הציבור.</w:t>
      </w:r>
    </w:p>
    <w:p w14:paraId="48AE839F" w14:textId="2BA98E00" w:rsidR="00AF5865" w:rsidRPr="00AE183F" w:rsidRDefault="00C533FC" w:rsidP="00AE183F">
      <w:pPr>
        <w:pStyle w:val="Hesber"/>
        <w:spacing w:line="240" w:lineRule="auto"/>
        <w:rPr>
          <w:rtl/>
        </w:rPr>
      </w:pPr>
      <w:r w:rsidRPr="00AE183F">
        <w:rPr>
          <w:rtl/>
        </w:rPr>
        <w:t>לא יתכן שבשנה ה</w:t>
      </w:r>
      <w:r w:rsidRPr="00AE183F">
        <w:rPr>
          <w:rFonts w:hint="cs"/>
          <w:rtl/>
        </w:rPr>
        <w:t>-77</w:t>
      </w:r>
      <w:r w:rsidR="00AF5865" w:rsidRPr="00AE183F">
        <w:rPr>
          <w:rtl/>
        </w:rPr>
        <w:t xml:space="preserve"> להיווסדה של מדינת ישראל שיטת המשפט הישראלית עדיין נסמכת על חקיקה עותמאנית, הזרה לרוח המדינה. על כן מוצע לקבוע כי אגודה עותמאנית תגיש בקשה להירשם כעמותה רשומה בתוך שנה מיום כניסתו של התיקון המוצע לתוקף ובמקביל לבטל את החוק העותמאני על האגודות (1909). </w:t>
      </w:r>
    </w:p>
    <w:p w14:paraId="69FC4E0A" w14:textId="007167AD" w:rsidR="00AF5865" w:rsidRPr="00AE183F" w:rsidRDefault="00AF5865" w:rsidP="00AE183F">
      <w:pPr>
        <w:pStyle w:val="Hesber"/>
        <w:spacing w:line="240" w:lineRule="auto"/>
        <w:rPr>
          <w:rtl/>
        </w:rPr>
      </w:pPr>
      <w:r w:rsidRPr="00AE183F">
        <w:rPr>
          <w:rtl/>
        </w:rPr>
        <w:t>הצע</w:t>
      </w:r>
      <w:r w:rsidR="00790B1C" w:rsidRPr="00AE183F">
        <w:rPr>
          <w:rFonts w:hint="cs"/>
          <w:rtl/>
        </w:rPr>
        <w:t>ו</w:t>
      </w:r>
      <w:r w:rsidRPr="00AE183F">
        <w:rPr>
          <w:rtl/>
        </w:rPr>
        <w:t>ת חוק ז</w:t>
      </w:r>
      <w:r w:rsidR="00790B1C" w:rsidRPr="00AE183F">
        <w:rPr>
          <w:rFonts w:hint="cs"/>
          <w:rtl/>
        </w:rPr>
        <w:t>הות הונחו</w:t>
      </w:r>
      <w:r w:rsidRPr="00AE183F">
        <w:rPr>
          <w:rFonts w:hint="cs"/>
          <w:rtl/>
        </w:rPr>
        <w:t xml:space="preserve"> על שולחן הכנסת העשרים וארבע על ידי חב</w:t>
      </w:r>
      <w:r w:rsidR="00790B1C" w:rsidRPr="00AE183F">
        <w:rPr>
          <w:rFonts w:hint="cs"/>
          <w:rtl/>
        </w:rPr>
        <w:t>רת הכנסת מרב מיכאלי (פ/1144/24) ועל שולחן הכנסת העשרים וחמש על ידי חבר הכנסת אוהד טל (פ/6502/25).</w:t>
      </w:r>
    </w:p>
    <w:p w14:paraId="7F6961CB" w14:textId="3AEF7DFB" w:rsidR="00E13C27" w:rsidRPr="00AE183F" w:rsidRDefault="00AF5865" w:rsidP="00AE183F">
      <w:pPr>
        <w:pStyle w:val="Hesber"/>
        <w:spacing w:line="240" w:lineRule="auto"/>
        <w:rPr>
          <w:rtl/>
        </w:rPr>
      </w:pPr>
      <w:r w:rsidRPr="00AE183F">
        <w:rPr>
          <w:rFonts w:hint="cs"/>
          <w:rtl/>
        </w:rPr>
        <w:t>הצעת החוק זהה לפ/1144/24 ולפיכך לא נבדקה מחדש על ידי הלשכה המשפטית של הכנסת.</w:t>
      </w:r>
    </w:p>
    <w:p w14:paraId="21308904" w14:textId="19A31A16" w:rsidR="00AA205A" w:rsidRDefault="00C533FC" w:rsidP="00C533FC">
      <w:pPr>
        <w:spacing w:line="240" w:lineRule="auto"/>
        <w:jc w:val="left"/>
      </w:pPr>
      <w:bookmarkStart w:id="8" w:name="selectedDocDateB"/>
      <w:bookmarkStart w:id="9" w:name="_GoBack"/>
      <w:bookmarkEnd w:id="8"/>
      <w:bookmarkEnd w:id="9"/>
      <w:r>
        <w:rPr>
          <w:rFonts w:eastAsia="David" w:hint="cs"/>
          <w:sz w:val="26"/>
          <w:szCs w:val="26"/>
          <w:rtl/>
        </w:rPr>
        <w:t>--------------------------------</w:t>
      </w:r>
    </w:p>
    <w:p w14:paraId="5E052615" w14:textId="77777777" w:rsidR="00AA205A" w:rsidRDefault="00C533FC" w:rsidP="00C533FC">
      <w:pPr>
        <w:spacing w:line="240" w:lineRule="auto"/>
        <w:jc w:val="left"/>
      </w:pPr>
      <w:r>
        <w:rPr>
          <w:rFonts w:eastAsia="David" w:hint="cs"/>
          <w:sz w:val="26"/>
          <w:szCs w:val="26"/>
          <w:rtl/>
        </w:rPr>
        <w:t>הוגשה ליו"ר הכנסת והסגנים</w:t>
      </w:r>
    </w:p>
    <w:p w14:paraId="0692E659" w14:textId="77777777" w:rsidR="00AA205A" w:rsidRDefault="00C533FC" w:rsidP="00C533FC">
      <w:pPr>
        <w:spacing w:line="240" w:lineRule="auto"/>
        <w:jc w:val="left"/>
      </w:pPr>
      <w:r>
        <w:rPr>
          <w:rFonts w:eastAsia="David" w:hint="cs"/>
          <w:sz w:val="26"/>
          <w:szCs w:val="26"/>
          <w:rtl/>
        </w:rPr>
        <w:t>והונחה על שולחן הכנסת ביום</w:t>
      </w:r>
    </w:p>
    <w:p w14:paraId="53F961FA" w14:textId="06649EBD" w:rsidR="00AA205A" w:rsidRDefault="00C533FC" w:rsidP="00790B1C">
      <w:pPr>
        <w:spacing w:line="240" w:lineRule="auto"/>
        <w:jc w:val="left"/>
      </w:pPr>
      <w:r>
        <w:rPr>
          <w:rFonts w:eastAsia="David" w:hint="cs"/>
          <w:sz w:val="26"/>
          <w:szCs w:val="26"/>
          <w:rtl/>
        </w:rPr>
        <w:t xml:space="preserve">ח' בשבט התשפ"ו (26.01.2026) </w:t>
      </w:r>
    </w:p>
    <w:sectPr w:rsidR="00AA205A" w:rsidSect="00AE183F">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19E9737C"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E183F">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AE183F">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CB16BA7" w14:textId="77777777" w:rsidR="00AF5865" w:rsidRDefault="00AF5865" w:rsidP="00AF5865">
      <w:pPr>
        <w:pStyle w:val="a4"/>
      </w:pPr>
      <w:r>
        <w:rPr>
          <w:rStyle w:val="a6"/>
        </w:rPr>
        <w:footnoteRef/>
      </w:r>
      <w:r>
        <w:rPr>
          <w:rtl/>
        </w:rPr>
        <w:t xml:space="preserve">  ס"ח התש"ם, עמ' 210.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40323"/>
    <w:rsid w:val="00763CAA"/>
    <w:rsid w:val="00765F66"/>
    <w:rsid w:val="0078664F"/>
    <w:rsid w:val="00790B1C"/>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05A"/>
    <w:rsid w:val="00AA2F03"/>
    <w:rsid w:val="00AC36F7"/>
    <w:rsid w:val="00AC63A4"/>
    <w:rsid w:val="00AD239E"/>
    <w:rsid w:val="00AE183F"/>
    <w:rsid w:val="00AF5865"/>
    <w:rsid w:val="00B10265"/>
    <w:rsid w:val="00B16A99"/>
    <w:rsid w:val="00B21211"/>
    <w:rsid w:val="00B35784"/>
    <w:rsid w:val="00B733A7"/>
    <w:rsid w:val="00B75C91"/>
    <w:rsid w:val="00B975AD"/>
    <w:rsid w:val="00BC45FB"/>
    <w:rsid w:val="00BF148D"/>
    <w:rsid w:val="00C23B1A"/>
    <w:rsid w:val="00C310EB"/>
    <w:rsid w:val="00C533FC"/>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F834D246-DCAD-4CF2-B5C8-EEA4623F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83F"/>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AE183F"/>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AE183F"/>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AE183F"/>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AE183F"/>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AE183F"/>
    <w:pPr>
      <w:spacing w:line="259" w:lineRule="auto"/>
      <w:outlineLvl w:val="4"/>
    </w:pPr>
    <w:rPr>
      <w:color w:val="000000" w:themeColor="text1"/>
    </w:rPr>
  </w:style>
  <w:style w:type="character" w:default="1" w:styleId="a0">
    <w:name w:val="Default Paragraph Font"/>
    <w:uiPriority w:val="1"/>
    <w:semiHidden/>
    <w:unhideWhenUsed/>
    <w:rsid w:val="00AE183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E183F"/>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AE183F"/>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AE183F"/>
    <w:rPr>
      <w:sz w:val="36"/>
      <w:szCs w:val="52"/>
    </w:rPr>
  </w:style>
  <w:style w:type="paragraph" w:customStyle="1" w:styleId="Cover3-Haknesset">
    <w:name w:val="Cover 3-Haknesset"/>
    <w:basedOn w:val="Cover1-Reshumot"/>
    <w:rsid w:val="00AE183F"/>
    <w:rPr>
      <w:b/>
      <w:bCs/>
      <w:spacing w:val="60"/>
    </w:rPr>
  </w:style>
  <w:style w:type="paragraph" w:customStyle="1" w:styleId="Cover4-Date">
    <w:name w:val="Cover 4-Date"/>
    <w:basedOn w:val="a"/>
    <w:rsid w:val="00AE183F"/>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AE183F"/>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AE183F"/>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AE183F"/>
    <w:pPr>
      <w:spacing w:before="120" w:after="120"/>
    </w:pPr>
    <w:rPr>
      <w:color w:val="FF0000"/>
      <w:w w:val="80"/>
    </w:rPr>
  </w:style>
  <w:style w:type="paragraph" w:styleId="a3">
    <w:name w:val="endnote text"/>
    <w:basedOn w:val="a"/>
    <w:semiHidden/>
    <w:rsid w:val="00AE183F"/>
    <w:pPr>
      <w:ind w:left="227" w:hanging="227"/>
    </w:pPr>
    <w:rPr>
      <w:sz w:val="14"/>
      <w:szCs w:val="22"/>
    </w:rPr>
  </w:style>
  <w:style w:type="paragraph" w:customStyle="1" w:styleId="TableText">
    <w:name w:val="Table Text"/>
    <w:basedOn w:val="a"/>
    <w:rsid w:val="00AE183F"/>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AE183F"/>
    <w:pPr>
      <w:outlineLvl w:val="2"/>
    </w:pPr>
  </w:style>
  <w:style w:type="paragraph" w:customStyle="1" w:styleId="TableBlock">
    <w:name w:val="Table Block"/>
    <w:basedOn w:val="TableText"/>
    <w:rsid w:val="00AE183F"/>
    <w:pPr>
      <w:jc w:val="both"/>
    </w:pPr>
  </w:style>
  <w:style w:type="paragraph" w:customStyle="1" w:styleId="TableHead">
    <w:name w:val="Table Head"/>
    <w:basedOn w:val="TableText"/>
    <w:rsid w:val="00AE183F"/>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AE183F"/>
    <w:pPr>
      <w:outlineLvl w:val="9"/>
    </w:pPr>
  </w:style>
  <w:style w:type="paragraph" w:customStyle="1" w:styleId="Hesber">
    <w:name w:val="Hesber"/>
    <w:basedOn w:val="a"/>
    <w:rsid w:val="00AE183F"/>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AE183F"/>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AE183F"/>
    <w:rPr>
      <w:vertAlign w:val="superscript"/>
    </w:rPr>
  </w:style>
  <w:style w:type="paragraph" w:customStyle="1" w:styleId="HesberHeading">
    <w:name w:val="Hesber Heading"/>
    <w:basedOn w:val="Hesber"/>
    <w:rsid w:val="00AE183F"/>
    <w:pPr>
      <w:tabs>
        <w:tab w:val="left" w:pos="624"/>
        <w:tab w:val="left" w:pos="1247"/>
      </w:tabs>
    </w:pPr>
    <w:rPr>
      <w:b/>
      <w:bCs/>
    </w:rPr>
  </w:style>
  <w:style w:type="paragraph" w:customStyle="1" w:styleId="HesberWriters">
    <w:name w:val="Hesber Writers"/>
    <w:basedOn w:val="Hesber"/>
    <w:rsid w:val="00AE183F"/>
    <w:pPr>
      <w:spacing w:before="120" w:after="120"/>
      <w:ind w:left="1418"/>
      <w:jc w:val="right"/>
    </w:pPr>
    <w:rPr>
      <w:b/>
      <w:bCs/>
    </w:rPr>
  </w:style>
  <w:style w:type="paragraph" w:customStyle="1" w:styleId="Hesber1st">
    <w:name w:val="Hesber 1st"/>
    <w:basedOn w:val="Hesber"/>
    <w:rsid w:val="00AE183F"/>
    <w:pPr>
      <w:tabs>
        <w:tab w:val="left" w:pos="680"/>
        <w:tab w:val="left" w:pos="1020"/>
      </w:tabs>
      <w:ind w:firstLine="0"/>
    </w:pPr>
  </w:style>
  <w:style w:type="character" w:styleId="a7">
    <w:name w:val="endnote reference"/>
    <w:basedOn w:val="a0"/>
    <w:semiHidden/>
    <w:rsid w:val="00AE183F"/>
    <w:rPr>
      <w:vertAlign w:val="superscript"/>
    </w:rPr>
  </w:style>
  <w:style w:type="paragraph" w:customStyle="1" w:styleId="TableBlockOutdent">
    <w:name w:val="Table BlockOutdent"/>
    <w:basedOn w:val="TableBlock"/>
    <w:rsid w:val="00AE183F"/>
    <w:pPr>
      <w:ind w:left="624" w:hanging="624"/>
    </w:pPr>
  </w:style>
  <w:style w:type="paragraph" w:styleId="a8">
    <w:name w:val="header"/>
    <w:basedOn w:val="a"/>
    <w:rsid w:val="00AE183F"/>
    <w:pPr>
      <w:tabs>
        <w:tab w:val="center" w:pos="4153"/>
        <w:tab w:val="right" w:pos="8306"/>
      </w:tabs>
    </w:pPr>
  </w:style>
  <w:style w:type="paragraph" w:styleId="a9">
    <w:name w:val="footer"/>
    <w:basedOn w:val="a"/>
    <w:rsid w:val="00AE183F"/>
    <w:pPr>
      <w:tabs>
        <w:tab w:val="center" w:pos="4153"/>
        <w:tab w:val="right" w:pos="8306"/>
      </w:tabs>
    </w:pPr>
  </w:style>
  <w:style w:type="paragraph" w:customStyle="1" w:styleId="HeadDivreiHesber">
    <w:name w:val="Head DivreiHesber"/>
    <w:basedOn w:val="a"/>
    <w:rsid w:val="00AE183F"/>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AE183F"/>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AE183F"/>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locked/>
    <w:rsid w:val="00AF5865"/>
    <w:rPr>
      <w:rFonts w:ascii="Arial" w:eastAsia="Arial Unicode MS" w:hAnsi="Arial" w:cs="David"/>
      <w:snapToGrid w:val="0"/>
      <w:sz w:val="14"/>
    </w:rPr>
  </w:style>
  <w:style w:type="character" w:customStyle="1" w:styleId="10">
    <w:name w:val="כותרת 1 תו"/>
    <w:basedOn w:val="a0"/>
    <w:link w:val="1"/>
    <w:uiPriority w:val="9"/>
    <w:rsid w:val="00AE183F"/>
    <w:rPr>
      <w:rFonts w:asciiTheme="majorHAnsi" w:eastAsiaTheme="majorEastAsia" w:hAnsiTheme="majorHAnsi" w:cs="David"/>
      <w:bCs/>
      <w:sz w:val="32"/>
      <w:szCs w:val="36"/>
    </w:rPr>
  </w:style>
  <w:style w:type="character" w:customStyle="1" w:styleId="20">
    <w:name w:val="כותרת 2 תו"/>
    <w:basedOn w:val="a0"/>
    <w:link w:val="2"/>
    <w:rsid w:val="00AE183F"/>
    <w:rPr>
      <w:rFonts w:asciiTheme="majorHAnsi" w:eastAsiaTheme="majorEastAsia" w:hAnsiTheme="majorHAnsi" w:cs="David"/>
      <w:bCs/>
      <w:sz w:val="26"/>
      <w:szCs w:val="36"/>
      <w:u w:val="single"/>
    </w:rPr>
  </w:style>
  <w:style w:type="character" w:customStyle="1" w:styleId="30">
    <w:name w:val="כותרת 3 תו"/>
    <w:basedOn w:val="a0"/>
    <w:link w:val="3"/>
    <w:rsid w:val="00AE183F"/>
    <w:rPr>
      <w:rFonts w:asciiTheme="majorHAnsi" w:eastAsiaTheme="majorEastAsia" w:hAnsiTheme="majorHAnsi" w:cs="David"/>
      <w:sz w:val="24"/>
      <w:szCs w:val="28"/>
      <w:u w:val="double"/>
    </w:rPr>
  </w:style>
  <w:style w:type="character" w:customStyle="1" w:styleId="40">
    <w:name w:val="כותרת 4 תו"/>
    <w:basedOn w:val="a0"/>
    <w:link w:val="4"/>
    <w:uiPriority w:val="9"/>
    <w:rsid w:val="00AE183F"/>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AE183F"/>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AE183F"/>
    <w:pPr>
      <w:widowControl/>
      <w:spacing w:before="120" w:after="120"/>
      <w:outlineLvl w:val="9"/>
    </w:pPr>
    <w:rPr>
      <w:rtl/>
      <w:cs/>
    </w:rPr>
  </w:style>
  <w:style w:type="paragraph" w:styleId="TOC1">
    <w:name w:val="toc 1"/>
    <w:basedOn w:val="a"/>
    <w:next w:val="a"/>
    <w:autoRedefine/>
    <w:uiPriority w:val="39"/>
    <w:unhideWhenUsed/>
    <w:rsid w:val="00AE183F"/>
    <w:pPr>
      <w:tabs>
        <w:tab w:val="right" w:leader="dot" w:pos="9629"/>
      </w:tabs>
      <w:spacing w:after="100"/>
    </w:pPr>
    <w:rPr>
      <w:bCs/>
      <w:szCs w:val="22"/>
    </w:rPr>
  </w:style>
  <w:style w:type="paragraph" w:styleId="TOC2">
    <w:name w:val="toc 2"/>
    <w:basedOn w:val="a"/>
    <w:next w:val="a"/>
    <w:uiPriority w:val="39"/>
    <w:unhideWhenUsed/>
    <w:rsid w:val="00AE183F"/>
    <w:pPr>
      <w:tabs>
        <w:tab w:val="right" w:leader="dot" w:pos="9628"/>
      </w:tabs>
      <w:spacing w:after="100"/>
    </w:pPr>
    <w:rPr>
      <w:szCs w:val="22"/>
    </w:rPr>
  </w:style>
  <w:style w:type="character" w:styleId="Hyperlink">
    <w:name w:val="Hyperlink"/>
    <w:basedOn w:val="a0"/>
    <w:uiPriority w:val="99"/>
    <w:unhideWhenUsed/>
    <w:rsid w:val="00AE183F"/>
    <w:rPr>
      <w:color w:val="0000FF" w:themeColor="hyperlink"/>
      <w:u w:val="single"/>
    </w:rPr>
  </w:style>
  <w:style w:type="paragraph" w:styleId="TOC3">
    <w:name w:val="toc 3"/>
    <w:basedOn w:val="a"/>
    <w:next w:val="a"/>
    <w:uiPriority w:val="39"/>
    <w:unhideWhenUsed/>
    <w:rsid w:val="00AE183F"/>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AE183F"/>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AE183F"/>
    <w:pPr>
      <w:tabs>
        <w:tab w:val="right" w:leader="dot" w:pos="9628"/>
      </w:tabs>
      <w:spacing w:after="100"/>
      <w:ind w:left="567"/>
    </w:pPr>
    <w:rPr>
      <w:szCs w:val="22"/>
    </w:rPr>
  </w:style>
  <w:style w:type="paragraph" w:styleId="TOC6">
    <w:name w:val="toc 6"/>
    <w:basedOn w:val="a"/>
    <w:next w:val="a"/>
    <w:autoRedefine/>
    <w:semiHidden/>
    <w:unhideWhenUsed/>
    <w:rsid w:val="00AE183F"/>
    <w:pPr>
      <w:spacing w:after="100"/>
      <w:ind w:left="850"/>
    </w:pPr>
  </w:style>
  <w:style w:type="paragraph" w:styleId="TOC7">
    <w:name w:val="toc 7"/>
    <w:basedOn w:val="a"/>
    <w:next w:val="a"/>
    <w:autoRedefine/>
    <w:semiHidden/>
    <w:unhideWhenUsed/>
    <w:rsid w:val="00AE183F"/>
    <w:pPr>
      <w:spacing w:after="100"/>
      <w:ind w:left="1020"/>
    </w:pPr>
  </w:style>
  <w:style w:type="paragraph" w:styleId="TOC8">
    <w:name w:val="toc 8"/>
    <w:basedOn w:val="a"/>
    <w:next w:val="a"/>
    <w:autoRedefine/>
    <w:semiHidden/>
    <w:unhideWhenUsed/>
    <w:rsid w:val="00AE183F"/>
    <w:pPr>
      <w:spacing w:after="100"/>
      <w:ind w:left="1190"/>
    </w:pPr>
  </w:style>
  <w:style w:type="paragraph" w:styleId="TOC9">
    <w:name w:val="toc 9"/>
    <w:basedOn w:val="a"/>
    <w:next w:val="a"/>
    <w:autoRedefine/>
    <w:semiHidden/>
    <w:unhideWhenUsed/>
    <w:rsid w:val="00AE183F"/>
    <w:pPr>
      <w:spacing w:after="100"/>
      <w:ind w:left="1360"/>
    </w:pPr>
  </w:style>
  <w:style w:type="paragraph" w:customStyle="1" w:styleId="TableHead2">
    <w:name w:val="Table Head2"/>
    <w:basedOn w:val="TableHead"/>
    <w:qFormat/>
    <w:rsid w:val="00AE183F"/>
    <w:pPr>
      <w:outlineLvl w:val="9"/>
    </w:pPr>
  </w:style>
  <w:style w:type="paragraph" w:customStyle="1" w:styleId="TableSideHeading2">
    <w:name w:val="Table SideHeading2"/>
    <w:basedOn w:val="TableSideHeading"/>
    <w:autoRedefine/>
    <w:qFormat/>
    <w:rsid w:val="00AE183F"/>
    <w:pPr>
      <w:keepLines w:val="0"/>
      <w:outlineLvl w:val="9"/>
    </w:pPr>
  </w:style>
  <w:style w:type="paragraph" w:customStyle="1" w:styleId="0">
    <w:name w:val="סגנון שורה ראשונה:  0  ס''מ"/>
    <w:basedOn w:val="2"/>
    <w:rsid w:val="00AE183F"/>
    <w:rPr>
      <w:rFonts w:eastAsia="Times New Roman"/>
    </w:rPr>
  </w:style>
  <w:style w:type="paragraph" w:styleId="af">
    <w:name w:val="List Paragraph"/>
    <w:basedOn w:val="a"/>
    <w:uiPriority w:val="34"/>
    <w:qFormat/>
    <w:rsid w:val="00AE183F"/>
    <w:pPr>
      <w:widowControl/>
      <w:spacing w:line="259" w:lineRule="auto"/>
    </w:pPr>
    <w:rPr>
      <w:rFonts w:asciiTheme="minorHAnsi" w:hAnsiTheme="minorHAnsi"/>
      <w:sz w:val="22"/>
    </w:rPr>
  </w:style>
  <w:style w:type="table" w:styleId="af0">
    <w:name w:val="Table Grid"/>
    <w:basedOn w:val="a1"/>
    <w:rsid w:val="00AE1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AE18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AE183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AE183F"/>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AE183F"/>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290d5b49-c690-4c6f-bbb9-1e50dab33eee"/>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5F7E8BF6-7684-4F4E-AF1C-751FD00CC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C1FE06-5FE7-4D2F-85FF-BF207F0CE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280</Words>
  <Characters>1405</Characters>
  <Application>Microsoft Office Word</Application>
  <DocSecurity>0</DocSecurity>
  <Lines>11</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8</cp:revision>
  <cp:lastPrinted>2026-01-21T14:33:00Z</cp:lastPrinted>
  <dcterms:created xsi:type="dcterms:W3CDTF">2015-04-20T09:58:00Z</dcterms:created>
  <dcterms:modified xsi:type="dcterms:W3CDTF">2026-01-22T09:47:00Z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2239606</vt:r8>
  </property>
</Properties>
</file>