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97350" w14:textId="77777777" w:rsidR="00882DC2" w:rsidRPr="00E635A2" w:rsidRDefault="00882DC2" w:rsidP="00882DC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2239203</w:t>
      </w:r>
      <w:bookmarkEnd w:id="0"/>
    </w:p>
    <w:p w14:paraId="5A999702" w14:textId="77777777" w:rsidR="00882DC2" w:rsidRPr="00DB7060" w:rsidRDefault="00882DC2" w:rsidP="00882DC2">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5143047D" w14:textId="77777777" w:rsidR="00882DC2" w:rsidRPr="00F67051" w:rsidRDefault="00882DC2" w:rsidP="00882DC2">
      <w:pPr>
        <w:rPr>
          <w:rFonts w:cs="David"/>
          <w:b/>
          <w:bCs/>
          <w:sz w:val="26"/>
          <w:szCs w:val="26"/>
          <w:rtl/>
        </w:rPr>
      </w:pPr>
    </w:p>
    <w:p w14:paraId="6881F675" w14:textId="1CE7FDE9" w:rsidR="00882DC2" w:rsidRPr="00CF1AA2" w:rsidRDefault="00882DC2" w:rsidP="00C40F8C">
      <w:pPr>
        <w:pStyle w:val="David"/>
        <w:spacing w:line="360" w:lineRule="auto"/>
        <w:ind w:left="3544"/>
        <w:rPr>
          <w:b/>
          <w:bCs/>
          <w:sz w:val="16"/>
          <w:szCs w:val="16"/>
          <w:rtl/>
        </w:rPr>
      </w:pPr>
      <w:bookmarkStart w:id="2" w:name="LGS_Initiators_List"/>
      <w:r>
        <w:rPr>
          <w:b/>
          <w:bCs/>
          <w:rtl/>
        </w:rPr>
        <w:t>יוזם:</w:t>
      </w:r>
      <w:r>
        <w:tab/>
      </w:r>
      <w:r>
        <w:rPr>
          <w:b/>
          <w:bCs/>
          <w:rtl/>
        </w:rPr>
        <w:t xml:space="preserve">      חבר הכנסת</w:t>
      </w:r>
      <w:bookmarkEnd w:id="2"/>
      <w:r w:rsidRPr="00F67051">
        <w:rPr>
          <w:b/>
          <w:bCs/>
        </w:rPr>
        <w:tab/>
      </w:r>
      <w:bookmarkStart w:id="3" w:name="LGS_PM_Names"/>
      <w:r>
        <w:rPr>
          <w:rFonts w:hint="cs"/>
          <w:b/>
          <w:bCs/>
          <w:rtl/>
        </w:rPr>
        <w:t>רם בן ברק</w:t>
      </w:r>
      <w:bookmarkStart w:id="4" w:name="LGS_Join_List"/>
      <w:bookmarkEnd w:id="3"/>
      <w:r>
        <w:rPr>
          <w:rtl/>
        </w:rPr>
        <w:t xml:space="preserve"> </w:t>
      </w:r>
      <w:bookmarkEnd w:id="4"/>
      <w:r w:rsidRPr="00CF1AA2">
        <w:rPr>
          <w:rFonts w:hint="cs"/>
          <w:rtl/>
        </w:rPr>
        <w:tab/>
      </w:r>
      <w:bookmarkStart w:id="5" w:name="LGS_PM_NamesJoin"/>
      <w:r>
        <w:rPr>
          <w:rFonts w:hint="cs"/>
          <w:rtl/>
        </w:rPr>
        <w:t xml:space="preserve"> </w:t>
      </w:r>
      <w:bookmarkEnd w:id="5"/>
    </w:p>
    <w:p w14:paraId="5CD8C357" w14:textId="77777777" w:rsidR="00882DC2" w:rsidRPr="00904591" w:rsidRDefault="00882DC2" w:rsidP="00882DC2">
      <w:pPr>
        <w:pStyle w:val="David"/>
        <w:spacing w:before="0" w:line="360" w:lineRule="auto"/>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36AD1598" w14:textId="37BDBB80" w:rsidR="00882DC2" w:rsidRDefault="00882DC2" w:rsidP="00EF0895">
      <w:pPr>
        <w:pStyle w:val="David"/>
        <w:spacing w:before="0" w:line="240" w:lineRule="auto"/>
        <w:ind w:left="6424" w:firstLine="56"/>
        <w:rPr>
          <w:rtl/>
        </w:rPr>
      </w:pPr>
      <w:bookmarkStart w:id="6" w:name="Private_Number"/>
      <w:r>
        <w:rPr>
          <w:rFonts w:hint="cs"/>
          <w:rtl/>
        </w:rPr>
        <w:t>פ/6478/25</w:t>
      </w:r>
      <w:bookmarkEnd w:id="6"/>
    </w:p>
    <w:p w14:paraId="2922456F" w14:textId="77777777" w:rsidR="00882DC2" w:rsidRPr="00F67051" w:rsidRDefault="00882DC2" w:rsidP="00882DC2">
      <w:pPr>
        <w:pStyle w:val="HeadHatzaotHok"/>
        <w:tabs>
          <w:tab w:val="center" w:pos="4819"/>
          <w:tab w:val="left" w:pos="7944"/>
        </w:tabs>
        <w:jc w:val="left"/>
        <w:rPr>
          <w:rtl/>
        </w:rPr>
      </w:pPr>
      <w:bookmarkStart w:id="7" w:name="LGS_Subject"/>
      <w:r>
        <w:rPr>
          <w:rtl/>
        </w:rPr>
        <w:tab/>
        <w:t>הצעת חוק רכזי ביטחון שוטף צבאיים, התשפ"ו</w:t>
      </w:r>
      <w:bookmarkEnd w:id="7"/>
      <w:r>
        <w:rPr>
          <w:rFonts w:hint="cs"/>
          <w:rtl/>
        </w:rPr>
        <w:t>–2026</w:t>
      </w:r>
      <w:r>
        <w:rPr>
          <w:rtl/>
        </w:rPr>
        <w:tab/>
      </w:r>
    </w:p>
    <w:p w14:paraId="22CE7C4E" w14:textId="77777777" w:rsidR="00882DC2" w:rsidRDefault="00882DC2" w:rsidP="00882DC2">
      <w:pPr>
        <w:pStyle w:val="HeadDivreiHesber"/>
        <w:spacing w:before="0" w:after="0"/>
        <w:rPr>
          <w:rtl/>
        </w:rPr>
      </w:pPr>
    </w:p>
    <w:tbl>
      <w:tblPr>
        <w:bidiVisual/>
        <w:tblW w:w="9643" w:type="dxa"/>
        <w:tblInd w:w="-2" w:type="dxa"/>
        <w:tblLayout w:type="fixed"/>
        <w:tblCellMar>
          <w:top w:w="57" w:type="dxa"/>
          <w:left w:w="0" w:type="dxa"/>
          <w:bottom w:w="57" w:type="dxa"/>
          <w:right w:w="0" w:type="dxa"/>
        </w:tblCellMar>
        <w:tblLook w:val="01E0" w:firstRow="1" w:lastRow="1" w:firstColumn="1" w:lastColumn="1" w:noHBand="0" w:noVBand="0"/>
      </w:tblPr>
      <w:tblGrid>
        <w:gridCol w:w="1872"/>
        <w:gridCol w:w="624"/>
        <w:gridCol w:w="7147"/>
      </w:tblGrid>
      <w:tr w:rsidR="00882DC2" w14:paraId="7CA429F6" w14:textId="77777777" w:rsidTr="001F1C68">
        <w:trPr>
          <w:cantSplit/>
        </w:trPr>
        <w:tc>
          <w:tcPr>
            <w:tcW w:w="1872" w:type="dxa"/>
            <w:hideMark/>
          </w:tcPr>
          <w:p w14:paraId="66839307" w14:textId="77777777" w:rsidR="00882DC2" w:rsidRDefault="00882DC2" w:rsidP="001F1C68">
            <w:pPr>
              <w:pStyle w:val="TableSideHeading"/>
              <w:keepLines w:val="0"/>
              <w:rPr>
                <w:color w:val="auto"/>
                <w:lang w:eastAsia="en-US"/>
              </w:rPr>
            </w:pPr>
            <w:r>
              <w:rPr>
                <w:rtl/>
              </w:rPr>
              <w:t>הגדרות</w:t>
            </w:r>
          </w:p>
        </w:tc>
        <w:tc>
          <w:tcPr>
            <w:tcW w:w="624" w:type="dxa"/>
            <w:hideMark/>
          </w:tcPr>
          <w:p w14:paraId="60AC5373" w14:textId="77777777" w:rsidR="00882DC2" w:rsidRDefault="00882DC2" w:rsidP="001F1C68">
            <w:pPr>
              <w:pStyle w:val="TableText"/>
            </w:pPr>
            <w:r>
              <w:rPr>
                <w:rtl/>
              </w:rPr>
              <w:t>1.</w:t>
            </w:r>
          </w:p>
        </w:tc>
        <w:tc>
          <w:tcPr>
            <w:tcW w:w="7147" w:type="dxa"/>
            <w:hideMark/>
          </w:tcPr>
          <w:p w14:paraId="4E0A4FCC" w14:textId="77777777" w:rsidR="00882DC2" w:rsidRDefault="00882DC2" w:rsidP="001F1C68">
            <w:pPr>
              <w:pStyle w:val="TableBlock"/>
            </w:pPr>
            <w:r>
              <w:rPr>
                <w:rtl/>
              </w:rPr>
              <w:t>בחוק זה –</w:t>
            </w:r>
          </w:p>
        </w:tc>
      </w:tr>
      <w:tr w:rsidR="00B72CBC" w14:paraId="47476D38" w14:textId="77777777" w:rsidTr="00B72CBC">
        <w:trPr>
          <w:cantSplit/>
        </w:trPr>
        <w:tc>
          <w:tcPr>
            <w:tcW w:w="1872" w:type="dxa"/>
          </w:tcPr>
          <w:p w14:paraId="40EAAEF0" w14:textId="77777777" w:rsidR="00B72CBC" w:rsidRDefault="00B72CBC" w:rsidP="00B72CBC">
            <w:pPr>
              <w:pStyle w:val="TableSideHeading"/>
            </w:pPr>
          </w:p>
        </w:tc>
        <w:tc>
          <w:tcPr>
            <w:tcW w:w="624" w:type="dxa"/>
          </w:tcPr>
          <w:p w14:paraId="06460EAC" w14:textId="77777777" w:rsidR="00B72CBC" w:rsidRDefault="00B72CBC" w:rsidP="00B72CBC">
            <w:pPr>
              <w:pStyle w:val="TableText"/>
            </w:pPr>
          </w:p>
        </w:tc>
        <w:tc>
          <w:tcPr>
            <w:tcW w:w="7147" w:type="dxa"/>
          </w:tcPr>
          <w:p w14:paraId="48AD9C06" w14:textId="078BE405" w:rsidR="00B72CBC" w:rsidRPr="00B72CBC" w:rsidRDefault="00B72CBC" w:rsidP="00B72CBC">
            <w:pPr>
              <w:pStyle w:val="TableBlockOutdent"/>
            </w:pPr>
            <w:r w:rsidRPr="00B72CBC">
              <w:rPr>
                <w:rtl/>
              </w:rPr>
              <w:t>"חוק להסדרת הביטחון" – חוק להסדרת הביטחון בגופים ציבוריים, התשנ"ח–1998</w:t>
            </w:r>
            <w:r w:rsidRPr="003676F1">
              <w:rPr>
                <w:vertAlign w:val="superscript"/>
                <w:rtl/>
              </w:rPr>
              <w:footnoteReference w:id="2"/>
            </w:r>
            <w:r w:rsidRPr="00B72CBC">
              <w:rPr>
                <w:rtl/>
              </w:rPr>
              <w:t>;</w:t>
            </w:r>
          </w:p>
        </w:tc>
      </w:tr>
      <w:tr w:rsidR="00B72CBC" w14:paraId="2E0D5D58" w14:textId="77777777" w:rsidTr="001F1C68">
        <w:trPr>
          <w:cantSplit/>
        </w:trPr>
        <w:tc>
          <w:tcPr>
            <w:tcW w:w="1872" w:type="dxa"/>
          </w:tcPr>
          <w:p w14:paraId="2EB2B55A" w14:textId="2C742A85" w:rsidR="00B72CBC" w:rsidRDefault="00B72CBC" w:rsidP="00B72CBC">
            <w:pPr>
              <w:pStyle w:val="TableSideHeading"/>
            </w:pPr>
          </w:p>
        </w:tc>
        <w:tc>
          <w:tcPr>
            <w:tcW w:w="624" w:type="dxa"/>
          </w:tcPr>
          <w:p w14:paraId="18E40EB2" w14:textId="77777777" w:rsidR="00B72CBC" w:rsidRDefault="00B72CBC" w:rsidP="00B72CBC">
            <w:pPr>
              <w:pStyle w:val="TableText"/>
            </w:pPr>
          </w:p>
        </w:tc>
        <w:tc>
          <w:tcPr>
            <w:tcW w:w="7147" w:type="dxa"/>
          </w:tcPr>
          <w:p w14:paraId="001483B5" w14:textId="733AA90C" w:rsidR="00B72CBC" w:rsidRPr="00B72CBC" w:rsidRDefault="00B72CBC" w:rsidP="00B72CBC">
            <w:pPr>
              <w:pStyle w:val="TableBlockOutdent"/>
              <w:rPr>
                <w:rtl/>
              </w:rPr>
            </w:pPr>
            <w:r w:rsidRPr="00B72CBC">
              <w:rPr>
                <w:rtl/>
              </w:rPr>
              <w:t>"חוק הסדרת השמירה" – חוק הרשויות המקומיות (הסדרת השמירה), התשכ"א–1961</w:t>
            </w:r>
            <w:r w:rsidRPr="003676F1">
              <w:rPr>
                <w:vertAlign w:val="superscript"/>
                <w:rtl/>
              </w:rPr>
              <w:footnoteReference w:id="3"/>
            </w:r>
            <w:r w:rsidRPr="00B72CBC">
              <w:rPr>
                <w:rtl/>
              </w:rPr>
              <w:t>;</w:t>
            </w:r>
          </w:p>
        </w:tc>
      </w:tr>
      <w:tr w:rsidR="00B72CBC" w14:paraId="25380294" w14:textId="77777777" w:rsidTr="001F1C68">
        <w:trPr>
          <w:cantSplit/>
        </w:trPr>
        <w:tc>
          <w:tcPr>
            <w:tcW w:w="1872" w:type="dxa"/>
          </w:tcPr>
          <w:p w14:paraId="0498D037" w14:textId="50DE15E0" w:rsidR="00B72CBC" w:rsidRDefault="00B72CBC" w:rsidP="00B72CBC">
            <w:pPr>
              <w:pStyle w:val="TableSideHeading"/>
              <w:rPr>
                <w:rtl/>
              </w:rPr>
            </w:pPr>
          </w:p>
        </w:tc>
        <w:tc>
          <w:tcPr>
            <w:tcW w:w="624" w:type="dxa"/>
          </w:tcPr>
          <w:p w14:paraId="75788726" w14:textId="77777777" w:rsidR="00B72CBC" w:rsidRDefault="00B72CBC" w:rsidP="00B72CBC">
            <w:pPr>
              <w:pStyle w:val="TableText"/>
            </w:pPr>
          </w:p>
        </w:tc>
        <w:tc>
          <w:tcPr>
            <w:tcW w:w="7147" w:type="dxa"/>
            <w:hideMark/>
          </w:tcPr>
          <w:p w14:paraId="2BE5AD59" w14:textId="50FB399D" w:rsidR="00B72CBC" w:rsidRDefault="00B72CBC" w:rsidP="00B72CBC">
            <w:pPr>
              <w:pStyle w:val="TableBlockOutdent"/>
            </w:pPr>
            <w:r>
              <w:rPr>
                <w:rtl/>
              </w:rPr>
              <w:t>"מפקד צבאי" – קצין בדרגת אלוף שמינה הרמטכ"ל לעניין זה, לגבי אזור מסוים</w:t>
            </w:r>
            <w:r>
              <w:rPr>
                <w:rFonts w:hint="cs"/>
                <w:rtl/>
              </w:rPr>
              <w:t>;</w:t>
            </w:r>
          </w:p>
        </w:tc>
      </w:tr>
      <w:tr w:rsidR="00B72CBC" w14:paraId="22FD5705" w14:textId="77777777" w:rsidTr="001F1C68">
        <w:trPr>
          <w:cantSplit/>
        </w:trPr>
        <w:tc>
          <w:tcPr>
            <w:tcW w:w="1872" w:type="dxa"/>
          </w:tcPr>
          <w:p w14:paraId="70C7BA09" w14:textId="3DB12C3F" w:rsidR="00B72CBC" w:rsidRDefault="00B72CBC" w:rsidP="00B72CBC">
            <w:pPr>
              <w:pStyle w:val="TableSideHeading"/>
            </w:pPr>
          </w:p>
        </w:tc>
        <w:tc>
          <w:tcPr>
            <w:tcW w:w="624" w:type="dxa"/>
          </w:tcPr>
          <w:p w14:paraId="3938D60B" w14:textId="77777777" w:rsidR="00B72CBC" w:rsidRDefault="00B72CBC" w:rsidP="00B72CBC">
            <w:pPr>
              <w:pStyle w:val="TableText"/>
            </w:pPr>
          </w:p>
        </w:tc>
        <w:tc>
          <w:tcPr>
            <w:tcW w:w="7147" w:type="dxa"/>
            <w:hideMark/>
          </w:tcPr>
          <w:p w14:paraId="547837B1" w14:textId="16FE87EC" w:rsidR="00B72CBC" w:rsidRDefault="00B72CBC" w:rsidP="00B72CBC">
            <w:pPr>
              <w:pStyle w:val="TableBlock"/>
            </w:pPr>
            <w:r>
              <w:rPr>
                <w:rtl/>
              </w:rPr>
              <w:t>"רכז ביטחון", "רכז ביטחון שוטף צבאי" – מי שמונה לפי הוראות סעיף 2.</w:t>
            </w:r>
          </w:p>
        </w:tc>
      </w:tr>
      <w:tr w:rsidR="00B72CBC" w14:paraId="0ACEAD8A" w14:textId="77777777" w:rsidTr="001F1C68">
        <w:trPr>
          <w:cantSplit/>
        </w:trPr>
        <w:tc>
          <w:tcPr>
            <w:tcW w:w="1872" w:type="dxa"/>
            <w:hideMark/>
          </w:tcPr>
          <w:p w14:paraId="6C002CDC" w14:textId="1B11DAAB" w:rsidR="00B72CBC" w:rsidRDefault="00B72CBC" w:rsidP="00B72CBC">
            <w:pPr>
              <w:pStyle w:val="TableSideHeading"/>
              <w:rPr>
                <w:rtl/>
              </w:rPr>
            </w:pPr>
            <w:r>
              <w:rPr>
                <w:rtl/>
              </w:rPr>
              <w:t>מינוי רכז ביטחון שוטף צבאי</w:t>
            </w:r>
          </w:p>
        </w:tc>
        <w:tc>
          <w:tcPr>
            <w:tcW w:w="624" w:type="dxa"/>
            <w:hideMark/>
          </w:tcPr>
          <w:p w14:paraId="5DC5F027" w14:textId="77777777" w:rsidR="00B72CBC" w:rsidRDefault="00B72CBC" w:rsidP="00B72CBC">
            <w:pPr>
              <w:pStyle w:val="TableText"/>
            </w:pPr>
            <w:r>
              <w:rPr>
                <w:rtl/>
              </w:rPr>
              <w:t>2.</w:t>
            </w:r>
          </w:p>
        </w:tc>
        <w:tc>
          <w:tcPr>
            <w:tcW w:w="7147" w:type="dxa"/>
            <w:hideMark/>
          </w:tcPr>
          <w:p w14:paraId="0D9AE84E" w14:textId="33E2B3A0" w:rsidR="00B72CBC" w:rsidRDefault="00B72CBC" w:rsidP="00B72CBC">
            <w:pPr>
              <w:pStyle w:val="TableBlock"/>
            </w:pPr>
            <w:r>
              <w:rPr>
                <w:rtl/>
              </w:rPr>
              <w:t>(א)</w:t>
            </w:r>
            <w:r>
              <w:rPr>
                <w:rtl/>
              </w:rPr>
              <w:tab/>
              <w:t>מפקד צבאי רשאי להורות על מינוי רכז ביטחון שוטף צבאי ביישוב באזור שלגביו הוא אחראי, אם מצא כי צורכי הביטחון של היישוב מחייבים זאת.</w:t>
            </w:r>
          </w:p>
        </w:tc>
      </w:tr>
      <w:tr w:rsidR="00B72CBC" w14:paraId="14A29D00" w14:textId="77777777" w:rsidTr="001F1C68">
        <w:trPr>
          <w:cantSplit/>
        </w:trPr>
        <w:tc>
          <w:tcPr>
            <w:tcW w:w="1872" w:type="dxa"/>
          </w:tcPr>
          <w:p w14:paraId="35E43943" w14:textId="6288C461" w:rsidR="00B72CBC" w:rsidRDefault="00B72CBC" w:rsidP="00B72CBC">
            <w:pPr>
              <w:pStyle w:val="TableSideHeading"/>
              <w:rPr>
                <w:rtl/>
              </w:rPr>
            </w:pPr>
          </w:p>
        </w:tc>
        <w:tc>
          <w:tcPr>
            <w:tcW w:w="624" w:type="dxa"/>
          </w:tcPr>
          <w:p w14:paraId="0F7586AD" w14:textId="77777777" w:rsidR="00B72CBC" w:rsidRDefault="00B72CBC" w:rsidP="00B72CBC">
            <w:pPr>
              <w:pStyle w:val="TableText"/>
              <w:rPr>
                <w:rtl/>
              </w:rPr>
            </w:pPr>
          </w:p>
        </w:tc>
        <w:tc>
          <w:tcPr>
            <w:tcW w:w="7147" w:type="dxa"/>
            <w:hideMark/>
          </w:tcPr>
          <w:p w14:paraId="2ABC4B54" w14:textId="462F9AB6" w:rsidR="00B72CBC" w:rsidRDefault="00B72CBC" w:rsidP="00B72CBC">
            <w:pPr>
              <w:pStyle w:val="TableBlock"/>
              <w:rPr>
                <w:rtl/>
              </w:rPr>
            </w:pPr>
            <w:r>
              <w:rPr>
                <w:rtl/>
              </w:rPr>
              <w:t>(ב)</w:t>
            </w:r>
            <w:r>
              <w:rPr>
                <w:rtl/>
              </w:rPr>
              <w:tab/>
              <w:t>רכז ביטחון ימונה, ככל האפשר, מבין תושבי היישוב בו הוא משמש רכז ביטחון, בכפוף לתנאים ה</w:t>
            </w:r>
            <w:r w:rsidR="00E21903">
              <w:rPr>
                <w:rtl/>
              </w:rPr>
              <w:t>מפורטים בסעיף 3</w:t>
            </w:r>
            <w:r w:rsidR="00E21903">
              <w:rPr>
                <w:rFonts w:hint="cs"/>
                <w:rtl/>
              </w:rPr>
              <w:t>.</w:t>
            </w:r>
          </w:p>
        </w:tc>
      </w:tr>
      <w:tr w:rsidR="00B72CBC" w14:paraId="36A4F796" w14:textId="77777777" w:rsidTr="001F1C68">
        <w:trPr>
          <w:cantSplit/>
        </w:trPr>
        <w:tc>
          <w:tcPr>
            <w:tcW w:w="1872" w:type="dxa"/>
          </w:tcPr>
          <w:p w14:paraId="3D6DC76A" w14:textId="7BB96698" w:rsidR="00B72CBC" w:rsidRDefault="00B72CBC" w:rsidP="00B72CBC">
            <w:pPr>
              <w:pStyle w:val="TableSideHeading"/>
              <w:rPr>
                <w:rtl/>
              </w:rPr>
            </w:pPr>
          </w:p>
        </w:tc>
        <w:tc>
          <w:tcPr>
            <w:tcW w:w="624" w:type="dxa"/>
          </w:tcPr>
          <w:p w14:paraId="3788131D" w14:textId="77777777" w:rsidR="00B72CBC" w:rsidRDefault="00B72CBC" w:rsidP="00B72CBC">
            <w:pPr>
              <w:pStyle w:val="TableText"/>
              <w:rPr>
                <w:rtl/>
              </w:rPr>
            </w:pPr>
          </w:p>
        </w:tc>
        <w:tc>
          <w:tcPr>
            <w:tcW w:w="7147" w:type="dxa"/>
            <w:hideMark/>
          </w:tcPr>
          <w:p w14:paraId="7A51FEB2" w14:textId="066F6D1B" w:rsidR="00B72CBC" w:rsidRDefault="00B72CBC" w:rsidP="00B72CBC">
            <w:pPr>
              <w:pStyle w:val="TableBlock"/>
              <w:rPr>
                <w:rtl/>
              </w:rPr>
            </w:pPr>
            <w:r>
              <w:rPr>
                <w:rtl/>
              </w:rPr>
              <w:t>(ג)</w:t>
            </w:r>
            <w:r>
              <w:rPr>
                <w:rtl/>
              </w:rPr>
              <w:tab/>
              <w:t xml:space="preserve">מינוי רכז ביטחון ייעשה לאחר התייעצות עם ראש הרשות המקומית שבתחום שיפוטה של היישוב. </w:t>
            </w:r>
          </w:p>
        </w:tc>
      </w:tr>
      <w:tr w:rsidR="00B72CBC" w14:paraId="5DA94855" w14:textId="77777777" w:rsidTr="001F1C68">
        <w:trPr>
          <w:cantSplit/>
        </w:trPr>
        <w:tc>
          <w:tcPr>
            <w:tcW w:w="1872" w:type="dxa"/>
            <w:hideMark/>
          </w:tcPr>
          <w:p w14:paraId="71BB1852" w14:textId="3A811E2D" w:rsidR="00B72CBC" w:rsidRDefault="00B72CBC" w:rsidP="00B72CBC">
            <w:pPr>
              <w:pStyle w:val="TableSideHeading"/>
              <w:rPr>
                <w:rtl/>
              </w:rPr>
            </w:pPr>
            <w:r>
              <w:rPr>
                <w:rtl/>
              </w:rPr>
              <w:t>כשירות והסמכה</w:t>
            </w:r>
          </w:p>
        </w:tc>
        <w:tc>
          <w:tcPr>
            <w:tcW w:w="624" w:type="dxa"/>
            <w:hideMark/>
          </w:tcPr>
          <w:p w14:paraId="31A0F208" w14:textId="77777777" w:rsidR="00B72CBC" w:rsidRDefault="00B72CBC" w:rsidP="00B72CBC">
            <w:pPr>
              <w:pStyle w:val="TableText"/>
              <w:rPr>
                <w:rtl/>
              </w:rPr>
            </w:pPr>
            <w:r>
              <w:rPr>
                <w:rtl/>
              </w:rPr>
              <w:t>3.</w:t>
            </w:r>
          </w:p>
        </w:tc>
        <w:tc>
          <w:tcPr>
            <w:tcW w:w="7147" w:type="dxa"/>
            <w:hideMark/>
          </w:tcPr>
          <w:p w14:paraId="0671FAA5" w14:textId="125AA538" w:rsidR="00B72CBC" w:rsidRDefault="00B72CBC" w:rsidP="00B72CBC">
            <w:pPr>
              <w:pStyle w:val="TableBlock"/>
              <w:rPr>
                <w:rtl/>
              </w:rPr>
            </w:pPr>
            <w:r>
              <w:rPr>
                <w:rtl/>
              </w:rPr>
              <w:t>כשיר לשמש כרכז ביטחון הוא מי שהתקיימו לגביו כל אלה:</w:t>
            </w:r>
          </w:p>
        </w:tc>
      </w:tr>
      <w:tr w:rsidR="00B72CBC" w14:paraId="6FA93F09" w14:textId="77777777" w:rsidTr="001F1C68">
        <w:trPr>
          <w:cantSplit/>
        </w:trPr>
        <w:tc>
          <w:tcPr>
            <w:tcW w:w="1872" w:type="dxa"/>
          </w:tcPr>
          <w:p w14:paraId="4248CE27" w14:textId="53F252AD" w:rsidR="00B72CBC" w:rsidRDefault="00B72CBC" w:rsidP="00B72CBC">
            <w:pPr>
              <w:pStyle w:val="TableSideHeading"/>
              <w:rPr>
                <w:rtl/>
              </w:rPr>
            </w:pPr>
          </w:p>
        </w:tc>
        <w:tc>
          <w:tcPr>
            <w:tcW w:w="624" w:type="dxa"/>
          </w:tcPr>
          <w:p w14:paraId="7E198FDF" w14:textId="77777777" w:rsidR="00B72CBC" w:rsidRDefault="00B72CBC" w:rsidP="00B72CBC">
            <w:pPr>
              <w:pStyle w:val="TableText"/>
            </w:pPr>
          </w:p>
        </w:tc>
        <w:tc>
          <w:tcPr>
            <w:tcW w:w="7147" w:type="dxa"/>
            <w:hideMark/>
          </w:tcPr>
          <w:p w14:paraId="35B158D2" w14:textId="3EC2D857" w:rsidR="00B72CBC" w:rsidRDefault="00B72CBC" w:rsidP="00B72CBC">
            <w:pPr>
              <w:pStyle w:val="TableBlock"/>
            </w:pPr>
            <w:r>
              <w:rPr>
                <w:rtl/>
              </w:rPr>
              <w:t>(1)</w:t>
            </w:r>
            <w:r>
              <w:rPr>
                <w:rtl/>
              </w:rPr>
              <w:tab/>
              <w:t>התקיימו בו התנאים המפורטים בסעיף 8(1) עד (5) לחוק סמכויות לשם שמירה על ביטחון הציבור, התשס"ה–2005</w:t>
            </w:r>
            <w:r>
              <w:rPr>
                <w:rStyle w:val="a6"/>
                <w:rFonts w:ascii="David" w:hAnsi="David"/>
                <w:sz w:val="26"/>
                <w:rtl/>
              </w:rPr>
              <w:footnoteReference w:id="4"/>
            </w:r>
            <w:r>
              <w:rPr>
                <w:rtl/>
              </w:rPr>
              <w:t>;</w:t>
            </w:r>
          </w:p>
        </w:tc>
      </w:tr>
      <w:tr w:rsidR="00B72CBC" w14:paraId="5A8D6BCF" w14:textId="77777777" w:rsidTr="001F1C68">
        <w:trPr>
          <w:cantSplit/>
        </w:trPr>
        <w:tc>
          <w:tcPr>
            <w:tcW w:w="1872" w:type="dxa"/>
          </w:tcPr>
          <w:p w14:paraId="4AE438CD" w14:textId="5F118908" w:rsidR="00B72CBC" w:rsidRDefault="00B72CBC" w:rsidP="00B72CBC">
            <w:pPr>
              <w:pStyle w:val="TableSideHeading"/>
            </w:pPr>
          </w:p>
        </w:tc>
        <w:tc>
          <w:tcPr>
            <w:tcW w:w="624" w:type="dxa"/>
          </w:tcPr>
          <w:p w14:paraId="3063E61E" w14:textId="77777777" w:rsidR="00B72CBC" w:rsidRDefault="00B72CBC" w:rsidP="00B72CBC">
            <w:pPr>
              <w:pStyle w:val="TableText"/>
            </w:pPr>
          </w:p>
        </w:tc>
        <w:tc>
          <w:tcPr>
            <w:tcW w:w="7147" w:type="dxa"/>
            <w:hideMark/>
          </w:tcPr>
          <w:p w14:paraId="037FD7FB" w14:textId="7E7B6653" w:rsidR="00B72CBC" w:rsidRDefault="00B72CBC" w:rsidP="00B72CBC">
            <w:pPr>
              <w:pStyle w:val="TableBlock"/>
            </w:pPr>
            <w:r>
              <w:rPr>
                <w:rtl/>
              </w:rPr>
              <w:t>(2)</w:t>
            </w:r>
            <w:r>
              <w:rPr>
                <w:rtl/>
              </w:rPr>
              <w:tab/>
              <w:t>בעל רקע וניסיון פיקודי בצבא הגנה לישראל, במשטרת ישראל, בשירות הביטחון הכללי, במוסד למודיעין ולתפקידים מיוחדים או בשירות בתי הסוהר;</w:t>
            </w:r>
          </w:p>
        </w:tc>
      </w:tr>
      <w:tr w:rsidR="00B72CBC" w14:paraId="22FEC148" w14:textId="77777777" w:rsidTr="001F1C68">
        <w:trPr>
          <w:cantSplit/>
        </w:trPr>
        <w:tc>
          <w:tcPr>
            <w:tcW w:w="1872" w:type="dxa"/>
          </w:tcPr>
          <w:p w14:paraId="7E6DC3CE" w14:textId="0EFF981E" w:rsidR="00B72CBC" w:rsidRDefault="00B72CBC" w:rsidP="00B72CBC">
            <w:pPr>
              <w:pStyle w:val="TableSideHeading"/>
              <w:rPr>
                <w:rtl/>
              </w:rPr>
            </w:pPr>
          </w:p>
        </w:tc>
        <w:tc>
          <w:tcPr>
            <w:tcW w:w="624" w:type="dxa"/>
          </w:tcPr>
          <w:p w14:paraId="53FDAD58" w14:textId="77777777" w:rsidR="00B72CBC" w:rsidRDefault="00B72CBC" w:rsidP="00B72CBC">
            <w:pPr>
              <w:pStyle w:val="TableText"/>
            </w:pPr>
          </w:p>
        </w:tc>
        <w:tc>
          <w:tcPr>
            <w:tcW w:w="7147" w:type="dxa"/>
            <w:hideMark/>
          </w:tcPr>
          <w:p w14:paraId="45EFFE62" w14:textId="011B4A57" w:rsidR="00B72CBC" w:rsidRDefault="00B72CBC" w:rsidP="00B72CBC">
            <w:pPr>
              <w:pStyle w:val="TableBlock"/>
            </w:pPr>
            <w:r>
              <w:rPr>
                <w:rtl/>
              </w:rPr>
              <w:t>(3)</w:t>
            </w:r>
            <w:r>
              <w:rPr>
                <w:rtl/>
              </w:rPr>
              <w:tab/>
            </w:r>
            <w:r>
              <w:rPr>
                <w:rFonts w:hint="cs"/>
                <w:rtl/>
              </w:rPr>
              <w:t>סיים</w:t>
            </w:r>
            <w:r>
              <w:rPr>
                <w:rtl/>
              </w:rPr>
              <w:t xml:space="preserve"> הכשרה מתאימה, כפי שהורה הרמטכ"ל או מי שהסמיך לעניין זה.</w:t>
            </w:r>
          </w:p>
        </w:tc>
      </w:tr>
      <w:tr w:rsidR="00B72CBC" w14:paraId="11B3204A" w14:textId="77777777" w:rsidTr="001F1C68">
        <w:trPr>
          <w:cantSplit/>
        </w:trPr>
        <w:tc>
          <w:tcPr>
            <w:tcW w:w="1872" w:type="dxa"/>
            <w:hideMark/>
          </w:tcPr>
          <w:p w14:paraId="2249AC2B" w14:textId="622D5B7A" w:rsidR="00B72CBC" w:rsidRDefault="00B72CBC" w:rsidP="00B72CBC">
            <w:pPr>
              <w:pStyle w:val="TableSideHeading"/>
              <w:rPr>
                <w:rtl/>
              </w:rPr>
            </w:pPr>
            <w:r>
              <w:rPr>
                <w:rtl/>
              </w:rPr>
              <w:t>תפקידי רכז ביטחון שוטף צבאי</w:t>
            </w:r>
          </w:p>
        </w:tc>
        <w:tc>
          <w:tcPr>
            <w:tcW w:w="624" w:type="dxa"/>
            <w:hideMark/>
          </w:tcPr>
          <w:p w14:paraId="7F5EAC42" w14:textId="77777777" w:rsidR="00B72CBC" w:rsidRDefault="00B72CBC" w:rsidP="00B72CBC">
            <w:pPr>
              <w:pStyle w:val="TableText"/>
            </w:pPr>
            <w:r>
              <w:rPr>
                <w:rtl/>
              </w:rPr>
              <w:t>4.</w:t>
            </w:r>
          </w:p>
        </w:tc>
        <w:tc>
          <w:tcPr>
            <w:tcW w:w="7147" w:type="dxa"/>
            <w:hideMark/>
          </w:tcPr>
          <w:p w14:paraId="6E035A7B" w14:textId="0B309769" w:rsidR="00B72CBC" w:rsidRDefault="00B72CBC" w:rsidP="00B72CBC">
            <w:pPr>
              <w:pStyle w:val="TableBlock"/>
            </w:pPr>
            <w:r>
              <w:rPr>
                <w:rtl/>
              </w:rPr>
              <w:t xml:space="preserve">רכז ביטחון ייבצע, בין היתר, את המשימות הבאות: </w:t>
            </w:r>
          </w:p>
        </w:tc>
      </w:tr>
      <w:tr w:rsidR="00B72CBC" w14:paraId="49F31246" w14:textId="77777777" w:rsidTr="001F1C68">
        <w:trPr>
          <w:cantSplit/>
        </w:trPr>
        <w:tc>
          <w:tcPr>
            <w:tcW w:w="1872" w:type="dxa"/>
          </w:tcPr>
          <w:p w14:paraId="1FEA7740" w14:textId="2D03F090" w:rsidR="00B72CBC" w:rsidRDefault="00B72CBC" w:rsidP="00B72CBC">
            <w:pPr>
              <w:pStyle w:val="TableSideHeading"/>
            </w:pPr>
          </w:p>
        </w:tc>
        <w:tc>
          <w:tcPr>
            <w:tcW w:w="624" w:type="dxa"/>
          </w:tcPr>
          <w:p w14:paraId="00ED86DB" w14:textId="77777777" w:rsidR="00B72CBC" w:rsidRDefault="00B72CBC" w:rsidP="00B72CBC">
            <w:pPr>
              <w:pStyle w:val="TableText"/>
              <w:rPr>
                <w:rtl/>
              </w:rPr>
            </w:pPr>
          </w:p>
        </w:tc>
        <w:tc>
          <w:tcPr>
            <w:tcW w:w="7147" w:type="dxa"/>
            <w:hideMark/>
          </w:tcPr>
          <w:p w14:paraId="335B204E" w14:textId="0FCC55CA" w:rsidR="00B72CBC" w:rsidRDefault="00B72CBC" w:rsidP="00B72CBC">
            <w:pPr>
              <w:pStyle w:val="TableBlock"/>
              <w:rPr>
                <w:rtl/>
              </w:rPr>
            </w:pPr>
            <w:r>
              <w:rPr>
                <w:rtl/>
              </w:rPr>
              <w:t>(1)</w:t>
            </w:r>
            <w:r>
              <w:rPr>
                <w:rtl/>
              </w:rPr>
              <w:tab/>
              <w:t>ירכז את פעילות הביטחון השוטף ביישובו, בהתאם להנחיית המפקד הצבאי;</w:t>
            </w:r>
          </w:p>
        </w:tc>
      </w:tr>
      <w:tr w:rsidR="00B72CBC" w14:paraId="18EAC5CD" w14:textId="77777777" w:rsidTr="001F1C68">
        <w:trPr>
          <w:cantSplit/>
        </w:trPr>
        <w:tc>
          <w:tcPr>
            <w:tcW w:w="1872" w:type="dxa"/>
          </w:tcPr>
          <w:p w14:paraId="0D10E6C8" w14:textId="06734936" w:rsidR="00B72CBC" w:rsidRDefault="00B72CBC" w:rsidP="00B72CBC">
            <w:pPr>
              <w:pStyle w:val="TableSideHeading"/>
              <w:rPr>
                <w:rtl/>
              </w:rPr>
            </w:pPr>
          </w:p>
        </w:tc>
        <w:tc>
          <w:tcPr>
            <w:tcW w:w="624" w:type="dxa"/>
          </w:tcPr>
          <w:p w14:paraId="5C722C45" w14:textId="77777777" w:rsidR="00B72CBC" w:rsidRDefault="00B72CBC" w:rsidP="00B72CBC">
            <w:pPr>
              <w:pStyle w:val="TableText"/>
              <w:rPr>
                <w:rtl/>
              </w:rPr>
            </w:pPr>
          </w:p>
        </w:tc>
        <w:tc>
          <w:tcPr>
            <w:tcW w:w="7147" w:type="dxa"/>
            <w:hideMark/>
          </w:tcPr>
          <w:p w14:paraId="231933F3" w14:textId="7C19D7A8" w:rsidR="00B72CBC" w:rsidRDefault="00B72CBC" w:rsidP="00B72CBC">
            <w:pPr>
              <w:pStyle w:val="TableBlock"/>
              <w:rPr>
                <w:rtl/>
              </w:rPr>
            </w:pPr>
            <w:r>
              <w:rPr>
                <w:rtl/>
              </w:rPr>
              <w:t>(2)</w:t>
            </w:r>
            <w:r>
              <w:rPr>
                <w:rtl/>
              </w:rPr>
              <w:tab/>
              <w:t>יפעל להכנת היישוב לחירום;</w:t>
            </w:r>
          </w:p>
        </w:tc>
      </w:tr>
      <w:tr w:rsidR="00B72CBC" w14:paraId="5BE18FFE" w14:textId="77777777" w:rsidTr="001F1C68">
        <w:trPr>
          <w:cantSplit/>
        </w:trPr>
        <w:tc>
          <w:tcPr>
            <w:tcW w:w="1872" w:type="dxa"/>
          </w:tcPr>
          <w:p w14:paraId="01B2F8C2" w14:textId="061C05DE" w:rsidR="00B72CBC" w:rsidRDefault="00B72CBC" w:rsidP="00B72CBC">
            <w:pPr>
              <w:pStyle w:val="TableSideHeading"/>
              <w:rPr>
                <w:rtl/>
              </w:rPr>
            </w:pPr>
          </w:p>
        </w:tc>
        <w:tc>
          <w:tcPr>
            <w:tcW w:w="624" w:type="dxa"/>
          </w:tcPr>
          <w:p w14:paraId="49FDCF31" w14:textId="77777777" w:rsidR="00B72CBC" w:rsidRDefault="00B72CBC" w:rsidP="00B72CBC">
            <w:pPr>
              <w:pStyle w:val="TableText"/>
              <w:rPr>
                <w:rtl/>
              </w:rPr>
            </w:pPr>
          </w:p>
        </w:tc>
        <w:tc>
          <w:tcPr>
            <w:tcW w:w="7147" w:type="dxa"/>
            <w:hideMark/>
          </w:tcPr>
          <w:p w14:paraId="290264CB" w14:textId="50707A98" w:rsidR="00B72CBC" w:rsidRDefault="00B72CBC" w:rsidP="00B72CBC">
            <w:pPr>
              <w:pStyle w:val="TableBlock"/>
              <w:rPr>
                <w:rtl/>
              </w:rPr>
            </w:pPr>
            <w:r>
              <w:rPr>
                <w:rtl/>
              </w:rPr>
              <w:t>(3)</w:t>
            </w:r>
            <w:r>
              <w:rPr>
                <w:rtl/>
              </w:rPr>
              <w:tab/>
              <w:t>ישמש כממונה על השמירה לפי חוק הסדרת השמירה;</w:t>
            </w:r>
          </w:p>
        </w:tc>
      </w:tr>
      <w:tr w:rsidR="00B72CBC" w14:paraId="25A53CCD" w14:textId="77777777" w:rsidTr="001F1C68">
        <w:trPr>
          <w:cantSplit/>
        </w:trPr>
        <w:tc>
          <w:tcPr>
            <w:tcW w:w="1872" w:type="dxa"/>
          </w:tcPr>
          <w:p w14:paraId="775DF1B7" w14:textId="69BB45C5" w:rsidR="00B72CBC" w:rsidRDefault="00B72CBC" w:rsidP="00B72CBC">
            <w:pPr>
              <w:pStyle w:val="TableSideHeading"/>
              <w:rPr>
                <w:rtl/>
              </w:rPr>
            </w:pPr>
          </w:p>
        </w:tc>
        <w:tc>
          <w:tcPr>
            <w:tcW w:w="624" w:type="dxa"/>
          </w:tcPr>
          <w:p w14:paraId="6A0EEFA4" w14:textId="77777777" w:rsidR="00B72CBC" w:rsidRDefault="00B72CBC" w:rsidP="00B72CBC">
            <w:pPr>
              <w:pStyle w:val="TableText"/>
              <w:rPr>
                <w:rtl/>
              </w:rPr>
            </w:pPr>
          </w:p>
        </w:tc>
        <w:tc>
          <w:tcPr>
            <w:tcW w:w="7147" w:type="dxa"/>
            <w:hideMark/>
          </w:tcPr>
          <w:p w14:paraId="5A0C51A6" w14:textId="0D6B557D" w:rsidR="00B72CBC" w:rsidRDefault="00B72CBC" w:rsidP="00B72CBC">
            <w:pPr>
              <w:pStyle w:val="TableBlock"/>
              <w:rPr>
                <w:rtl/>
              </w:rPr>
            </w:pPr>
            <w:r>
              <w:rPr>
                <w:rtl/>
              </w:rPr>
              <w:t>(4)</w:t>
            </w:r>
            <w:r>
              <w:rPr>
                <w:rtl/>
              </w:rPr>
              <w:tab/>
              <w:t xml:space="preserve">יפעיל את כיתת הכוננות היישובית </w:t>
            </w:r>
            <w:r>
              <w:rPr>
                <w:rFonts w:hint="cs"/>
                <w:rtl/>
              </w:rPr>
              <w:t>במצבי</w:t>
            </w:r>
            <w:r>
              <w:rPr>
                <w:rtl/>
              </w:rPr>
              <w:t xml:space="preserve"> חירום;</w:t>
            </w:r>
          </w:p>
        </w:tc>
      </w:tr>
      <w:tr w:rsidR="00B72CBC" w14:paraId="399C488C" w14:textId="77777777" w:rsidTr="001F1C68">
        <w:trPr>
          <w:cantSplit/>
        </w:trPr>
        <w:tc>
          <w:tcPr>
            <w:tcW w:w="1872" w:type="dxa"/>
          </w:tcPr>
          <w:p w14:paraId="4F1A42BD" w14:textId="1DEC4DA4" w:rsidR="00B72CBC" w:rsidRDefault="00B72CBC" w:rsidP="00B72CBC">
            <w:pPr>
              <w:pStyle w:val="TableSideHeading"/>
              <w:rPr>
                <w:rtl/>
              </w:rPr>
            </w:pPr>
          </w:p>
        </w:tc>
        <w:tc>
          <w:tcPr>
            <w:tcW w:w="624" w:type="dxa"/>
          </w:tcPr>
          <w:p w14:paraId="3D7F2454" w14:textId="77777777" w:rsidR="00B72CBC" w:rsidRDefault="00B72CBC" w:rsidP="00B72CBC">
            <w:pPr>
              <w:pStyle w:val="TableText"/>
              <w:rPr>
                <w:rtl/>
              </w:rPr>
            </w:pPr>
          </w:p>
        </w:tc>
        <w:tc>
          <w:tcPr>
            <w:tcW w:w="7147" w:type="dxa"/>
            <w:hideMark/>
          </w:tcPr>
          <w:p w14:paraId="51A171EC" w14:textId="52D3AEF8" w:rsidR="00B72CBC" w:rsidRDefault="00B72CBC" w:rsidP="00B72CBC">
            <w:pPr>
              <w:pStyle w:val="TableBlock"/>
              <w:rPr>
                <w:rtl/>
              </w:rPr>
            </w:pPr>
            <w:r>
              <w:rPr>
                <w:rtl/>
              </w:rPr>
              <w:t>(5)</w:t>
            </w:r>
            <w:r>
              <w:rPr>
                <w:rtl/>
              </w:rPr>
              <w:tab/>
              <w:t>ירכז את הקשר בין גורמי ביטחון החירום וההצלה לגורמי היישוב.</w:t>
            </w:r>
          </w:p>
        </w:tc>
      </w:tr>
      <w:tr w:rsidR="00B72CBC" w14:paraId="0BAC0645" w14:textId="77777777" w:rsidTr="001F1C68">
        <w:trPr>
          <w:cantSplit/>
        </w:trPr>
        <w:tc>
          <w:tcPr>
            <w:tcW w:w="1872" w:type="dxa"/>
            <w:hideMark/>
          </w:tcPr>
          <w:p w14:paraId="3B97E638" w14:textId="253A90DA" w:rsidR="00B72CBC" w:rsidRDefault="00B72CBC" w:rsidP="00B72CBC">
            <w:pPr>
              <w:pStyle w:val="TableSideHeading"/>
              <w:rPr>
                <w:rtl/>
              </w:rPr>
            </w:pPr>
            <w:r>
              <w:rPr>
                <w:rtl/>
              </w:rPr>
              <w:t>סמכויות</w:t>
            </w:r>
          </w:p>
        </w:tc>
        <w:tc>
          <w:tcPr>
            <w:tcW w:w="624" w:type="dxa"/>
            <w:hideMark/>
          </w:tcPr>
          <w:p w14:paraId="4D67D77F" w14:textId="77777777" w:rsidR="00B72CBC" w:rsidRDefault="00B72CBC" w:rsidP="00B72CBC">
            <w:pPr>
              <w:pStyle w:val="TableText"/>
              <w:rPr>
                <w:rtl/>
              </w:rPr>
            </w:pPr>
            <w:r>
              <w:rPr>
                <w:rtl/>
              </w:rPr>
              <w:t>5.</w:t>
            </w:r>
          </w:p>
        </w:tc>
        <w:tc>
          <w:tcPr>
            <w:tcW w:w="7147" w:type="dxa"/>
            <w:hideMark/>
          </w:tcPr>
          <w:p w14:paraId="23C30538" w14:textId="39023867" w:rsidR="00B72CBC" w:rsidRDefault="00B72CBC" w:rsidP="00B72CBC">
            <w:pPr>
              <w:pStyle w:val="TableBlock"/>
              <w:rPr>
                <w:rtl/>
              </w:rPr>
            </w:pPr>
            <w:r>
              <w:rPr>
                <w:rtl/>
              </w:rPr>
              <w:t>לרכז ביטחון יהיו הסמכויות הנתונות לממונה ביטחון לפי חוק להסדרת הביטחון.</w:t>
            </w:r>
          </w:p>
        </w:tc>
      </w:tr>
      <w:tr w:rsidR="00B72CBC" w14:paraId="32848029" w14:textId="77777777" w:rsidTr="001F1C68">
        <w:trPr>
          <w:cantSplit/>
        </w:trPr>
        <w:tc>
          <w:tcPr>
            <w:tcW w:w="1872" w:type="dxa"/>
            <w:hideMark/>
          </w:tcPr>
          <w:p w14:paraId="61793F22" w14:textId="2F004921" w:rsidR="00B72CBC" w:rsidRDefault="00B72CBC" w:rsidP="00B72CBC">
            <w:pPr>
              <w:pStyle w:val="TableSideHeading"/>
              <w:rPr>
                <w:rtl/>
              </w:rPr>
            </w:pPr>
            <w:r>
              <w:rPr>
                <w:rtl/>
              </w:rPr>
              <w:t>כפיפות ותנאי העסקה</w:t>
            </w:r>
          </w:p>
        </w:tc>
        <w:tc>
          <w:tcPr>
            <w:tcW w:w="624" w:type="dxa"/>
            <w:hideMark/>
          </w:tcPr>
          <w:p w14:paraId="0377F2CB" w14:textId="77777777" w:rsidR="00B72CBC" w:rsidRDefault="00B72CBC" w:rsidP="00B72CBC">
            <w:pPr>
              <w:pStyle w:val="TableText"/>
              <w:jc w:val="both"/>
              <w:rPr>
                <w:rtl/>
              </w:rPr>
            </w:pPr>
            <w:r>
              <w:rPr>
                <w:rtl/>
              </w:rPr>
              <w:t>6.</w:t>
            </w:r>
          </w:p>
        </w:tc>
        <w:tc>
          <w:tcPr>
            <w:tcW w:w="7147" w:type="dxa"/>
            <w:hideMark/>
          </w:tcPr>
          <w:p w14:paraId="2BA9F764" w14:textId="3E892940" w:rsidR="00B72CBC" w:rsidRDefault="00B72CBC" w:rsidP="00B72CBC">
            <w:pPr>
              <w:pStyle w:val="TableBlock"/>
              <w:rPr>
                <w:rtl/>
              </w:rPr>
            </w:pPr>
            <w:r>
              <w:rPr>
                <w:rtl/>
              </w:rPr>
              <w:t>(א)</w:t>
            </w:r>
            <w:r>
              <w:rPr>
                <w:rtl/>
              </w:rPr>
              <w:tab/>
              <w:t>רכז הביטחון יהיה עובד משרד הביטחון.</w:t>
            </w:r>
          </w:p>
        </w:tc>
      </w:tr>
      <w:tr w:rsidR="00B72CBC" w14:paraId="1738270B" w14:textId="77777777" w:rsidTr="001F1C68">
        <w:trPr>
          <w:cantSplit/>
        </w:trPr>
        <w:tc>
          <w:tcPr>
            <w:tcW w:w="1872" w:type="dxa"/>
          </w:tcPr>
          <w:p w14:paraId="20356DA7" w14:textId="525268BE" w:rsidR="00B72CBC" w:rsidRDefault="00B72CBC" w:rsidP="00B72CBC">
            <w:pPr>
              <w:pStyle w:val="TableSideHeading"/>
              <w:rPr>
                <w:rtl/>
              </w:rPr>
            </w:pPr>
          </w:p>
        </w:tc>
        <w:tc>
          <w:tcPr>
            <w:tcW w:w="624" w:type="dxa"/>
          </w:tcPr>
          <w:p w14:paraId="3CBC6175" w14:textId="77777777" w:rsidR="00B72CBC" w:rsidRDefault="00B72CBC" w:rsidP="00B72CBC">
            <w:pPr>
              <w:pStyle w:val="TableText"/>
              <w:rPr>
                <w:rtl/>
              </w:rPr>
            </w:pPr>
          </w:p>
        </w:tc>
        <w:tc>
          <w:tcPr>
            <w:tcW w:w="7147" w:type="dxa"/>
            <w:hideMark/>
          </w:tcPr>
          <w:p w14:paraId="21F38B6A" w14:textId="4846770F" w:rsidR="00B72CBC" w:rsidRDefault="00B72CBC" w:rsidP="00B72CBC">
            <w:pPr>
              <w:pStyle w:val="TableBlock"/>
              <w:rPr>
                <w:rtl/>
              </w:rPr>
            </w:pPr>
            <w:r>
              <w:rPr>
                <w:rtl/>
              </w:rPr>
              <w:t>(ב)</w:t>
            </w:r>
            <w:r>
              <w:rPr>
                <w:rtl/>
              </w:rPr>
              <w:tab/>
              <w:t>רכז הביטחון יהיה כפוף פיקודית ומקצועית למפקד הצבאי שבתחומו נמצא היישוב ויפעל בהתאם להנחיותיו ותוך תיאום עמו.</w:t>
            </w:r>
          </w:p>
        </w:tc>
      </w:tr>
      <w:tr w:rsidR="00B72CBC" w14:paraId="2079945D" w14:textId="77777777" w:rsidTr="001F1C68">
        <w:trPr>
          <w:cantSplit/>
        </w:trPr>
        <w:tc>
          <w:tcPr>
            <w:tcW w:w="1872" w:type="dxa"/>
          </w:tcPr>
          <w:p w14:paraId="603E9A0D" w14:textId="53AA5332" w:rsidR="00B72CBC" w:rsidRDefault="00B72CBC" w:rsidP="00B72CBC">
            <w:pPr>
              <w:pStyle w:val="TableSideHeading"/>
              <w:rPr>
                <w:rtl/>
              </w:rPr>
            </w:pPr>
          </w:p>
        </w:tc>
        <w:tc>
          <w:tcPr>
            <w:tcW w:w="624" w:type="dxa"/>
          </w:tcPr>
          <w:p w14:paraId="5CA8C262" w14:textId="77777777" w:rsidR="00B72CBC" w:rsidRDefault="00B72CBC" w:rsidP="00B72CBC">
            <w:pPr>
              <w:pStyle w:val="TableText"/>
              <w:rPr>
                <w:rtl/>
              </w:rPr>
            </w:pPr>
          </w:p>
        </w:tc>
        <w:tc>
          <w:tcPr>
            <w:tcW w:w="7147" w:type="dxa"/>
            <w:hideMark/>
          </w:tcPr>
          <w:p w14:paraId="51360563" w14:textId="33F185E4" w:rsidR="00B72CBC" w:rsidRDefault="00B72CBC" w:rsidP="00B72CBC">
            <w:pPr>
              <w:pStyle w:val="TableBlock"/>
              <w:rPr>
                <w:rtl/>
              </w:rPr>
            </w:pPr>
            <w:r>
              <w:rPr>
                <w:rtl/>
              </w:rPr>
              <w:t>(ג)</w:t>
            </w:r>
            <w:r>
              <w:rPr>
                <w:rtl/>
              </w:rPr>
              <w:tab/>
              <w:t>תנאי שכרו ותנאי העסקתו של רכז ביטחון יהיו כשל ממונה ביטחון כהגדרתו בחוק להסדרת הביטחון, בשינויים המחויבים מאופיו, ממהותו ומדרישותיו של התפקיד.</w:t>
            </w:r>
          </w:p>
        </w:tc>
      </w:tr>
      <w:tr w:rsidR="00B72CBC" w14:paraId="191AABEE" w14:textId="77777777" w:rsidTr="001F1C68">
        <w:trPr>
          <w:cantSplit/>
        </w:trPr>
        <w:tc>
          <w:tcPr>
            <w:tcW w:w="1872" w:type="dxa"/>
          </w:tcPr>
          <w:p w14:paraId="733D6EC0" w14:textId="1A406864" w:rsidR="00B72CBC" w:rsidRDefault="00B72CBC" w:rsidP="00B72CBC">
            <w:pPr>
              <w:pStyle w:val="TableSideHeading"/>
              <w:rPr>
                <w:rtl/>
              </w:rPr>
            </w:pPr>
          </w:p>
        </w:tc>
        <w:tc>
          <w:tcPr>
            <w:tcW w:w="624" w:type="dxa"/>
          </w:tcPr>
          <w:p w14:paraId="16CEBA15" w14:textId="77777777" w:rsidR="00B72CBC" w:rsidRDefault="00B72CBC" w:rsidP="00B72CBC">
            <w:pPr>
              <w:pStyle w:val="TableText"/>
              <w:rPr>
                <w:rtl/>
              </w:rPr>
            </w:pPr>
          </w:p>
        </w:tc>
        <w:tc>
          <w:tcPr>
            <w:tcW w:w="7147" w:type="dxa"/>
            <w:hideMark/>
          </w:tcPr>
          <w:p w14:paraId="13C574B3" w14:textId="371ACD3D" w:rsidR="00B72CBC" w:rsidRDefault="00B72CBC" w:rsidP="00B72CBC">
            <w:pPr>
              <w:pStyle w:val="TableBlock"/>
              <w:rPr>
                <w:rtl/>
              </w:rPr>
            </w:pPr>
            <w:r>
              <w:rPr>
                <w:rtl/>
              </w:rPr>
              <w:t>(ד)</w:t>
            </w:r>
            <w:r>
              <w:rPr>
                <w:rtl/>
              </w:rPr>
              <w:tab/>
              <w:t xml:space="preserve">עלות שכרו של רכז ביטחון ועלות הציוד הדרוש לשם מילוי תפקידו, לרבות תפעולו ואחזקתו, ימומנו מסעיף תקציב הוצאות חירום אזרחיות בתקציב המדינה. </w:t>
            </w:r>
          </w:p>
        </w:tc>
      </w:tr>
      <w:tr w:rsidR="00B72CBC" w14:paraId="00436508" w14:textId="77777777" w:rsidTr="001F1C68">
        <w:trPr>
          <w:cantSplit/>
        </w:trPr>
        <w:tc>
          <w:tcPr>
            <w:tcW w:w="1872" w:type="dxa"/>
          </w:tcPr>
          <w:p w14:paraId="2F428614" w14:textId="13080E57" w:rsidR="00B72CBC" w:rsidRDefault="00B72CBC" w:rsidP="00B72CBC">
            <w:pPr>
              <w:pStyle w:val="TableSideHeading"/>
              <w:rPr>
                <w:rtl/>
              </w:rPr>
            </w:pPr>
          </w:p>
        </w:tc>
        <w:tc>
          <w:tcPr>
            <w:tcW w:w="624" w:type="dxa"/>
          </w:tcPr>
          <w:p w14:paraId="261E8515" w14:textId="77777777" w:rsidR="00B72CBC" w:rsidRDefault="00B72CBC" w:rsidP="00B72CBC">
            <w:pPr>
              <w:pStyle w:val="TableText"/>
              <w:rPr>
                <w:rtl/>
              </w:rPr>
            </w:pPr>
          </w:p>
        </w:tc>
        <w:tc>
          <w:tcPr>
            <w:tcW w:w="7147" w:type="dxa"/>
            <w:hideMark/>
          </w:tcPr>
          <w:p w14:paraId="7BE44BF8" w14:textId="426E0D7B" w:rsidR="00B72CBC" w:rsidRDefault="00B72CBC" w:rsidP="00B72CBC">
            <w:pPr>
              <w:pStyle w:val="TableBlock"/>
              <w:rPr>
                <w:rtl/>
              </w:rPr>
            </w:pPr>
            <w:r>
              <w:rPr>
                <w:rtl/>
              </w:rPr>
              <w:t>(ה)</w:t>
            </w:r>
            <w:r>
              <w:rPr>
                <w:rtl/>
              </w:rPr>
              <w:tab/>
              <w:t>שר הביטחון יקבע הוראות לעניין זה, ורשאי הוא לקבוע מעת לעת הוראות שונות ליישובים שונים, בהתאם לגודלם ולהיקף האיומים הביטחוניים עליהם.</w:t>
            </w:r>
          </w:p>
        </w:tc>
      </w:tr>
      <w:tr w:rsidR="00B72CBC" w14:paraId="752B6D49" w14:textId="77777777" w:rsidTr="001F1C68">
        <w:trPr>
          <w:cantSplit/>
        </w:trPr>
        <w:tc>
          <w:tcPr>
            <w:tcW w:w="1872" w:type="dxa"/>
            <w:hideMark/>
          </w:tcPr>
          <w:p w14:paraId="348781CE" w14:textId="1E9E8557" w:rsidR="00B72CBC" w:rsidRDefault="00B72CBC" w:rsidP="00B72CBC">
            <w:pPr>
              <w:pStyle w:val="TableSideHeading"/>
              <w:rPr>
                <w:rtl/>
              </w:rPr>
            </w:pPr>
            <w:r>
              <w:rPr>
                <w:rtl/>
              </w:rPr>
              <w:t>יישוב מחלוקות</w:t>
            </w:r>
          </w:p>
        </w:tc>
        <w:tc>
          <w:tcPr>
            <w:tcW w:w="624" w:type="dxa"/>
            <w:hideMark/>
          </w:tcPr>
          <w:p w14:paraId="4D8B8185" w14:textId="77777777" w:rsidR="00B72CBC" w:rsidRDefault="00B72CBC" w:rsidP="00B72CBC">
            <w:pPr>
              <w:pStyle w:val="TableText"/>
              <w:rPr>
                <w:rtl/>
              </w:rPr>
            </w:pPr>
            <w:r>
              <w:rPr>
                <w:rtl/>
              </w:rPr>
              <w:t>7.</w:t>
            </w:r>
          </w:p>
        </w:tc>
        <w:tc>
          <w:tcPr>
            <w:tcW w:w="7147" w:type="dxa"/>
            <w:hideMark/>
          </w:tcPr>
          <w:p w14:paraId="7BF4B0B1" w14:textId="72A0D1D3" w:rsidR="00B72CBC" w:rsidRDefault="00B72CBC" w:rsidP="00B72CBC">
            <w:pPr>
              <w:pStyle w:val="TableBlock"/>
              <w:rPr>
                <w:rtl/>
              </w:rPr>
            </w:pPr>
            <w:r>
              <w:rPr>
                <w:rtl/>
              </w:rPr>
              <w:t>שר הביטחון יקבע, בהסכמת שר הפנים, נוהל ליישוב מחלוקות בין המפקד הצבאי לבין הרשות המקומית בכל הנוגע ליישום הוראות חוק זה.</w:t>
            </w:r>
          </w:p>
        </w:tc>
      </w:tr>
      <w:tr w:rsidR="00B72CBC" w14:paraId="2D1CE485" w14:textId="77777777" w:rsidTr="001F1C68">
        <w:trPr>
          <w:cantSplit/>
        </w:trPr>
        <w:tc>
          <w:tcPr>
            <w:tcW w:w="1872" w:type="dxa"/>
            <w:hideMark/>
          </w:tcPr>
          <w:p w14:paraId="1E0C7472" w14:textId="0FA972AB" w:rsidR="00B72CBC" w:rsidRDefault="00B72CBC" w:rsidP="00B72CBC">
            <w:pPr>
              <w:pStyle w:val="TableSideHeading"/>
              <w:rPr>
                <w:rtl/>
              </w:rPr>
            </w:pPr>
            <w:r>
              <w:rPr>
                <w:rtl/>
              </w:rPr>
              <w:t>תיקון חוק הרשויות המקומיות (הסדרת השמירה)</w:t>
            </w:r>
          </w:p>
        </w:tc>
        <w:tc>
          <w:tcPr>
            <w:tcW w:w="624" w:type="dxa"/>
            <w:hideMark/>
          </w:tcPr>
          <w:p w14:paraId="5EDBF4AE" w14:textId="77777777" w:rsidR="00B72CBC" w:rsidRDefault="00B72CBC" w:rsidP="00B72CBC">
            <w:pPr>
              <w:pStyle w:val="TableText"/>
              <w:rPr>
                <w:rtl/>
              </w:rPr>
            </w:pPr>
            <w:r>
              <w:rPr>
                <w:rtl/>
              </w:rPr>
              <w:t>8.</w:t>
            </w:r>
          </w:p>
        </w:tc>
        <w:tc>
          <w:tcPr>
            <w:tcW w:w="7147" w:type="dxa"/>
            <w:hideMark/>
          </w:tcPr>
          <w:p w14:paraId="3746AB0D" w14:textId="702D29CC" w:rsidR="00B72CBC" w:rsidRDefault="00B72CBC" w:rsidP="00B72CBC">
            <w:pPr>
              <w:pStyle w:val="TableBlock"/>
              <w:rPr>
                <w:rtl/>
              </w:rPr>
            </w:pPr>
            <w:r>
              <w:rPr>
                <w:rtl/>
              </w:rPr>
              <w:t>בחוק הרשויות המקומיות (הסדרת השמירה), התשכ"א–1961</w:t>
            </w:r>
            <w:r>
              <w:rPr>
                <w:rStyle w:val="a6"/>
                <w:rFonts w:ascii="David" w:hAnsi="David"/>
                <w:sz w:val="26"/>
                <w:rtl/>
              </w:rPr>
              <w:footnoteReference w:id="5"/>
            </w:r>
            <w:r>
              <w:rPr>
                <w:rtl/>
              </w:rPr>
              <w:t xml:space="preserve"> –</w:t>
            </w:r>
          </w:p>
        </w:tc>
      </w:tr>
      <w:tr w:rsidR="00B72CBC" w14:paraId="62A87A93" w14:textId="77777777" w:rsidTr="001F1C68">
        <w:trPr>
          <w:cantSplit/>
        </w:trPr>
        <w:tc>
          <w:tcPr>
            <w:tcW w:w="1872" w:type="dxa"/>
          </w:tcPr>
          <w:p w14:paraId="48779124" w14:textId="5ADD204E" w:rsidR="00B72CBC" w:rsidRDefault="00B72CBC" w:rsidP="00B72CBC">
            <w:pPr>
              <w:pStyle w:val="TableSideHeading"/>
              <w:rPr>
                <w:rtl/>
              </w:rPr>
            </w:pPr>
          </w:p>
        </w:tc>
        <w:tc>
          <w:tcPr>
            <w:tcW w:w="624" w:type="dxa"/>
          </w:tcPr>
          <w:p w14:paraId="2E07EF37" w14:textId="77777777" w:rsidR="00B72CBC" w:rsidRDefault="00B72CBC" w:rsidP="00B72CBC">
            <w:pPr>
              <w:pStyle w:val="TableText"/>
              <w:rPr>
                <w:rtl/>
              </w:rPr>
            </w:pPr>
          </w:p>
        </w:tc>
        <w:tc>
          <w:tcPr>
            <w:tcW w:w="7147" w:type="dxa"/>
            <w:hideMark/>
          </w:tcPr>
          <w:p w14:paraId="0170E25B" w14:textId="2BC90BF9" w:rsidR="00B72CBC" w:rsidRDefault="00B72CBC" w:rsidP="00B72CBC">
            <w:pPr>
              <w:pStyle w:val="TableBlock"/>
              <w:rPr>
                <w:rtl/>
              </w:rPr>
            </w:pPr>
            <w:r>
              <w:rPr>
                <w:rtl/>
              </w:rPr>
              <w:t>(1)</w:t>
            </w:r>
            <w:r>
              <w:rPr>
                <w:rtl/>
              </w:rPr>
              <w:tab/>
              <w:t>בסעיף 1, בהגדרה "הממונה על השמירה", בסופה יבוא "או רכז ביטחון שוטף צבאי כהגדרתו בחוק רכזי ביטחון שוט</w:t>
            </w:r>
            <w:r>
              <w:rPr>
                <w:rFonts w:hint="cs"/>
                <w:rtl/>
              </w:rPr>
              <w:t>ף</w:t>
            </w:r>
            <w:r>
              <w:rPr>
                <w:rtl/>
              </w:rPr>
              <w:t xml:space="preserve"> צבאיים, התשפ"</w:t>
            </w:r>
            <w:r>
              <w:rPr>
                <w:rFonts w:hint="cs"/>
                <w:rtl/>
              </w:rPr>
              <w:t>ו</w:t>
            </w:r>
            <w:r>
              <w:rPr>
                <w:rtl/>
              </w:rPr>
              <w:t>–202</w:t>
            </w:r>
            <w:r>
              <w:rPr>
                <w:rFonts w:hint="cs"/>
                <w:rtl/>
              </w:rPr>
              <w:t>6</w:t>
            </w:r>
            <w:r>
              <w:rPr>
                <w:rtl/>
              </w:rPr>
              <w:t>;";</w:t>
            </w:r>
          </w:p>
        </w:tc>
      </w:tr>
      <w:tr w:rsidR="00B72CBC" w14:paraId="7F055243" w14:textId="77777777" w:rsidTr="001F1C68">
        <w:trPr>
          <w:cantSplit/>
        </w:trPr>
        <w:tc>
          <w:tcPr>
            <w:tcW w:w="1872" w:type="dxa"/>
          </w:tcPr>
          <w:p w14:paraId="7473381C" w14:textId="6B4E0956" w:rsidR="00B72CBC" w:rsidRDefault="00B72CBC" w:rsidP="00B72CBC">
            <w:pPr>
              <w:pStyle w:val="TableSideHeading"/>
              <w:rPr>
                <w:rtl/>
              </w:rPr>
            </w:pPr>
          </w:p>
        </w:tc>
        <w:tc>
          <w:tcPr>
            <w:tcW w:w="624" w:type="dxa"/>
          </w:tcPr>
          <w:p w14:paraId="033C8642" w14:textId="77777777" w:rsidR="00B72CBC" w:rsidRDefault="00B72CBC" w:rsidP="00B72CBC">
            <w:pPr>
              <w:pStyle w:val="TableText"/>
              <w:rPr>
                <w:rtl/>
              </w:rPr>
            </w:pPr>
          </w:p>
        </w:tc>
        <w:tc>
          <w:tcPr>
            <w:tcW w:w="7147" w:type="dxa"/>
            <w:hideMark/>
          </w:tcPr>
          <w:p w14:paraId="43F73DA9" w14:textId="2EE854A3" w:rsidR="00B72CBC" w:rsidRDefault="00B72CBC" w:rsidP="00B72CBC">
            <w:pPr>
              <w:pStyle w:val="TableBlock"/>
              <w:rPr>
                <w:rtl/>
              </w:rPr>
            </w:pPr>
            <w:r>
              <w:rPr>
                <w:rtl/>
              </w:rPr>
              <w:t>(2)</w:t>
            </w:r>
            <w:r>
              <w:rPr>
                <w:rtl/>
              </w:rPr>
              <w:tab/>
              <w:t>בסעיף 2(ב)</w:t>
            </w:r>
            <w:r w:rsidR="00E21903">
              <w:rPr>
                <w:rFonts w:hint="cs"/>
                <w:rtl/>
              </w:rPr>
              <w:t>,</w:t>
            </w:r>
            <w:r>
              <w:rPr>
                <w:rtl/>
              </w:rPr>
              <w:t xml:space="preserve"> הרישה עד המילים "שבאחריות המשטרה" – תימחק, ובסופו יבוא "בשטח שבאחריות המשטרה".</w:t>
            </w:r>
          </w:p>
        </w:tc>
      </w:tr>
      <w:tr w:rsidR="00B72CBC" w14:paraId="14197161" w14:textId="77777777" w:rsidTr="001F1C68">
        <w:trPr>
          <w:cantSplit/>
        </w:trPr>
        <w:tc>
          <w:tcPr>
            <w:tcW w:w="1872" w:type="dxa"/>
            <w:hideMark/>
          </w:tcPr>
          <w:p w14:paraId="0A31CB54" w14:textId="1710B748" w:rsidR="00B72CBC" w:rsidRDefault="00B72CBC" w:rsidP="00B72CBC">
            <w:pPr>
              <w:pStyle w:val="TableSideHeading"/>
              <w:rPr>
                <w:rtl/>
              </w:rPr>
            </w:pPr>
            <w:r>
              <w:rPr>
                <w:rtl/>
              </w:rPr>
              <w:t>תחילה והוראות מעבר</w:t>
            </w:r>
          </w:p>
        </w:tc>
        <w:tc>
          <w:tcPr>
            <w:tcW w:w="624" w:type="dxa"/>
            <w:hideMark/>
          </w:tcPr>
          <w:p w14:paraId="33521A13" w14:textId="77777777" w:rsidR="00B72CBC" w:rsidRDefault="00B72CBC" w:rsidP="00B72CBC">
            <w:pPr>
              <w:pStyle w:val="TableText"/>
              <w:rPr>
                <w:rtl/>
              </w:rPr>
            </w:pPr>
            <w:r>
              <w:rPr>
                <w:rtl/>
              </w:rPr>
              <w:t>9.</w:t>
            </w:r>
          </w:p>
        </w:tc>
        <w:tc>
          <w:tcPr>
            <w:tcW w:w="7147" w:type="dxa"/>
            <w:hideMark/>
          </w:tcPr>
          <w:p w14:paraId="6FBF2C75" w14:textId="01DD04E0" w:rsidR="00B72CBC" w:rsidRDefault="00B72CBC" w:rsidP="00B72CBC">
            <w:pPr>
              <w:pStyle w:val="TableBlock"/>
              <w:rPr>
                <w:rtl/>
              </w:rPr>
            </w:pPr>
            <w:r>
              <w:rPr>
                <w:rtl/>
              </w:rPr>
              <w:t>(א)</w:t>
            </w:r>
            <w:r>
              <w:rPr>
                <w:rtl/>
              </w:rPr>
              <w:tab/>
              <w:t>נוהל יישוב מחלוקות לפי סעיף 7 ייקבע בתוך שישה חודשים מיום תחילתו של חוק זה.</w:t>
            </w:r>
          </w:p>
        </w:tc>
      </w:tr>
      <w:tr w:rsidR="00B72CBC" w14:paraId="0BE1BC79" w14:textId="77777777" w:rsidTr="001F1C68">
        <w:trPr>
          <w:cantSplit/>
        </w:trPr>
        <w:tc>
          <w:tcPr>
            <w:tcW w:w="1872" w:type="dxa"/>
          </w:tcPr>
          <w:p w14:paraId="2F1F46DE" w14:textId="1AD1E8CF" w:rsidR="00B72CBC" w:rsidRDefault="00B72CBC" w:rsidP="00B72CBC">
            <w:pPr>
              <w:pStyle w:val="TableSideHeading"/>
              <w:rPr>
                <w:rtl/>
              </w:rPr>
            </w:pPr>
          </w:p>
        </w:tc>
        <w:tc>
          <w:tcPr>
            <w:tcW w:w="624" w:type="dxa"/>
          </w:tcPr>
          <w:p w14:paraId="5DEE8811" w14:textId="77777777" w:rsidR="00B72CBC" w:rsidRDefault="00B72CBC" w:rsidP="00B72CBC">
            <w:pPr>
              <w:pStyle w:val="TableText"/>
              <w:rPr>
                <w:rtl/>
              </w:rPr>
            </w:pPr>
          </w:p>
        </w:tc>
        <w:tc>
          <w:tcPr>
            <w:tcW w:w="7147" w:type="dxa"/>
            <w:hideMark/>
          </w:tcPr>
          <w:p w14:paraId="22E6D0B7" w14:textId="67276C00" w:rsidR="00B72CBC" w:rsidRDefault="00B72CBC" w:rsidP="00E21903">
            <w:pPr>
              <w:pStyle w:val="TableBlock"/>
              <w:rPr>
                <w:rtl/>
              </w:rPr>
            </w:pPr>
            <w:r>
              <w:rPr>
                <w:rtl/>
              </w:rPr>
              <w:t>(ב)</w:t>
            </w:r>
            <w:r>
              <w:rPr>
                <w:rtl/>
              </w:rPr>
              <w:tab/>
              <w:t>רכז ביטחון שוטף צבאי ששימש בתפקידו ערב תחילתו של חוק זה, יראו אותו כאילו מונה לפי חוק זה, ובלבד שאם לא ניתנה לו הכשרה כאמור בסעיף 3(3) ערב תחילת</w:t>
            </w:r>
            <w:r w:rsidR="00E21903">
              <w:rPr>
                <w:rFonts w:hint="cs"/>
                <w:rtl/>
              </w:rPr>
              <w:t>ו של</w:t>
            </w:r>
            <w:r>
              <w:rPr>
                <w:rtl/>
              </w:rPr>
              <w:t xml:space="preserve"> חוק</w:t>
            </w:r>
            <w:r w:rsidR="00E21903">
              <w:rPr>
                <w:rFonts w:hint="cs"/>
                <w:rtl/>
              </w:rPr>
              <w:t xml:space="preserve"> זה</w:t>
            </w:r>
            <w:r>
              <w:rPr>
                <w:rtl/>
              </w:rPr>
              <w:t>, תינתן לו הכשרה כאמור בתוך שנה מיום התחילה.</w:t>
            </w:r>
          </w:p>
        </w:tc>
      </w:tr>
    </w:tbl>
    <w:p w14:paraId="6E082613" w14:textId="77777777" w:rsidR="00882DC2" w:rsidRDefault="00882DC2" w:rsidP="00882DC2">
      <w:pPr>
        <w:pStyle w:val="HeadDivreiHesber"/>
        <w:rPr>
          <w:rtl/>
        </w:rPr>
      </w:pPr>
      <w:r w:rsidRPr="0027450A">
        <w:rPr>
          <w:rFonts w:hint="cs"/>
          <w:rtl/>
        </w:rPr>
        <w:t>דברי הסבר</w:t>
      </w:r>
    </w:p>
    <w:p w14:paraId="49A9A8FA" w14:textId="77777777" w:rsidR="00882DC2" w:rsidRDefault="00882DC2" w:rsidP="00882DC2">
      <w:pPr>
        <w:pStyle w:val="Hesber"/>
        <w:rPr>
          <w:rtl/>
        </w:rPr>
      </w:pPr>
      <w:r>
        <w:rPr>
          <w:rtl/>
        </w:rPr>
        <w:t>מטרת הצעת חוק זו, להסדיר את נהלי המינוי, ההכשרה, הסמכות והאחריות של רכזי הביטחון שוטף צבאי</w:t>
      </w:r>
      <w:r>
        <w:rPr>
          <w:rFonts w:hint="cs"/>
          <w:rtl/>
        </w:rPr>
        <w:t xml:space="preserve"> </w:t>
      </w:r>
      <w:r>
        <w:rPr>
          <w:rtl/>
        </w:rPr>
        <w:t>(להלן</w:t>
      </w:r>
      <w:r>
        <w:rPr>
          <w:rFonts w:hint="cs"/>
          <w:rtl/>
        </w:rPr>
        <w:t xml:space="preserve"> –</w:t>
      </w:r>
      <w:r>
        <w:rPr>
          <w:rtl/>
        </w:rPr>
        <w:t xml:space="preserve"> רבש"ץ).</w:t>
      </w:r>
    </w:p>
    <w:p w14:paraId="0CC46540" w14:textId="77777777" w:rsidR="00882DC2" w:rsidRDefault="00882DC2" w:rsidP="00882DC2">
      <w:pPr>
        <w:pStyle w:val="Hesber"/>
        <w:rPr>
          <w:rtl/>
        </w:rPr>
      </w:pPr>
      <w:r>
        <w:rPr>
          <w:rtl/>
        </w:rPr>
        <w:t>תפקיד רבש"ץ קיים כבר עשרות שנים אך מעולם לא הוגדר באופן מסוד</w:t>
      </w:r>
      <w:r>
        <w:rPr>
          <w:rFonts w:hint="cs"/>
          <w:rtl/>
        </w:rPr>
        <w:t xml:space="preserve">ר. </w:t>
      </w:r>
      <w:r>
        <w:rPr>
          <w:rtl/>
        </w:rPr>
        <w:t>תפקידו, פעולותיו, סמכויותיו, הכשרתו ותנאי העסקתו לא נכתבו באופן ברור ולכן נוצר</w:t>
      </w:r>
      <w:r>
        <w:rPr>
          <w:rFonts w:hint="cs"/>
          <w:rtl/>
        </w:rPr>
        <w:t>ו</w:t>
      </w:r>
      <w:r>
        <w:rPr>
          <w:rtl/>
        </w:rPr>
        <w:t xml:space="preserve"> חוסר אחידות וחוסר התאמה בין התפקיד למציאות בשטח. </w:t>
      </w:r>
    </w:p>
    <w:p w14:paraId="656D0756" w14:textId="163DEE95" w:rsidR="00882DC2" w:rsidRDefault="00882DC2" w:rsidP="00882DC2">
      <w:pPr>
        <w:pStyle w:val="Hesber"/>
        <w:rPr>
          <w:rtl/>
        </w:rPr>
      </w:pPr>
      <w:r>
        <w:rPr>
          <w:rtl/>
        </w:rPr>
        <w:t xml:space="preserve">כיום, </w:t>
      </w:r>
      <w:r w:rsidR="00D830D9">
        <w:rPr>
          <w:rtl/>
        </w:rPr>
        <w:t>יש בארץ כ-420 רכזי ביטחון שאחרא</w:t>
      </w:r>
      <w:r>
        <w:rPr>
          <w:rtl/>
        </w:rPr>
        <w:t>ים באופן ישיר על ביטחונם של כ-900 אלף אזרחי מדינת ישראל. רכזי הביטחון נמצאים לאורך גבולות המדינה ביהודה ו</w:t>
      </w:r>
      <w:r w:rsidR="00D830D9">
        <w:rPr>
          <w:rFonts w:hint="cs"/>
          <w:rtl/>
        </w:rPr>
        <w:t>ה</w:t>
      </w:r>
      <w:r>
        <w:rPr>
          <w:rtl/>
        </w:rPr>
        <w:t>שומרון ובקו התפר ומגנים על התושבים ביישובים. רכזי הביטחון לקחו חלק פעיל בעצירת ומניעת פעולות טרור במהלך השנים, חלקם אף שילמו בחייהם בגין פעולות אלו.</w:t>
      </w:r>
    </w:p>
    <w:p w14:paraId="22BF6C33" w14:textId="7DBC1D13" w:rsidR="00882DC2" w:rsidRDefault="00882DC2" w:rsidP="00882DC2">
      <w:pPr>
        <w:pStyle w:val="Hesber"/>
        <w:rPr>
          <w:rtl/>
        </w:rPr>
      </w:pPr>
      <w:r>
        <w:rPr>
          <w:rtl/>
        </w:rPr>
        <w:t>הרבש"ץ אחראי על אבטחת הי</w:t>
      </w:r>
      <w:r w:rsidR="00D830D9">
        <w:rPr>
          <w:rFonts w:hint="cs"/>
          <w:rtl/>
        </w:rPr>
        <w:t>י</w:t>
      </w:r>
      <w:r>
        <w:rPr>
          <w:rtl/>
        </w:rPr>
        <w:t xml:space="preserve">שוב בשגרה ובחירום עד להגעת כוחות צה"ל או המשטרה לשטח, וכן משמש חוליית קישור בין גורמי ביטחון אזוריים וחירום כלליים לבין ראשי היישוב ותושביו. בפקודות צה"ל נקבע, כי הרבש"ץ ישמש כמפקד היישוב בשגרה וכממונה על השמירה, הוא אחראי בין היתר על הטיפול בחיילי הגנת יישובים, במרכיבי הביטחון ובכיתת הכוננות. ביהודה והשומרון תפקיד הרבש"ץ מקיף ומורכב יותר בהשוואה למילוי התפקיד בשאר חלקי הארץ. זאת, בין היתר בשל פעילותו בתחום ביטחון פנים מחוץ לתחום היישוב. </w:t>
      </w:r>
    </w:p>
    <w:p w14:paraId="24A6A0F8" w14:textId="198ACF46" w:rsidR="00882DC2" w:rsidRDefault="00882DC2" w:rsidP="00882DC2">
      <w:pPr>
        <w:pStyle w:val="Hesber"/>
        <w:rPr>
          <w:rtl/>
        </w:rPr>
      </w:pPr>
      <w:r>
        <w:rPr>
          <w:rtl/>
        </w:rPr>
        <w:t>מרבית הרבשצי"ם ביישובים</w:t>
      </w:r>
      <w:r>
        <w:rPr>
          <w:rFonts w:hint="cs"/>
          <w:rtl/>
        </w:rPr>
        <w:t xml:space="preserve"> </w:t>
      </w:r>
      <w:r>
        <w:rPr>
          <w:rtl/>
        </w:rPr>
        <w:t>כפופים מ</w:t>
      </w:r>
      <w:r w:rsidR="00D830D9">
        <w:rPr>
          <w:rFonts w:hint="cs"/>
          <w:rtl/>
        </w:rPr>
        <w:t>י</w:t>
      </w:r>
      <w:r>
        <w:rPr>
          <w:rtl/>
        </w:rPr>
        <w:t>נהלית לרשות המקומית, ומבחינה צבאית – לצה"ל. לעיתים, כפיפות כפולה זו יוצרת קשיים במילוי תפקיד הרבש"ץ, לאור ניגודי עניינים בין צורכי הביטחון של היישוב לבין צרכי הרשות המקומית. כמו כן, משרד הביטחון מעביר את שכר הרבש"צים באמצעות הרשויות המקומיות, אך אינו מקיים פיקוח על השכר שמשולם להם בפועל.</w:t>
      </w:r>
    </w:p>
    <w:p w14:paraId="277A05AA" w14:textId="77777777" w:rsidR="00882DC2" w:rsidRDefault="00882DC2" w:rsidP="00882DC2">
      <w:pPr>
        <w:pStyle w:val="Hesber"/>
        <w:rPr>
          <w:rtl/>
        </w:rPr>
      </w:pPr>
      <w:r>
        <w:rPr>
          <w:rtl/>
        </w:rPr>
        <w:t>הפיכתם של רכזי הביטחון לעובדי משרד הביטחון, תסדיר בעיה נוספת הדורשת הסדרה</w:t>
      </w:r>
      <w:r>
        <w:rPr>
          <w:rFonts w:hint="cs"/>
          <w:rtl/>
        </w:rPr>
        <w:t xml:space="preserve"> </w:t>
      </w:r>
      <w:r>
        <w:rPr>
          <w:rtl/>
        </w:rPr>
        <w:t>–</w:t>
      </w:r>
      <w:r>
        <w:rPr>
          <w:rFonts w:hint="cs"/>
          <w:rtl/>
        </w:rPr>
        <w:t xml:space="preserve"> האחריות </w:t>
      </w:r>
      <w:r>
        <w:rPr>
          <w:rtl/>
        </w:rPr>
        <w:t>לטיפול בנפגעים ומשפחותיהם, במידת הצורך. בדומה ללוחמי אש, שהיו כפופים לאיגוד הערים עד להתרחשות אסון הכרמל, והוכנסו תחת המשרד לביטחון פנים.</w:t>
      </w:r>
    </w:p>
    <w:p w14:paraId="0F380DBF" w14:textId="0DFAD4A8" w:rsidR="00882DC2" w:rsidRDefault="00882DC2" w:rsidP="00882DC2">
      <w:pPr>
        <w:pStyle w:val="Hesber"/>
        <w:rPr>
          <w:rtl/>
        </w:rPr>
      </w:pPr>
      <w:r>
        <w:rPr>
          <w:rtl/>
        </w:rPr>
        <w:t>נוכח החשיבות שבתפקיד הרבש"ץ ובחיוניות תפקידם לשם שמירה על ביטחון הי</w:t>
      </w:r>
      <w:r w:rsidR="00D830D9">
        <w:rPr>
          <w:rFonts w:hint="cs"/>
          <w:rtl/>
        </w:rPr>
        <w:t>י</w:t>
      </w:r>
      <w:r>
        <w:rPr>
          <w:rtl/>
        </w:rPr>
        <w:t xml:space="preserve">שובים וסביבתם, </w:t>
      </w:r>
      <w:r>
        <w:rPr>
          <w:rtl/>
        </w:rPr>
        <w:lastRenderedPageBreak/>
        <w:t xml:space="preserve">וכדי להבטיח את בהירות מעמדם, תפקידם וסמכויותיהם, מוצע להסדיר את נהלי המינוי, ההכשרה והתפקוד של רכזי הביטחון </w:t>
      </w:r>
      <w:r>
        <w:rPr>
          <w:rFonts w:hint="cs"/>
          <w:rtl/>
        </w:rPr>
        <w:t>השוטף</w:t>
      </w:r>
      <w:r>
        <w:rPr>
          <w:rtl/>
        </w:rPr>
        <w:t xml:space="preserve"> </w:t>
      </w:r>
      <w:r>
        <w:rPr>
          <w:rFonts w:hint="cs"/>
          <w:rtl/>
        </w:rPr>
        <w:t>ה</w:t>
      </w:r>
      <w:r>
        <w:rPr>
          <w:rtl/>
        </w:rPr>
        <w:t xml:space="preserve">צבאיים.  </w:t>
      </w:r>
    </w:p>
    <w:p w14:paraId="74741AB2" w14:textId="1152310C" w:rsidR="00882DC2" w:rsidRDefault="00882DC2" w:rsidP="00882DC2">
      <w:pPr>
        <w:pStyle w:val="Hesber"/>
        <w:rPr>
          <w:rtl/>
        </w:rPr>
      </w:pPr>
      <w:r>
        <w:rPr>
          <w:rtl/>
        </w:rPr>
        <w:t>רכז הביטחון הוא נקודת הקצה ביישוב עבור הצבא ועבור גורמי הביטחון, החירום וההצלה השונים. חשיבותו וחיוניותו של התפקיד היא קריטית לשם שמירה על ביטחונם הפיזי של התושבים, רכושם וסביבתם, לכן יש להסדיר את נהלי המינוי, ההכשרה, הגדרת התפקיד, הסמכות והאחריות של רכז ביטחון בחוק, כל זאת תחת גורם מ</w:t>
      </w:r>
      <w:r w:rsidR="00D830D9">
        <w:rPr>
          <w:rFonts w:hint="cs"/>
          <w:rtl/>
        </w:rPr>
        <w:t>י</w:t>
      </w:r>
      <w:r>
        <w:rPr>
          <w:rtl/>
        </w:rPr>
        <w:t xml:space="preserve">נהלי ומקצועי אחד.  </w:t>
      </w:r>
    </w:p>
    <w:p w14:paraId="2531155A" w14:textId="77777777" w:rsidR="00882DC2" w:rsidRPr="00984FC7" w:rsidRDefault="00882DC2" w:rsidP="00882DC2">
      <w:pPr>
        <w:pStyle w:val="Hesber"/>
        <w:rPr>
          <w:rtl/>
        </w:rPr>
      </w:pPr>
      <w:r w:rsidRPr="00F73DC3">
        <w:rPr>
          <w:rtl/>
        </w:rPr>
        <w:t xml:space="preserve">הצעות חוק דומות בעיקרן הונחו על שולחן הכנסת העשרים על ידי חבר הכנסת אבי דיכטר וקבוצת חברי </w:t>
      </w:r>
      <w:r w:rsidRPr="007A7612">
        <w:rPr>
          <w:rtl/>
        </w:rPr>
        <w:t>הכנסת (פ/4391/20) ועל</w:t>
      </w:r>
      <w:r w:rsidRPr="00F73DC3">
        <w:rPr>
          <w:rtl/>
        </w:rPr>
        <w:t xml:space="preserve"> שולחן הכנסת העשרים וארבע על ידי חברת הכנסת שרון רופא אופיר </w:t>
      </w:r>
      <w:r w:rsidRPr="00984FC7">
        <w:rPr>
          <w:rtl/>
        </w:rPr>
        <w:t>וקבוצת חברי הכנסת (פ/2866/24).</w:t>
      </w:r>
    </w:p>
    <w:p w14:paraId="670CECBE" w14:textId="2026F0B5" w:rsidR="00882DC2" w:rsidRPr="007A7612" w:rsidRDefault="00882DC2" w:rsidP="00882DC2">
      <w:pPr>
        <w:pStyle w:val="Hesber"/>
      </w:pPr>
      <w:r w:rsidRPr="00984FC7">
        <w:rPr>
          <w:rtl/>
        </w:rPr>
        <w:t>הצעות חוק זהות הונחו על שולחן הכנסת העשרים ושלוש על ידי חבר הכנסת גדעון סער (פ/2432/23), על שולחן הכנסת העשרים וארבע על ידי חבר הכנסת שלמה קרעי (פ/1520/24), על ידי חבר הכנסת רם</w:t>
      </w:r>
      <w:r w:rsidR="00D830D9">
        <w:rPr>
          <w:rtl/>
        </w:rPr>
        <w:t xml:space="preserve"> בן ברק (פ/1836/24)</w:t>
      </w:r>
      <w:r w:rsidR="00D830D9">
        <w:rPr>
          <w:rFonts w:hint="cs"/>
          <w:rtl/>
        </w:rPr>
        <w:t xml:space="preserve"> ו</w:t>
      </w:r>
      <w:r w:rsidRPr="00984FC7">
        <w:rPr>
          <w:rtl/>
        </w:rPr>
        <w:t>על ידי חברת הכנסת נירה שפק (פ/2236/24) ועל שולחן הכנסת העשרים וחמש על ידי חבר הכנסת שלמה קרעי (פ/214/25), על ידי חברת הכנסת שרן מרים השכל (פ/216/25</w:t>
      </w:r>
      <w:r w:rsidRPr="00984FC7">
        <w:rPr>
          <w:rFonts w:hint="cs"/>
          <w:rtl/>
        </w:rPr>
        <w:t>; הוסרה מסדר</w:t>
      </w:r>
      <w:r>
        <w:rPr>
          <w:rFonts w:hint="cs"/>
          <w:rtl/>
        </w:rPr>
        <w:t xml:space="preserve"> היום ביום י</w:t>
      </w:r>
      <w:r w:rsidRPr="00F73DC3">
        <w:rPr>
          <w:rFonts w:hint="cs"/>
          <w:rtl/>
        </w:rPr>
        <w:t xml:space="preserve">"א בתמוז התשפ"ד (17 ביולי </w:t>
      </w:r>
      <w:r>
        <w:rPr>
          <w:rFonts w:hint="cs"/>
          <w:rtl/>
        </w:rPr>
        <w:t>2024</w:t>
      </w:r>
      <w:r w:rsidRPr="00F73DC3">
        <w:rPr>
          <w:rFonts w:hint="cs"/>
          <w:rtl/>
        </w:rPr>
        <w:t>)</w:t>
      </w:r>
      <w:r>
        <w:rPr>
          <w:rFonts w:hint="cs"/>
          <w:rtl/>
        </w:rPr>
        <w:t>),</w:t>
      </w:r>
      <w:r w:rsidRPr="00F73DC3">
        <w:rPr>
          <w:rtl/>
        </w:rPr>
        <w:t xml:space="preserve"> על ידי חבר הכנסת רם בן ברק </w:t>
      </w:r>
      <w:bookmarkStart w:id="8" w:name="_GoBack"/>
      <w:bookmarkEnd w:id="8"/>
      <w:r w:rsidRPr="00F73DC3">
        <w:rPr>
          <w:rFonts w:hint="cs"/>
          <w:rtl/>
        </w:rPr>
        <w:t xml:space="preserve">(פ/1246/25; הוסרה מסדר היום ביום י"א בתמוז התשפ"ד (17 ביולי </w:t>
      </w:r>
      <w:r>
        <w:rPr>
          <w:rFonts w:hint="cs"/>
          <w:rtl/>
        </w:rPr>
        <w:t>2024</w:t>
      </w:r>
      <w:r w:rsidRPr="00F73DC3">
        <w:rPr>
          <w:rFonts w:hint="cs"/>
          <w:rtl/>
        </w:rPr>
        <w:t>))</w:t>
      </w:r>
      <w:r w:rsidRPr="00F73DC3">
        <w:rPr>
          <w:rtl/>
        </w:rPr>
        <w:t xml:space="preserve">, על ידי חבר הכנסת יצחק קרויזר (פ/2073/25), </w:t>
      </w:r>
      <w:r w:rsidRPr="007A7612">
        <w:rPr>
          <w:rtl/>
        </w:rPr>
        <w:t>על ידי חברת הכנסת מירב בן ארי וקבוצת חברי הכנסת (פ/2078/25)</w:t>
      </w:r>
      <w:r w:rsidRPr="007A7612">
        <w:rPr>
          <w:rFonts w:hint="cs"/>
          <w:rtl/>
        </w:rPr>
        <w:t xml:space="preserve">, </w:t>
      </w:r>
      <w:r w:rsidRPr="007A7612">
        <w:rPr>
          <w:rtl/>
        </w:rPr>
        <w:t>על ידי חבר הכנסת יצחק קרויזר וקבוצת חברי הכנסת (פ/2257/25)</w:t>
      </w:r>
      <w:r w:rsidRPr="007A7612">
        <w:rPr>
          <w:rFonts w:hint="cs"/>
          <w:rtl/>
        </w:rPr>
        <w:t xml:space="preserve"> ועל ידי חבר הכנסת עודד פורר וקבוצת חברי הכנסת (</w:t>
      </w:r>
      <w:r w:rsidRPr="007A7612">
        <w:rPr>
          <w:rtl/>
        </w:rPr>
        <w:t>פ/2489/25</w:t>
      </w:r>
      <w:r w:rsidRPr="007A7612">
        <w:rPr>
          <w:rFonts w:hint="cs"/>
          <w:rtl/>
        </w:rPr>
        <w:t>).</w:t>
      </w:r>
    </w:p>
    <w:p w14:paraId="75E32710" w14:textId="77777777" w:rsidR="00882DC2" w:rsidRPr="00F73DC3" w:rsidRDefault="00882DC2" w:rsidP="00882DC2">
      <w:pPr>
        <w:pStyle w:val="Hesber"/>
        <w:rPr>
          <w:rtl/>
        </w:rPr>
      </w:pPr>
      <w:r w:rsidRPr="007A7612">
        <w:rPr>
          <w:rtl/>
        </w:rPr>
        <w:t>הצעת החוק זהה לפ/2489/25 ולפיכך לא נבדקה מחדש על ידי הלשכה המשפטית של הכנסת.</w:t>
      </w:r>
    </w:p>
    <w:p w14:paraId="082AFF3E" w14:textId="575E55AB" w:rsidR="00E13C27" w:rsidRPr="00882DC2" w:rsidRDefault="00E13C27" w:rsidP="00882DC2">
      <w:pPr>
        <w:rPr>
          <w:rtl/>
        </w:rPr>
      </w:pPr>
    </w:p>
    <w:p w14:paraId="19E84526" w14:textId="77777777" w:rsidR="00FC7AA3" w:rsidRDefault="008C2021">
      <w:pPr>
        <w:spacing w:before="0" w:line="360" w:lineRule="auto"/>
        <w:jc w:val="left"/>
      </w:pPr>
      <w:bookmarkStart w:id="9" w:name="selectedDocDateB"/>
      <w:bookmarkEnd w:id="9"/>
      <w:r>
        <w:rPr>
          <w:rFonts w:ascii="David" w:eastAsia="David" w:hAnsi="David" w:cs="David" w:hint="cs"/>
          <w:sz w:val="26"/>
          <w:szCs w:val="26"/>
          <w:rtl/>
        </w:rPr>
        <w:t>--------------------------------</w:t>
      </w:r>
    </w:p>
    <w:p w14:paraId="7EB1814B" w14:textId="77777777" w:rsidR="00FC7AA3" w:rsidRDefault="008C2021">
      <w:pPr>
        <w:spacing w:before="0" w:line="360" w:lineRule="auto"/>
        <w:jc w:val="left"/>
      </w:pPr>
      <w:r>
        <w:rPr>
          <w:rFonts w:ascii="David" w:eastAsia="David" w:hAnsi="David" w:cs="David" w:hint="cs"/>
          <w:sz w:val="26"/>
          <w:szCs w:val="26"/>
          <w:rtl/>
        </w:rPr>
        <w:t>הוגשה ליו"ר הכנסת והסגנים</w:t>
      </w:r>
    </w:p>
    <w:p w14:paraId="7ABA06D0" w14:textId="77777777" w:rsidR="00FC7AA3" w:rsidRDefault="008C2021">
      <w:pPr>
        <w:spacing w:before="0" w:line="360" w:lineRule="auto"/>
        <w:jc w:val="left"/>
      </w:pPr>
      <w:r>
        <w:rPr>
          <w:rFonts w:ascii="David" w:eastAsia="David" w:hAnsi="David" w:cs="David" w:hint="cs"/>
          <w:sz w:val="26"/>
          <w:szCs w:val="26"/>
          <w:rtl/>
        </w:rPr>
        <w:t>והונחה על שולחן הכנסת ביום</w:t>
      </w:r>
    </w:p>
    <w:p w14:paraId="4DA46168" w14:textId="77777777" w:rsidR="00FC7AA3" w:rsidRDefault="008C2021">
      <w:pPr>
        <w:spacing w:before="0" w:line="360" w:lineRule="auto"/>
        <w:jc w:val="left"/>
      </w:pPr>
      <w:r>
        <w:rPr>
          <w:rFonts w:ascii="David" w:eastAsia="David" w:hAnsi="David" w:cs="David" w:hint="cs"/>
          <w:sz w:val="26"/>
          <w:szCs w:val="26"/>
          <w:rtl/>
        </w:rPr>
        <w:t xml:space="preserve">א' בשבט התשפ"ו (19.01.2026) </w:t>
      </w:r>
    </w:p>
    <w:p w14:paraId="171EF6A1" w14:textId="77777777" w:rsidR="00FC7AA3" w:rsidRDefault="00FC7AA3">
      <w:pPr>
        <w:spacing w:before="0" w:line="276" w:lineRule="auto"/>
        <w:jc w:val="left"/>
      </w:pPr>
    </w:p>
    <w:sectPr w:rsidR="00FC7AA3"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7461289A"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D830D9">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CB73E3A" w14:textId="77777777" w:rsidR="00B72CBC" w:rsidRDefault="00B72CBC" w:rsidP="00882DC2">
      <w:pPr>
        <w:pStyle w:val="a4"/>
        <w:rPr>
          <w:rtl/>
        </w:rPr>
      </w:pPr>
      <w:r>
        <w:rPr>
          <w:rStyle w:val="a6"/>
        </w:rPr>
        <w:footnoteRef/>
      </w:r>
      <w:r>
        <w:rPr>
          <w:sz w:val="20"/>
          <w:rtl/>
        </w:rPr>
        <w:t xml:space="preserve"> </w:t>
      </w:r>
      <w:r>
        <w:rPr>
          <w:rFonts w:hint="cs"/>
          <w:sz w:val="20"/>
          <w:rtl/>
        </w:rPr>
        <w:t>ס"ח התשנ"ח, עמ' 348</w:t>
      </w:r>
      <w:r>
        <w:rPr>
          <w:rtl/>
        </w:rPr>
        <w:t>.</w:t>
      </w:r>
    </w:p>
  </w:footnote>
  <w:footnote w:id="3">
    <w:p w14:paraId="6AC60BEB" w14:textId="77777777" w:rsidR="00B72CBC" w:rsidRDefault="00B72CBC" w:rsidP="00882DC2">
      <w:pPr>
        <w:pStyle w:val="a4"/>
        <w:rPr>
          <w:rtl/>
        </w:rPr>
      </w:pPr>
      <w:r>
        <w:rPr>
          <w:rStyle w:val="a6"/>
        </w:rPr>
        <w:footnoteRef/>
      </w:r>
      <w:r>
        <w:rPr>
          <w:rtl/>
        </w:rPr>
        <w:t xml:space="preserve"> </w:t>
      </w:r>
      <w:r>
        <w:rPr>
          <w:rFonts w:hint="cs"/>
          <w:rtl/>
        </w:rPr>
        <w:t xml:space="preserve">ס"ח </w:t>
      </w:r>
      <w:r>
        <w:rPr>
          <w:sz w:val="20"/>
          <w:rtl/>
        </w:rPr>
        <w:t>ה</w:t>
      </w:r>
      <w:r>
        <w:rPr>
          <w:rtl/>
        </w:rPr>
        <w:t>תשכ"א</w:t>
      </w:r>
      <w:r>
        <w:rPr>
          <w:sz w:val="20"/>
          <w:rtl/>
        </w:rPr>
        <w:t>, עמ' 169</w:t>
      </w:r>
      <w:r>
        <w:rPr>
          <w:rtl/>
        </w:rPr>
        <w:t>.</w:t>
      </w:r>
    </w:p>
  </w:footnote>
  <w:footnote w:id="4">
    <w:p w14:paraId="4CAC3F48" w14:textId="77777777" w:rsidR="00B72CBC" w:rsidRDefault="00B72CBC" w:rsidP="00882DC2">
      <w:pPr>
        <w:pStyle w:val="a4"/>
        <w:rPr>
          <w:rtl/>
        </w:rPr>
      </w:pPr>
      <w:r>
        <w:rPr>
          <w:rStyle w:val="a6"/>
        </w:rPr>
        <w:footnoteRef/>
      </w:r>
      <w:r>
        <w:rPr>
          <w:rtl/>
        </w:rPr>
        <w:t xml:space="preserve"> </w:t>
      </w:r>
      <w:r>
        <w:rPr>
          <w:rFonts w:hint="cs"/>
          <w:rtl/>
        </w:rPr>
        <w:t xml:space="preserve">ס"ח התשס"ה, </w:t>
      </w:r>
      <w:r>
        <w:rPr>
          <w:sz w:val="20"/>
          <w:rtl/>
        </w:rPr>
        <w:t>עמ' 758</w:t>
      </w:r>
      <w:r>
        <w:rPr>
          <w:rtl/>
        </w:rPr>
        <w:t>.</w:t>
      </w:r>
    </w:p>
  </w:footnote>
  <w:footnote w:id="5">
    <w:p w14:paraId="07048234" w14:textId="77777777" w:rsidR="00B72CBC" w:rsidRDefault="00B72CBC" w:rsidP="00882DC2">
      <w:pPr>
        <w:pStyle w:val="a4"/>
        <w:rPr>
          <w:rtl/>
        </w:rPr>
      </w:pPr>
      <w:r>
        <w:rPr>
          <w:rStyle w:val="a6"/>
        </w:rPr>
        <w:footnoteRef/>
      </w:r>
      <w:r>
        <w:rPr>
          <w:rtl/>
        </w:rPr>
        <w:t xml:space="preserve"> </w:t>
      </w:r>
      <w:r>
        <w:rPr>
          <w:rFonts w:hint="cs"/>
          <w:rtl/>
        </w:rPr>
        <w:t>ס"ח התשכ"א, עמ' 169.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676F1"/>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0808"/>
    <w:rsid w:val="00874BBC"/>
    <w:rsid w:val="00882DC2"/>
    <w:rsid w:val="00892135"/>
    <w:rsid w:val="00895449"/>
    <w:rsid w:val="00897879"/>
    <w:rsid w:val="008A6870"/>
    <w:rsid w:val="008C2021"/>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417"/>
    <w:rsid w:val="00B16A99"/>
    <w:rsid w:val="00B21211"/>
    <w:rsid w:val="00B35784"/>
    <w:rsid w:val="00B72CBC"/>
    <w:rsid w:val="00B733A7"/>
    <w:rsid w:val="00B75C91"/>
    <w:rsid w:val="00B975AD"/>
    <w:rsid w:val="00BC45FB"/>
    <w:rsid w:val="00BF148D"/>
    <w:rsid w:val="00C23B1A"/>
    <w:rsid w:val="00C310EB"/>
    <w:rsid w:val="00C40F8C"/>
    <w:rsid w:val="00C9176A"/>
    <w:rsid w:val="00CF1AA2"/>
    <w:rsid w:val="00D142D3"/>
    <w:rsid w:val="00D17774"/>
    <w:rsid w:val="00D63620"/>
    <w:rsid w:val="00D732DC"/>
    <w:rsid w:val="00D830D9"/>
    <w:rsid w:val="00D8410D"/>
    <w:rsid w:val="00D867D7"/>
    <w:rsid w:val="00DB7060"/>
    <w:rsid w:val="00DD497D"/>
    <w:rsid w:val="00DE3153"/>
    <w:rsid w:val="00E06736"/>
    <w:rsid w:val="00E13C27"/>
    <w:rsid w:val="00E21903"/>
    <w:rsid w:val="00E33BBD"/>
    <w:rsid w:val="00E374F2"/>
    <w:rsid w:val="00E45103"/>
    <w:rsid w:val="00E55A60"/>
    <w:rsid w:val="00E62778"/>
    <w:rsid w:val="00E635A2"/>
    <w:rsid w:val="00E63D38"/>
    <w:rsid w:val="00E665B9"/>
    <w:rsid w:val="00EA01E6"/>
    <w:rsid w:val="00EA3DE8"/>
    <w:rsid w:val="00EA758F"/>
    <w:rsid w:val="00ED4A6F"/>
    <w:rsid w:val="00EF0895"/>
    <w:rsid w:val="00EF3A3A"/>
    <w:rsid w:val="00F628D6"/>
    <w:rsid w:val="00F67051"/>
    <w:rsid w:val="00F86A1E"/>
    <w:rsid w:val="00FA5E88"/>
    <w:rsid w:val="00FC7A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BE851A6-F07D-4B5E-B743-ED3CC5E3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link w:val="TableText0"/>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B16417"/>
    <w:rPr>
      <w:rFonts w:ascii="Arial" w:eastAsia="Arial Unicode MS" w:hAnsi="Arial" w:cs="David"/>
      <w:snapToGrid w:val="0"/>
      <w:color w:val="000000"/>
      <w:sz w:val="14"/>
      <w:lang w:eastAsia="ja-JP"/>
    </w:rPr>
  </w:style>
  <w:style w:type="character" w:customStyle="1" w:styleId="TableText0">
    <w:name w:val="Table Text תו"/>
    <w:basedOn w:val="a0"/>
    <w:link w:val="TableText"/>
    <w:locked/>
    <w:rsid w:val="00B16417"/>
    <w:rPr>
      <w:rFonts w:ascii="Arial" w:eastAsia="Arial Unicode MS" w:hAnsi="Arial" w:cs="David"/>
      <w:snapToGrid w:val="0"/>
      <w:color w:val="00000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90236">
      <w:bodyDiv w:val="1"/>
      <w:marLeft w:val="0"/>
      <w:marRight w:val="0"/>
      <w:marTop w:val="0"/>
      <w:marBottom w:val="0"/>
      <w:divBdr>
        <w:top w:val="none" w:sz="0" w:space="0" w:color="auto"/>
        <w:left w:val="none" w:sz="0" w:space="0" w:color="auto"/>
        <w:bottom w:val="none" w:sz="0" w:space="0" w:color="auto"/>
        <w:right w:val="none" w:sz="0" w:space="0" w:color="auto"/>
      </w:divBdr>
    </w:div>
    <w:div w:id="375082973">
      <w:bodyDiv w:val="1"/>
      <w:marLeft w:val="0"/>
      <w:marRight w:val="0"/>
      <w:marTop w:val="0"/>
      <w:marBottom w:val="0"/>
      <w:divBdr>
        <w:top w:val="none" w:sz="0" w:space="0" w:color="auto"/>
        <w:left w:val="none" w:sz="0" w:space="0" w:color="auto"/>
        <w:bottom w:val="none" w:sz="0" w:space="0" w:color="auto"/>
        <w:right w:val="none" w:sz="0" w:space="0" w:color="auto"/>
      </w:divBdr>
    </w:div>
    <w:div w:id="774255175">
      <w:bodyDiv w:val="1"/>
      <w:marLeft w:val="0"/>
      <w:marRight w:val="0"/>
      <w:marTop w:val="0"/>
      <w:marBottom w:val="0"/>
      <w:divBdr>
        <w:top w:val="none" w:sz="0" w:space="0" w:color="auto"/>
        <w:left w:val="none" w:sz="0" w:space="0" w:color="auto"/>
        <w:bottom w:val="none" w:sz="0" w:space="0" w:color="auto"/>
        <w:right w:val="none" w:sz="0" w:space="0" w:color="auto"/>
      </w:divBdr>
    </w:div>
    <w:div w:id="1549607211">
      <w:bodyDiv w:val="1"/>
      <w:marLeft w:val="0"/>
      <w:marRight w:val="0"/>
      <w:marTop w:val="0"/>
      <w:marBottom w:val="0"/>
      <w:divBdr>
        <w:top w:val="none" w:sz="0" w:space="0" w:color="auto"/>
        <w:left w:val="none" w:sz="0" w:space="0" w:color="auto"/>
        <w:bottom w:val="none" w:sz="0" w:space="0" w:color="auto"/>
        <w:right w:val="none" w:sz="0" w:space="0" w:color="auto"/>
      </w:divBdr>
    </w:div>
    <w:div w:id="1627003916">
      <w:bodyDiv w:val="1"/>
      <w:marLeft w:val="0"/>
      <w:marRight w:val="0"/>
      <w:marTop w:val="0"/>
      <w:marBottom w:val="0"/>
      <w:divBdr>
        <w:top w:val="none" w:sz="0" w:space="0" w:color="auto"/>
        <w:left w:val="none" w:sz="0" w:space="0" w:color="auto"/>
        <w:bottom w:val="none" w:sz="0" w:space="0" w:color="auto"/>
        <w:right w:val="none" w:sz="0" w:space="0" w:color="auto"/>
      </w:divBdr>
    </w:div>
    <w:div w:id="1850100477">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microsoft.com/office/2006/documentManagement/types"/>
    <ds:schemaRef ds:uri="290d5b49-c690-4c6f-bbb9-1e50dab33eee"/>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1B3690F-5BD0-46D5-8EDA-7681EEBD3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12EF0A45-5EB4-4B76-B6A8-32754BE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1055</Words>
  <Characters>5275</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13</cp:revision>
  <cp:lastPrinted>2013-07-04T08:25:00Z</cp:lastPrinted>
  <dcterms:created xsi:type="dcterms:W3CDTF">2015-04-20T09:58:00Z</dcterms:created>
  <dcterms:modified xsi:type="dcterms:W3CDTF">2026-01-18T09:19:00Z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2239203</vt:r8>
  </property>
</Properties>
</file>