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52F1F" w14:textId="77777777" w:rsidR="00AC0732" w:rsidRPr="00E635A2" w:rsidRDefault="00AC0732" w:rsidP="00AC073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2239222</w:t>
      </w:r>
      <w:bookmarkEnd w:id="0"/>
    </w:p>
    <w:p w14:paraId="164DAE80" w14:textId="77777777" w:rsidR="00AC0732" w:rsidRPr="00DB7060" w:rsidRDefault="00AC0732" w:rsidP="00AC0732">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וחמש</w:t>
      </w:r>
      <w:bookmarkEnd w:id="1"/>
    </w:p>
    <w:p w14:paraId="3D2C3041" w14:textId="77777777" w:rsidR="00AC0732" w:rsidRPr="00F67051" w:rsidRDefault="00AC0732" w:rsidP="00AC0732">
      <w:pPr>
        <w:rPr>
          <w:rFonts w:cs="David"/>
          <w:b/>
          <w:bCs/>
          <w:sz w:val="26"/>
          <w:szCs w:val="26"/>
          <w:rtl/>
        </w:rPr>
      </w:pPr>
    </w:p>
    <w:p w14:paraId="41CAF6BD" w14:textId="5D72567C" w:rsidR="00AC0732" w:rsidRPr="00CF1AA2" w:rsidRDefault="00AC0732" w:rsidP="00544D76">
      <w:pPr>
        <w:pStyle w:val="David"/>
        <w:spacing w:line="360" w:lineRule="auto"/>
        <w:ind w:left="3544"/>
        <w:rPr>
          <w:b/>
          <w:bCs/>
          <w:sz w:val="16"/>
          <w:szCs w:val="16"/>
          <w:rtl/>
        </w:rPr>
      </w:pPr>
      <w:bookmarkStart w:id="2" w:name="LGS_Initiators_List"/>
      <w:r>
        <w:rPr>
          <w:b/>
          <w:bCs/>
          <w:rtl/>
        </w:rPr>
        <w:t>יוזם:</w:t>
      </w:r>
      <w:r>
        <w:tab/>
      </w:r>
      <w:r>
        <w:rPr>
          <w:b/>
          <w:bCs/>
          <w:rtl/>
        </w:rPr>
        <w:t xml:space="preserve">      חבר הכנסת</w:t>
      </w:r>
      <w:bookmarkEnd w:id="2"/>
      <w:r w:rsidRPr="00F67051">
        <w:rPr>
          <w:b/>
          <w:bCs/>
        </w:rPr>
        <w:tab/>
      </w:r>
      <w:bookmarkStart w:id="3" w:name="LGS_PM_Names"/>
      <w:r>
        <w:rPr>
          <w:rFonts w:hint="cs"/>
          <w:b/>
          <w:bCs/>
          <w:rtl/>
        </w:rPr>
        <w:t>רם בן ברק</w:t>
      </w:r>
      <w:bookmarkStart w:id="4" w:name="LGS_Join_List"/>
      <w:bookmarkEnd w:id="3"/>
      <w:r>
        <w:rPr>
          <w:rtl/>
        </w:rPr>
        <w:t xml:space="preserve"> </w:t>
      </w:r>
      <w:bookmarkEnd w:id="4"/>
      <w:r w:rsidRPr="00CF1AA2">
        <w:rPr>
          <w:rFonts w:hint="cs"/>
          <w:rtl/>
        </w:rPr>
        <w:tab/>
      </w:r>
      <w:bookmarkStart w:id="5" w:name="LGS_PM_NamesJoin"/>
      <w:r>
        <w:rPr>
          <w:rFonts w:hint="cs"/>
          <w:rtl/>
        </w:rPr>
        <w:t xml:space="preserve"> </w:t>
      </w:r>
      <w:bookmarkEnd w:id="5"/>
    </w:p>
    <w:p w14:paraId="2268852E" w14:textId="77777777" w:rsidR="00AC0732" w:rsidRPr="00904591" w:rsidRDefault="00AC0732" w:rsidP="00AC0732">
      <w:pPr>
        <w:pStyle w:val="David"/>
        <w:spacing w:before="0" w:line="360" w:lineRule="auto"/>
        <w:ind w:left="3544"/>
        <w:rPr>
          <w:sz w:val="4"/>
          <w:szCs w:val="4"/>
          <w:rtl/>
        </w:rPr>
      </w:pPr>
      <w:r>
        <w:t>______________________________________________</w:t>
      </w:r>
      <w:r w:rsidRPr="00E06736">
        <w:tab/>
      </w:r>
      <w:r w:rsidRPr="00E06736">
        <w:rPr>
          <w:rFonts w:hint="cs"/>
          <w:rtl/>
        </w:rPr>
        <w:tab/>
      </w:r>
      <w:r w:rsidRPr="00E06736">
        <w:rPr>
          <w:rFonts w:hint="cs"/>
          <w:rtl/>
        </w:rPr>
        <w:tab/>
      </w:r>
      <w:r w:rsidRPr="00E06736">
        <w:rPr>
          <w:rFonts w:hint="cs"/>
          <w:rtl/>
        </w:rPr>
        <w:tab/>
      </w:r>
      <w:r>
        <w:t xml:space="preserve">           </w:t>
      </w:r>
    </w:p>
    <w:p w14:paraId="1ECA0B5B" w14:textId="0493C384" w:rsidR="00AC0732" w:rsidRPr="00E06736" w:rsidRDefault="00AC0732" w:rsidP="00544D76">
      <w:pPr>
        <w:pStyle w:val="David"/>
        <w:spacing w:before="0" w:line="240" w:lineRule="auto"/>
        <w:ind w:left="6424" w:firstLine="56"/>
        <w:rPr>
          <w:rtl/>
        </w:rPr>
      </w:pPr>
      <w:bookmarkStart w:id="6" w:name="Private_Number"/>
      <w:r>
        <w:rPr>
          <w:rFonts w:hint="cs"/>
          <w:rtl/>
        </w:rPr>
        <w:t>פ/6477/25</w:t>
      </w:r>
      <w:bookmarkEnd w:id="6"/>
    </w:p>
    <w:p w14:paraId="48226D23" w14:textId="77777777" w:rsidR="00AC0732" w:rsidRDefault="00AC0732" w:rsidP="00AC0732">
      <w:pPr>
        <w:spacing w:before="0" w:line="360" w:lineRule="auto"/>
        <w:ind w:left="2880" w:firstLine="720"/>
        <w:rPr>
          <w:rFonts w:cs="David"/>
          <w:sz w:val="26"/>
          <w:szCs w:val="26"/>
          <w:rtl/>
        </w:rPr>
      </w:pPr>
    </w:p>
    <w:p w14:paraId="6BC1B1B4" w14:textId="77777777" w:rsidR="00AC0732" w:rsidRPr="00F67051" w:rsidRDefault="00AC0732" w:rsidP="00AC0732">
      <w:pPr>
        <w:pStyle w:val="HeadHatzaotHok"/>
        <w:rPr>
          <w:rtl/>
        </w:rPr>
      </w:pPr>
      <w:bookmarkStart w:id="7" w:name="LGS_Subject"/>
      <w:r>
        <w:rPr>
          <w:rFonts w:hint="cs"/>
          <w:rtl/>
        </w:rPr>
        <w:t>הצעת חוק גמול לחיילים בשירות סדיר, התשפ"ו–2026</w:t>
      </w:r>
      <w:bookmarkEnd w:id="7"/>
    </w:p>
    <w:p w14:paraId="00CB2601" w14:textId="77777777" w:rsidR="00AC0732" w:rsidRDefault="00AC0732" w:rsidP="00AC0732">
      <w:pPr>
        <w:pStyle w:val="HeadDivreiHesber"/>
        <w:spacing w:before="0" w:after="0"/>
        <w:rPr>
          <w:rtl/>
        </w:rPr>
      </w:pPr>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6"/>
      </w:tblGrid>
      <w:tr w:rsidR="00AC0732" w14:paraId="2D1B5F77" w14:textId="77777777" w:rsidTr="008A6935">
        <w:trPr>
          <w:cantSplit/>
        </w:trPr>
        <w:tc>
          <w:tcPr>
            <w:tcW w:w="1871" w:type="dxa"/>
            <w:hideMark/>
          </w:tcPr>
          <w:p w14:paraId="0C7D9F27" w14:textId="77777777" w:rsidR="00AC0732" w:rsidRDefault="00AC0732" w:rsidP="008A6935">
            <w:pPr>
              <w:pStyle w:val="TableSideHeading"/>
              <w:ind w:right="0"/>
            </w:pPr>
            <w:r>
              <w:rPr>
                <w:rtl/>
              </w:rPr>
              <w:t>הגדרות</w:t>
            </w:r>
          </w:p>
        </w:tc>
        <w:tc>
          <w:tcPr>
            <w:tcW w:w="624" w:type="dxa"/>
            <w:hideMark/>
          </w:tcPr>
          <w:p w14:paraId="4A4F43C8" w14:textId="77777777" w:rsidR="00AC0732" w:rsidRDefault="00AC0732" w:rsidP="008A6935">
            <w:pPr>
              <w:pStyle w:val="TableText"/>
              <w:ind w:right="0"/>
              <w:jc w:val="both"/>
            </w:pPr>
            <w:r>
              <w:rPr>
                <w:rtl/>
              </w:rPr>
              <w:t>1.</w:t>
            </w:r>
          </w:p>
        </w:tc>
        <w:tc>
          <w:tcPr>
            <w:tcW w:w="7146" w:type="dxa"/>
            <w:hideMark/>
          </w:tcPr>
          <w:p w14:paraId="5DE81FDE" w14:textId="77777777" w:rsidR="00AC0732" w:rsidRDefault="00AC0732" w:rsidP="008A6935">
            <w:pPr>
              <w:pStyle w:val="TableBlock"/>
            </w:pPr>
            <w:r>
              <w:rPr>
                <w:rtl/>
              </w:rPr>
              <w:t>בחוק זה –</w:t>
            </w:r>
          </w:p>
        </w:tc>
      </w:tr>
      <w:tr w:rsidR="00AC0732" w14:paraId="6B1179C9" w14:textId="77777777" w:rsidTr="008A6935">
        <w:trPr>
          <w:cantSplit/>
        </w:trPr>
        <w:tc>
          <w:tcPr>
            <w:tcW w:w="1871" w:type="dxa"/>
          </w:tcPr>
          <w:p w14:paraId="0E2A2D94" w14:textId="77777777" w:rsidR="00AC0732" w:rsidRDefault="00AC0732" w:rsidP="008A6935">
            <w:pPr>
              <w:pStyle w:val="TableSideHeading"/>
              <w:ind w:right="0"/>
            </w:pPr>
          </w:p>
        </w:tc>
        <w:tc>
          <w:tcPr>
            <w:tcW w:w="624" w:type="dxa"/>
          </w:tcPr>
          <w:p w14:paraId="032335F9" w14:textId="77777777" w:rsidR="00AC0732" w:rsidRDefault="00AC0732" w:rsidP="008A6935">
            <w:pPr>
              <w:pStyle w:val="TableText"/>
              <w:ind w:right="0"/>
              <w:jc w:val="both"/>
            </w:pPr>
          </w:p>
        </w:tc>
        <w:tc>
          <w:tcPr>
            <w:tcW w:w="7146" w:type="dxa"/>
            <w:hideMark/>
          </w:tcPr>
          <w:p w14:paraId="78DA5590" w14:textId="77777777" w:rsidR="00AC0732" w:rsidRDefault="00AC0732" w:rsidP="008A6935">
            <w:pPr>
              <w:pStyle w:val="TableBlockOutdent"/>
            </w:pPr>
            <w:r>
              <w:rPr>
                <w:rtl/>
              </w:rPr>
              <w:t>"גמול" – סכום בגובה שכר מינימום, לרבות תוספות לסכום זה לפי הוראות סעיף 3;</w:t>
            </w:r>
          </w:p>
        </w:tc>
      </w:tr>
      <w:tr w:rsidR="00AC0732" w14:paraId="424437D7" w14:textId="77777777" w:rsidTr="008A6935">
        <w:trPr>
          <w:cantSplit/>
        </w:trPr>
        <w:tc>
          <w:tcPr>
            <w:tcW w:w="1871" w:type="dxa"/>
          </w:tcPr>
          <w:p w14:paraId="187A0A56" w14:textId="77777777" w:rsidR="00AC0732" w:rsidRDefault="00AC0732" w:rsidP="008A6935">
            <w:pPr>
              <w:pStyle w:val="TableSideHeading"/>
              <w:ind w:right="0"/>
              <w:rPr>
                <w:rtl/>
              </w:rPr>
            </w:pPr>
          </w:p>
        </w:tc>
        <w:tc>
          <w:tcPr>
            <w:tcW w:w="624" w:type="dxa"/>
          </w:tcPr>
          <w:p w14:paraId="1CEB3187" w14:textId="77777777" w:rsidR="00AC0732" w:rsidRDefault="00AC0732" w:rsidP="008A6935">
            <w:pPr>
              <w:pStyle w:val="TableText"/>
              <w:ind w:right="0"/>
              <w:jc w:val="both"/>
            </w:pPr>
          </w:p>
        </w:tc>
        <w:tc>
          <w:tcPr>
            <w:tcW w:w="7146" w:type="dxa"/>
            <w:hideMark/>
          </w:tcPr>
          <w:p w14:paraId="05D7C8EF" w14:textId="77777777" w:rsidR="00AC0732" w:rsidRDefault="00AC0732" w:rsidP="008A6935">
            <w:pPr>
              <w:pStyle w:val="TableBlockOutdent"/>
            </w:pPr>
            <w:r>
              <w:rPr>
                <w:rtl/>
              </w:rPr>
              <w:t>"הענקות חודשיות" – תשלומים חודשיים המשולמים לחייל בשל מצבו האישי, המשפחתי או הכלכלי, לפי זכאות הקבועה בפקודות הצבא או בהוראות של גורם שבו משרת החייל בשירות סדיר;</w:t>
            </w:r>
          </w:p>
        </w:tc>
      </w:tr>
      <w:tr w:rsidR="00AC0732" w14:paraId="0CB10364" w14:textId="77777777" w:rsidTr="008A6935">
        <w:trPr>
          <w:cantSplit/>
        </w:trPr>
        <w:tc>
          <w:tcPr>
            <w:tcW w:w="1871" w:type="dxa"/>
          </w:tcPr>
          <w:p w14:paraId="4E1F03BA" w14:textId="77777777" w:rsidR="00AC0732" w:rsidRDefault="00AC0732" w:rsidP="008A6935">
            <w:pPr>
              <w:pStyle w:val="TableSideHeading"/>
              <w:ind w:right="0"/>
              <w:rPr>
                <w:rtl/>
              </w:rPr>
            </w:pPr>
          </w:p>
        </w:tc>
        <w:tc>
          <w:tcPr>
            <w:tcW w:w="624" w:type="dxa"/>
          </w:tcPr>
          <w:p w14:paraId="16DEE17F" w14:textId="77777777" w:rsidR="00AC0732" w:rsidRDefault="00AC0732" w:rsidP="008A6935">
            <w:pPr>
              <w:pStyle w:val="TableText"/>
              <w:ind w:right="0"/>
              <w:jc w:val="both"/>
            </w:pPr>
          </w:p>
        </w:tc>
        <w:tc>
          <w:tcPr>
            <w:tcW w:w="7146" w:type="dxa"/>
            <w:hideMark/>
          </w:tcPr>
          <w:p w14:paraId="7F7D8054" w14:textId="77777777" w:rsidR="00AC0732" w:rsidRDefault="00AC0732" w:rsidP="008A6935">
            <w:pPr>
              <w:pStyle w:val="TableBlockOutdent"/>
            </w:pPr>
            <w:r>
              <w:rPr>
                <w:rtl/>
              </w:rPr>
              <w:t>"חייל" – מי שמשרת ב</w:t>
            </w:r>
            <w:r>
              <w:rPr>
                <w:rtl/>
                <w:lang w:eastAsia="he-IL"/>
              </w:rPr>
              <w:t xml:space="preserve">שירות סדיר </w:t>
            </w:r>
            <w:r>
              <w:rPr>
                <w:rtl/>
              </w:rPr>
              <w:t>לפי הוראות פרק ג' לחוק שירות ביטחון [נוסח משולב], התשמ"ו–1986</w:t>
            </w:r>
            <w:r>
              <w:rPr>
                <w:rStyle w:val="a6"/>
                <w:rtl/>
              </w:rPr>
              <w:footnoteReference w:id="2"/>
            </w:r>
            <w:r>
              <w:rPr>
                <w:rtl/>
              </w:rPr>
              <w:t>;</w:t>
            </w:r>
          </w:p>
        </w:tc>
      </w:tr>
      <w:tr w:rsidR="00AC0732" w14:paraId="053F25FF" w14:textId="77777777" w:rsidTr="008A6935">
        <w:trPr>
          <w:cantSplit/>
        </w:trPr>
        <w:tc>
          <w:tcPr>
            <w:tcW w:w="1871" w:type="dxa"/>
          </w:tcPr>
          <w:p w14:paraId="7DDBC3F4" w14:textId="77777777" w:rsidR="00AC0732" w:rsidRDefault="00AC0732" w:rsidP="008A6935">
            <w:pPr>
              <w:pStyle w:val="TableSideHeading"/>
              <w:ind w:right="0"/>
            </w:pPr>
          </w:p>
        </w:tc>
        <w:tc>
          <w:tcPr>
            <w:tcW w:w="624" w:type="dxa"/>
          </w:tcPr>
          <w:p w14:paraId="72F9636B" w14:textId="77777777" w:rsidR="00AC0732" w:rsidRDefault="00AC0732" w:rsidP="008A6935">
            <w:pPr>
              <w:pStyle w:val="TableText"/>
              <w:ind w:right="0"/>
              <w:jc w:val="both"/>
            </w:pPr>
          </w:p>
        </w:tc>
        <w:tc>
          <w:tcPr>
            <w:tcW w:w="7146" w:type="dxa"/>
            <w:hideMark/>
          </w:tcPr>
          <w:p w14:paraId="646802C5" w14:textId="77777777" w:rsidR="00AC0732" w:rsidRDefault="00AC0732" w:rsidP="008A6935">
            <w:pPr>
              <w:pStyle w:val="TableBlockOutdent"/>
            </w:pPr>
            <w:r>
              <w:rPr>
                <w:rtl/>
              </w:rPr>
              <w:t xml:space="preserve">"לוחם", "תומך לחימה" – כהגדרתם בפקודות הצבא; </w:t>
            </w:r>
          </w:p>
        </w:tc>
      </w:tr>
      <w:tr w:rsidR="00AC0732" w14:paraId="469E3A98" w14:textId="77777777" w:rsidTr="008A6935">
        <w:trPr>
          <w:cantSplit/>
        </w:trPr>
        <w:tc>
          <w:tcPr>
            <w:tcW w:w="1871" w:type="dxa"/>
          </w:tcPr>
          <w:p w14:paraId="62A166B9" w14:textId="77777777" w:rsidR="00AC0732" w:rsidRDefault="00AC0732" w:rsidP="008A6935">
            <w:pPr>
              <w:pStyle w:val="TableSideHeading"/>
              <w:ind w:right="0"/>
              <w:rPr>
                <w:rtl/>
              </w:rPr>
            </w:pPr>
          </w:p>
        </w:tc>
        <w:tc>
          <w:tcPr>
            <w:tcW w:w="624" w:type="dxa"/>
          </w:tcPr>
          <w:p w14:paraId="64EEC529" w14:textId="77777777" w:rsidR="00AC0732" w:rsidRDefault="00AC0732" w:rsidP="008A6935">
            <w:pPr>
              <w:pStyle w:val="TableText"/>
              <w:ind w:right="0"/>
              <w:jc w:val="both"/>
            </w:pPr>
          </w:p>
        </w:tc>
        <w:tc>
          <w:tcPr>
            <w:tcW w:w="7146" w:type="dxa"/>
            <w:hideMark/>
          </w:tcPr>
          <w:p w14:paraId="370E9CB2" w14:textId="77777777" w:rsidR="00AC0732" w:rsidRDefault="00AC0732" w:rsidP="008A6935">
            <w:pPr>
              <w:pStyle w:val="TableBlockOutdent"/>
            </w:pPr>
            <w:r>
              <w:rPr>
                <w:rtl/>
              </w:rPr>
              <w:t>"פקודות הצבא" – כמשמעותן בחוק השיפוט הצבאי, התשט"ו–1955</w:t>
            </w:r>
            <w:r>
              <w:rPr>
                <w:rStyle w:val="a6"/>
                <w:rtl/>
              </w:rPr>
              <w:footnoteReference w:id="3"/>
            </w:r>
            <w:r>
              <w:rPr>
                <w:rtl/>
              </w:rPr>
              <w:t>;</w:t>
            </w:r>
          </w:p>
        </w:tc>
      </w:tr>
      <w:tr w:rsidR="00AC0732" w14:paraId="62484CDD" w14:textId="77777777" w:rsidTr="008A6935">
        <w:trPr>
          <w:cantSplit/>
        </w:trPr>
        <w:tc>
          <w:tcPr>
            <w:tcW w:w="1871" w:type="dxa"/>
          </w:tcPr>
          <w:p w14:paraId="3F3AC291" w14:textId="77777777" w:rsidR="00AC0732" w:rsidRDefault="00AC0732" w:rsidP="008A6935">
            <w:pPr>
              <w:pStyle w:val="TableSideHeading"/>
              <w:ind w:right="0"/>
              <w:rPr>
                <w:rtl/>
              </w:rPr>
            </w:pPr>
          </w:p>
        </w:tc>
        <w:tc>
          <w:tcPr>
            <w:tcW w:w="624" w:type="dxa"/>
          </w:tcPr>
          <w:p w14:paraId="4C471D5A" w14:textId="77777777" w:rsidR="00AC0732" w:rsidRDefault="00AC0732" w:rsidP="008A6935">
            <w:pPr>
              <w:pStyle w:val="TableText"/>
              <w:ind w:right="0"/>
              <w:jc w:val="both"/>
            </w:pPr>
          </w:p>
        </w:tc>
        <w:tc>
          <w:tcPr>
            <w:tcW w:w="7146" w:type="dxa"/>
            <w:hideMark/>
          </w:tcPr>
          <w:p w14:paraId="5F3DD604" w14:textId="77777777" w:rsidR="00AC0732" w:rsidRDefault="00AC0732" w:rsidP="008A6935">
            <w:pPr>
              <w:pStyle w:val="TableBlockOutdent"/>
            </w:pPr>
            <w:r>
              <w:rPr>
                <w:rtl/>
              </w:rPr>
              <w:t>"השר" – שר הביטחון.</w:t>
            </w:r>
          </w:p>
        </w:tc>
      </w:tr>
      <w:tr w:rsidR="00AC0732" w14:paraId="472F51B8" w14:textId="77777777" w:rsidTr="008A6935">
        <w:trPr>
          <w:cantSplit/>
        </w:trPr>
        <w:tc>
          <w:tcPr>
            <w:tcW w:w="1871" w:type="dxa"/>
            <w:hideMark/>
          </w:tcPr>
          <w:p w14:paraId="0AB9AC54" w14:textId="77777777" w:rsidR="00AC0732" w:rsidRDefault="00AC0732" w:rsidP="008A6935">
            <w:pPr>
              <w:pStyle w:val="TableSideHeading"/>
              <w:ind w:right="0"/>
            </w:pPr>
            <w:r>
              <w:rPr>
                <w:rtl/>
              </w:rPr>
              <w:t>הזכות לגמול</w:t>
            </w:r>
          </w:p>
        </w:tc>
        <w:tc>
          <w:tcPr>
            <w:tcW w:w="624" w:type="dxa"/>
            <w:hideMark/>
          </w:tcPr>
          <w:p w14:paraId="1014D787" w14:textId="77777777" w:rsidR="00AC0732" w:rsidRDefault="00AC0732" w:rsidP="008A6935">
            <w:pPr>
              <w:pStyle w:val="TableText"/>
              <w:ind w:right="0"/>
              <w:jc w:val="both"/>
            </w:pPr>
            <w:r>
              <w:rPr>
                <w:rtl/>
              </w:rPr>
              <w:t>2.</w:t>
            </w:r>
          </w:p>
        </w:tc>
        <w:tc>
          <w:tcPr>
            <w:tcW w:w="7146" w:type="dxa"/>
            <w:hideMark/>
          </w:tcPr>
          <w:p w14:paraId="0A9D14B0" w14:textId="77777777" w:rsidR="00AC0732" w:rsidRDefault="00AC0732" w:rsidP="008A6935">
            <w:pPr>
              <w:pStyle w:val="TableBlock"/>
            </w:pPr>
            <w:r>
              <w:rPr>
                <w:rtl/>
              </w:rPr>
              <w:t>חייל זכאי לגמול לכל חודש מחודשי שירותו כמפורט להלן:</w:t>
            </w:r>
          </w:p>
        </w:tc>
      </w:tr>
      <w:tr w:rsidR="00AC0732" w14:paraId="64A94210" w14:textId="77777777" w:rsidTr="008A6935">
        <w:trPr>
          <w:cantSplit/>
        </w:trPr>
        <w:tc>
          <w:tcPr>
            <w:tcW w:w="1871" w:type="dxa"/>
          </w:tcPr>
          <w:p w14:paraId="7D5ED901" w14:textId="77777777" w:rsidR="00AC0732" w:rsidRDefault="00AC0732" w:rsidP="008A6935">
            <w:pPr>
              <w:pStyle w:val="TableSideHeading"/>
            </w:pPr>
          </w:p>
        </w:tc>
        <w:tc>
          <w:tcPr>
            <w:tcW w:w="624" w:type="dxa"/>
          </w:tcPr>
          <w:p w14:paraId="3AB80169" w14:textId="77777777" w:rsidR="00AC0732" w:rsidRDefault="00AC0732" w:rsidP="008A6935">
            <w:pPr>
              <w:pStyle w:val="TableText"/>
            </w:pPr>
          </w:p>
        </w:tc>
        <w:tc>
          <w:tcPr>
            <w:tcW w:w="7146" w:type="dxa"/>
            <w:hideMark/>
          </w:tcPr>
          <w:p w14:paraId="401AF156" w14:textId="77777777" w:rsidR="00AC0732" w:rsidRDefault="00AC0732" w:rsidP="008A6935">
            <w:pPr>
              <w:pStyle w:val="TableBlock"/>
            </w:pPr>
            <w:r>
              <w:rPr>
                <w:rtl/>
              </w:rPr>
              <w:t>(1)</w:t>
            </w:r>
            <w:r>
              <w:rPr>
                <w:rtl/>
              </w:rPr>
              <w:tab/>
              <w:t>לגבי חייל – לכל חודש מהחודש ה-25 לשירותו ולא יותר מ-8 חודשים;</w:t>
            </w:r>
          </w:p>
        </w:tc>
      </w:tr>
      <w:tr w:rsidR="00AC0732" w14:paraId="6B3E386F" w14:textId="77777777" w:rsidTr="008A6935">
        <w:trPr>
          <w:cantSplit/>
        </w:trPr>
        <w:tc>
          <w:tcPr>
            <w:tcW w:w="1871" w:type="dxa"/>
          </w:tcPr>
          <w:p w14:paraId="4C584723" w14:textId="77777777" w:rsidR="00AC0732" w:rsidRDefault="00AC0732" w:rsidP="008A6935">
            <w:pPr>
              <w:pStyle w:val="TableSideHeading"/>
            </w:pPr>
          </w:p>
        </w:tc>
        <w:tc>
          <w:tcPr>
            <w:tcW w:w="624" w:type="dxa"/>
          </w:tcPr>
          <w:p w14:paraId="71ADF60F" w14:textId="77777777" w:rsidR="00AC0732" w:rsidRDefault="00AC0732" w:rsidP="008A6935">
            <w:pPr>
              <w:pStyle w:val="TableText"/>
            </w:pPr>
          </w:p>
        </w:tc>
        <w:tc>
          <w:tcPr>
            <w:tcW w:w="7146" w:type="dxa"/>
            <w:hideMark/>
          </w:tcPr>
          <w:p w14:paraId="39C59051" w14:textId="77777777" w:rsidR="00AC0732" w:rsidRDefault="00AC0732" w:rsidP="008A6935">
            <w:pPr>
              <w:pStyle w:val="TableBlock"/>
            </w:pPr>
            <w:r>
              <w:rPr>
                <w:rtl/>
              </w:rPr>
              <w:t>(2)</w:t>
            </w:r>
            <w:r>
              <w:rPr>
                <w:rtl/>
              </w:rPr>
              <w:tab/>
              <w:t xml:space="preserve">לגבי חיילת – לכל חודש מהחודש ה-17 לשירותה ולא יותר מ-8 חודשים. </w:t>
            </w:r>
          </w:p>
        </w:tc>
      </w:tr>
      <w:tr w:rsidR="00AC0732" w14:paraId="371DDEA2" w14:textId="77777777" w:rsidTr="008A6935">
        <w:trPr>
          <w:cantSplit/>
        </w:trPr>
        <w:tc>
          <w:tcPr>
            <w:tcW w:w="1871" w:type="dxa"/>
            <w:hideMark/>
          </w:tcPr>
          <w:p w14:paraId="4D07DF54" w14:textId="77777777" w:rsidR="00AC0732" w:rsidRDefault="00AC0732" w:rsidP="008A6935">
            <w:pPr>
              <w:pStyle w:val="TableSideHeading"/>
            </w:pPr>
            <w:r>
              <w:rPr>
                <w:rtl/>
              </w:rPr>
              <w:t>תוספת לגמול</w:t>
            </w:r>
          </w:p>
        </w:tc>
        <w:tc>
          <w:tcPr>
            <w:tcW w:w="624" w:type="dxa"/>
            <w:hideMark/>
          </w:tcPr>
          <w:p w14:paraId="420F6DA9" w14:textId="77777777" w:rsidR="00AC0732" w:rsidRDefault="00AC0732" w:rsidP="008A6935">
            <w:pPr>
              <w:pStyle w:val="TableText"/>
            </w:pPr>
            <w:r>
              <w:rPr>
                <w:rtl/>
              </w:rPr>
              <w:t>3.</w:t>
            </w:r>
          </w:p>
        </w:tc>
        <w:tc>
          <w:tcPr>
            <w:tcW w:w="7146" w:type="dxa"/>
            <w:hideMark/>
          </w:tcPr>
          <w:p w14:paraId="64EEC58F" w14:textId="77777777" w:rsidR="00AC0732" w:rsidRDefault="00AC0732" w:rsidP="008A6935">
            <w:pPr>
              <w:pStyle w:val="TableBlock"/>
            </w:pPr>
            <w:r>
              <w:rPr>
                <w:rtl/>
              </w:rPr>
              <w:t>(א)</w:t>
            </w:r>
            <w:r>
              <w:rPr>
                <w:rtl/>
              </w:rPr>
              <w:tab/>
              <w:t>לחייל בתפקיד תומך לחימה תשולם תוספת לגמול בסך 500 שקלים חדשים לחודש.</w:t>
            </w:r>
          </w:p>
        </w:tc>
      </w:tr>
      <w:tr w:rsidR="00AC0732" w14:paraId="152D308C" w14:textId="77777777" w:rsidTr="008A6935">
        <w:trPr>
          <w:cantSplit/>
        </w:trPr>
        <w:tc>
          <w:tcPr>
            <w:tcW w:w="1871" w:type="dxa"/>
          </w:tcPr>
          <w:p w14:paraId="0FF2C4F8" w14:textId="77777777" w:rsidR="00AC0732" w:rsidRDefault="00AC0732" w:rsidP="008A6935">
            <w:pPr>
              <w:pStyle w:val="TableSideHeading"/>
            </w:pPr>
          </w:p>
        </w:tc>
        <w:tc>
          <w:tcPr>
            <w:tcW w:w="624" w:type="dxa"/>
          </w:tcPr>
          <w:p w14:paraId="6F7B28F2" w14:textId="77777777" w:rsidR="00AC0732" w:rsidRDefault="00AC0732" w:rsidP="008A6935">
            <w:pPr>
              <w:pStyle w:val="TableText"/>
            </w:pPr>
          </w:p>
        </w:tc>
        <w:tc>
          <w:tcPr>
            <w:tcW w:w="7146" w:type="dxa"/>
            <w:hideMark/>
          </w:tcPr>
          <w:p w14:paraId="62DEB75C" w14:textId="77777777" w:rsidR="00AC0732" w:rsidRDefault="00AC0732" w:rsidP="008A6935">
            <w:pPr>
              <w:pStyle w:val="TableBlock"/>
            </w:pPr>
            <w:r>
              <w:rPr>
                <w:rtl/>
              </w:rPr>
              <w:t>(ב)</w:t>
            </w:r>
            <w:r>
              <w:rPr>
                <w:rtl/>
              </w:rPr>
              <w:tab/>
              <w:t>לחייל בתפקיד לוחם תשולם תוספת לגמול בסך 1,000 שקלים חדשים לחודש.</w:t>
            </w:r>
          </w:p>
        </w:tc>
      </w:tr>
      <w:tr w:rsidR="00AC0732" w14:paraId="14845570" w14:textId="77777777" w:rsidTr="008A6935">
        <w:trPr>
          <w:cantSplit/>
        </w:trPr>
        <w:tc>
          <w:tcPr>
            <w:tcW w:w="1871" w:type="dxa"/>
            <w:hideMark/>
          </w:tcPr>
          <w:p w14:paraId="01AC2276" w14:textId="77777777" w:rsidR="00AC0732" w:rsidRDefault="00AC0732" w:rsidP="008A6935">
            <w:pPr>
              <w:pStyle w:val="TableSideHeading"/>
            </w:pPr>
            <w:r>
              <w:rPr>
                <w:rtl/>
              </w:rPr>
              <w:lastRenderedPageBreak/>
              <w:t>עדכון סכומים</w:t>
            </w:r>
          </w:p>
        </w:tc>
        <w:tc>
          <w:tcPr>
            <w:tcW w:w="624" w:type="dxa"/>
            <w:hideMark/>
          </w:tcPr>
          <w:p w14:paraId="43B2B3CD" w14:textId="77777777" w:rsidR="00AC0732" w:rsidRDefault="00AC0732" w:rsidP="008A6935">
            <w:pPr>
              <w:pStyle w:val="TableText"/>
            </w:pPr>
            <w:r>
              <w:rPr>
                <w:rtl/>
              </w:rPr>
              <w:t>4.</w:t>
            </w:r>
          </w:p>
        </w:tc>
        <w:tc>
          <w:tcPr>
            <w:tcW w:w="7146" w:type="dxa"/>
            <w:hideMark/>
          </w:tcPr>
          <w:p w14:paraId="39A89C63" w14:textId="77777777" w:rsidR="00AC0732" w:rsidRDefault="00AC0732" w:rsidP="008A6935">
            <w:pPr>
              <w:pStyle w:val="TableBlock"/>
            </w:pPr>
            <w:r>
              <w:rPr>
                <w:rtl/>
              </w:rPr>
              <w:t>הסכומים הנקובים בחוק זה יעודכנו ב-1 בינואר בכל שנה (בסעיף זה – יום העדכון), בהתאם לשיעור עליית המדד החדש לעומת המדד הבסיסי; לעניין זה –</w:t>
            </w:r>
          </w:p>
        </w:tc>
      </w:tr>
      <w:tr w:rsidR="00C764C0" w14:paraId="42E7748D" w14:textId="77777777" w:rsidTr="008A6935">
        <w:trPr>
          <w:cantSplit/>
        </w:trPr>
        <w:tc>
          <w:tcPr>
            <w:tcW w:w="1871" w:type="dxa"/>
          </w:tcPr>
          <w:p w14:paraId="120F5F7C" w14:textId="427AA4C2" w:rsidR="00C764C0" w:rsidRDefault="00C764C0" w:rsidP="00C764C0">
            <w:pPr>
              <w:pStyle w:val="TableSideHeading"/>
              <w:rPr>
                <w:rtl/>
              </w:rPr>
            </w:pPr>
          </w:p>
        </w:tc>
        <w:tc>
          <w:tcPr>
            <w:tcW w:w="624" w:type="dxa"/>
          </w:tcPr>
          <w:p w14:paraId="72CEC932" w14:textId="77777777" w:rsidR="00C764C0" w:rsidRDefault="00C764C0" w:rsidP="00C764C0">
            <w:pPr>
              <w:pStyle w:val="TableText"/>
              <w:rPr>
                <w:rtl/>
              </w:rPr>
            </w:pPr>
          </w:p>
        </w:tc>
        <w:tc>
          <w:tcPr>
            <w:tcW w:w="7146" w:type="dxa"/>
          </w:tcPr>
          <w:p w14:paraId="0209895D" w14:textId="306D8872" w:rsidR="00C764C0" w:rsidRDefault="00C764C0" w:rsidP="00C764C0">
            <w:pPr>
              <w:pStyle w:val="TableBlock"/>
              <w:rPr>
                <w:rtl/>
              </w:rPr>
            </w:pPr>
            <w:r>
              <w:rPr>
                <w:rtl/>
              </w:rPr>
              <w:t>"מדד" – מדד המחירים לצרכן שמפרסמת הלשכה המרכזית לסטטיסטיקה</w:t>
            </w:r>
            <w:r>
              <w:rPr>
                <w:rFonts w:hint="cs"/>
                <w:rtl/>
              </w:rPr>
              <w:t>;</w:t>
            </w:r>
          </w:p>
        </w:tc>
      </w:tr>
      <w:tr w:rsidR="00C764C0" w14:paraId="6EDE681A" w14:textId="77777777" w:rsidTr="008A6935">
        <w:trPr>
          <w:cantSplit/>
        </w:trPr>
        <w:tc>
          <w:tcPr>
            <w:tcW w:w="1871" w:type="dxa"/>
          </w:tcPr>
          <w:p w14:paraId="496F4CB2" w14:textId="28CEA704" w:rsidR="00C764C0" w:rsidRDefault="00C764C0" w:rsidP="00C764C0">
            <w:pPr>
              <w:pStyle w:val="TableSideHeading"/>
              <w:rPr>
                <w:rtl/>
              </w:rPr>
            </w:pPr>
          </w:p>
        </w:tc>
        <w:tc>
          <w:tcPr>
            <w:tcW w:w="624" w:type="dxa"/>
          </w:tcPr>
          <w:p w14:paraId="4DDE2E31" w14:textId="77777777" w:rsidR="00C764C0" w:rsidRDefault="00C764C0" w:rsidP="00C764C0">
            <w:pPr>
              <w:pStyle w:val="TableText"/>
              <w:rPr>
                <w:rtl/>
              </w:rPr>
            </w:pPr>
          </w:p>
        </w:tc>
        <w:tc>
          <w:tcPr>
            <w:tcW w:w="7146" w:type="dxa"/>
          </w:tcPr>
          <w:p w14:paraId="5F9EEC5C" w14:textId="3A068FFD" w:rsidR="00C764C0" w:rsidRDefault="00C764C0" w:rsidP="00C764C0">
            <w:pPr>
              <w:pStyle w:val="TableBlock"/>
              <w:rPr>
                <w:rtl/>
              </w:rPr>
            </w:pPr>
            <w:r>
              <w:rPr>
                <w:rtl/>
              </w:rPr>
              <w:t>"המדד הבסיסי" – המדד שפורסם בחודש שלפני תחילתו של חוק זה;</w:t>
            </w:r>
          </w:p>
        </w:tc>
      </w:tr>
      <w:tr w:rsidR="00C764C0" w14:paraId="396003AB" w14:textId="77777777" w:rsidTr="00980CC9">
        <w:trPr>
          <w:cantSplit/>
        </w:trPr>
        <w:tc>
          <w:tcPr>
            <w:tcW w:w="1871" w:type="dxa"/>
          </w:tcPr>
          <w:p w14:paraId="33CE6A80" w14:textId="41141215" w:rsidR="00C764C0" w:rsidRDefault="00C764C0" w:rsidP="00C764C0">
            <w:pPr>
              <w:pStyle w:val="TableSideHeading"/>
            </w:pPr>
          </w:p>
        </w:tc>
        <w:tc>
          <w:tcPr>
            <w:tcW w:w="624" w:type="dxa"/>
          </w:tcPr>
          <w:p w14:paraId="10D88EEA" w14:textId="77777777" w:rsidR="00C764C0" w:rsidRDefault="00C764C0" w:rsidP="00C764C0">
            <w:pPr>
              <w:pStyle w:val="TableText"/>
            </w:pPr>
          </w:p>
        </w:tc>
        <w:tc>
          <w:tcPr>
            <w:tcW w:w="7146" w:type="dxa"/>
          </w:tcPr>
          <w:p w14:paraId="1EABA184" w14:textId="209D122F" w:rsidR="00C764C0" w:rsidRDefault="00C764C0" w:rsidP="00C764C0">
            <w:pPr>
              <w:pStyle w:val="TableBlockOutdent"/>
            </w:pPr>
            <w:r>
              <w:rPr>
                <w:rtl/>
              </w:rPr>
              <w:t>"המדד החדש" – המדד שפורסם לאחרונה לפני יום העדכון</w:t>
            </w:r>
            <w:r>
              <w:rPr>
                <w:rFonts w:hint="cs"/>
                <w:rtl/>
              </w:rPr>
              <w:t>.</w:t>
            </w:r>
          </w:p>
        </w:tc>
      </w:tr>
      <w:tr w:rsidR="00C764C0" w14:paraId="6FA994EF" w14:textId="77777777" w:rsidTr="008A6935">
        <w:trPr>
          <w:cantSplit/>
        </w:trPr>
        <w:tc>
          <w:tcPr>
            <w:tcW w:w="1871" w:type="dxa"/>
            <w:hideMark/>
          </w:tcPr>
          <w:p w14:paraId="52DB749A" w14:textId="4C53A286" w:rsidR="00C764C0" w:rsidRDefault="00C764C0" w:rsidP="00C764C0">
            <w:pPr>
              <w:pStyle w:val="TableSideHeading"/>
              <w:ind w:right="0"/>
            </w:pPr>
            <w:r>
              <w:rPr>
                <w:rtl/>
              </w:rPr>
              <w:t>גמול והענקה חודשית</w:t>
            </w:r>
          </w:p>
        </w:tc>
        <w:tc>
          <w:tcPr>
            <w:tcW w:w="624" w:type="dxa"/>
            <w:hideMark/>
          </w:tcPr>
          <w:p w14:paraId="48150964" w14:textId="77777777" w:rsidR="00C764C0" w:rsidRDefault="00C764C0" w:rsidP="00C764C0">
            <w:pPr>
              <w:pStyle w:val="TableText"/>
              <w:ind w:right="0"/>
              <w:jc w:val="both"/>
            </w:pPr>
            <w:r>
              <w:rPr>
                <w:rtl/>
              </w:rPr>
              <w:t>5.</w:t>
            </w:r>
          </w:p>
        </w:tc>
        <w:tc>
          <w:tcPr>
            <w:tcW w:w="7146" w:type="dxa"/>
            <w:hideMark/>
          </w:tcPr>
          <w:p w14:paraId="6A162C2C" w14:textId="43847A46" w:rsidR="00C764C0" w:rsidRDefault="00C764C0" w:rsidP="00C764C0">
            <w:pPr>
              <w:pStyle w:val="TableBlock"/>
            </w:pPr>
            <w:r>
              <w:rPr>
                <w:rtl/>
              </w:rPr>
              <w:t>חייל הזכאי להענקות חודשיות, ישולם לו במקום הגמול שהוא זכאי לו לפי חוק זה, ההפרש החיובי שבין הגמול כאמור לבין אותן הענקות חודשיות.</w:t>
            </w:r>
          </w:p>
        </w:tc>
      </w:tr>
      <w:tr w:rsidR="00C764C0" w14:paraId="64AE0393" w14:textId="77777777" w:rsidTr="008A6935">
        <w:trPr>
          <w:cantSplit/>
        </w:trPr>
        <w:tc>
          <w:tcPr>
            <w:tcW w:w="1871" w:type="dxa"/>
            <w:hideMark/>
          </w:tcPr>
          <w:p w14:paraId="57C385D1" w14:textId="777E4E08" w:rsidR="00C764C0" w:rsidRDefault="00C764C0" w:rsidP="00C764C0">
            <w:pPr>
              <w:pStyle w:val="TableSideHeading"/>
              <w:ind w:right="0"/>
            </w:pPr>
            <w:r>
              <w:rPr>
                <w:rtl/>
              </w:rPr>
              <w:t>מועד תשלום הגמול</w:t>
            </w:r>
          </w:p>
        </w:tc>
        <w:tc>
          <w:tcPr>
            <w:tcW w:w="624" w:type="dxa"/>
            <w:hideMark/>
          </w:tcPr>
          <w:p w14:paraId="02F17979" w14:textId="77777777" w:rsidR="00C764C0" w:rsidRDefault="00C764C0" w:rsidP="00C764C0">
            <w:pPr>
              <w:pStyle w:val="TableText"/>
              <w:ind w:right="0"/>
              <w:jc w:val="both"/>
            </w:pPr>
            <w:r>
              <w:rPr>
                <w:rtl/>
              </w:rPr>
              <w:t>6.</w:t>
            </w:r>
          </w:p>
        </w:tc>
        <w:tc>
          <w:tcPr>
            <w:tcW w:w="7146" w:type="dxa"/>
            <w:hideMark/>
          </w:tcPr>
          <w:p w14:paraId="04CDC292" w14:textId="06409AC6" w:rsidR="00C764C0" w:rsidRDefault="00C764C0" w:rsidP="00C764C0">
            <w:pPr>
              <w:pStyle w:val="TableBlock"/>
            </w:pPr>
            <w:r>
              <w:rPr>
                <w:rtl/>
              </w:rPr>
              <w:t>הגמול ישולם ב-1 בחודש שלאחר החודש שבעדו הוא משולם.</w:t>
            </w:r>
          </w:p>
        </w:tc>
      </w:tr>
      <w:tr w:rsidR="00C764C0" w14:paraId="7FCAC41B" w14:textId="77777777" w:rsidTr="008A6935">
        <w:trPr>
          <w:cantSplit/>
        </w:trPr>
        <w:tc>
          <w:tcPr>
            <w:tcW w:w="1871" w:type="dxa"/>
            <w:hideMark/>
          </w:tcPr>
          <w:p w14:paraId="02CC1981" w14:textId="4BBF5585" w:rsidR="00C764C0" w:rsidRDefault="00C764C0" w:rsidP="00C764C0">
            <w:pPr>
              <w:pStyle w:val="TableSideHeading"/>
              <w:ind w:right="0"/>
            </w:pPr>
            <w:r>
              <w:rPr>
                <w:rtl/>
              </w:rPr>
              <w:t>ביצוע ותקנות</w:t>
            </w:r>
          </w:p>
        </w:tc>
        <w:tc>
          <w:tcPr>
            <w:tcW w:w="624" w:type="dxa"/>
            <w:hideMark/>
          </w:tcPr>
          <w:p w14:paraId="6AFB1EC3" w14:textId="77777777" w:rsidR="00C764C0" w:rsidRDefault="00C764C0" w:rsidP="00C764C0">
            <w:pPr>
              <w:pStyle w:val="TableText"/>
              <w:ind w:right="0"/>
              <w:jc w:val="both"/>
            </w:pPr>
            <w:r>
              <w:rPr>
                <w:rtl/>
              </w:rPr>
              <w:t>7.</w:t>
            </w:r>
          </w:p>
        </w:tc>
        <w:tc>
          <w:tcPr>
            <w:tcW w:w="7146" w:type="dxa"/>
            <w:hideMark/>
          </w:tcPr>
          <w:p w14:paraId="3ED801D3" w14:textId="2B69C683" w:rsidR="00C764C0" w:rsidRDefault="00C764C0" w:rsidP="00930366">
            <w:pPr>
              <w:pStyle w:val="TableBlock"/>
            </w:pPr>
            <w:r>
              <w:rPr>
                <w:rtl/>
              </w:rPr>
              <w:t xml:space="preserve">השר ממונה על ביצוע חוק זה, והוא רשאי, באישור ועדת העבודה </w:t>
            </w:r>
            <w:r w:rsidR="00930366">
              <w:rPr>
                <w:rFonts w:hint="cs"/>
                <w:rtl/>
              </w:rPr>
              <w:t>ו</w:t>
            </w:r>
            <w:r>
              <w:rPr>
                <w:rtl/>
              </w:rPr>
              <w:t>הרווחה של הכנסת, להתקין תקנות בכל עניין הנוגע לביצועו, לרבות בעניינים אלה:</w:t>
            </w:r>
          </w:p>
        </w:tc>
      </w:tr>
      <w:tr w:rsidR="00C764C0" w14:paraId="2A5BF2BE" w14:textId="77777777" w:rsidTr="008A6935">
        <w:trPr>
          <w:cantSplit/>
        </w:trPr>
        <w:tc>
          <w:tcPr>
            <w:tcW w:w="1871" w:type="dxa"/>
          </w:tcPr>
          <w:p w14:paraId="20D23273" w14:textId="4A4F7FE6" w:rsidR="00C764C0" w:rsidRDefault="00C764C0" w:rsidP="00C764C0">
            <w:pPr>
              <w:pStyle w:val="TableSideHeading"/>
            </w:pPr>
          </w:p>
        </w:tc>
        <w:tc>
          <w:tcPr>
            <w:tcW w:w="624" w:type="dxa"/>
          </w:tcPr>
          <w:p w14:paraId="3AE63C52" w14:textId="77777777" w:rsidR="00C764C0" w:rsidRDefault="00C764C0" w:rsidP="00C764C0">
            <w:pPr>
              <w:pStyle w:val="TableText"/>
            </w:pPr>
          </w:p>
        </w:tc>
        <w:tc>
          <w:tcPr>
            <w:tcW w:w="7146" w:type="dxa"/>
            <w:hideMark/>
          </w:tcPr>
          <w:p w14:paraId="2DA4E7C3" w14:textId="12C929A6" w:rsidR="00C764C0" w:rsidRDefault="00C764C0" w:rsidP="00C764C0">
            <w:pPr>
              <w:pStyle w:val="TableBlock"/>
            </w:pPr>
            <w:r>
              <w:rPr>
                <w:rtl/>
              </w:rPr>
              <w:t>(1)</w:t>
            </w:r>
            <w:r>
              <w:rPr>
                <w:rtl/>
              </w:rPr>
              <w:tab/>
              <w:t xml:space="preserve">אופן חישוב הגמול; </w:t>
            </w:r>
          </w:p>
        </w:tc>
      </w:tr>
      <w:tr w:rsidR="00C764C0" w14:paraId="4D8497E1" w14:textId="77777777" w:rsidTr="008A6935">
        <w:trPr>
          <w:cantSplit/>
        </w:trPr>
        <w:tc>
          <w:tcPr>
            <w:tcW w:w="1871" w:type="dxa"/>
          </w:tcPr>
          <w:p w14:paraId="247C20C4" w14:textId="1B973496" w:rsidR="00C764C0" w:rsidRDefault="00C764C0" w:rsidP="00C764C0">
            <w:pPr>
              <w:pStyle w:val="TableSideHeading"/>
            </w:pPr>
          </w:p>
        </w:tc>
        <w:tc>
          <w:tcPr>
            <w:tcW w:w="624" w:type="dxa"/>
          </w:tcPr>
          <w:p w14:paraId="4901CC74" w14:textId="77777777" w:rsidR="00C764C0" w:rsidRDefault="00C764C0" w:rsidP="00C764C0">
            <w:pPr>
              <w:pStyle w:val="TableText"/>
            </w:pPr>
          </w:p>
        </w:tc>
        <w:tc>
          <w:tcPr>
            <w:tcW w:w="7146" w:type="dxa"/>
            <w:hideMark/>
          </w:tcPr>
          <w:p w14:paraId="650D6265" w14:textId="305DDA94" w:rsidR="00C764C0" w:rsidRDefault="00C764C0" w:rsidP="00C764C0">
            <w:pPr>
              <w:pStyle w:val="TableBlock"/>
            </w:pPr>
            <w:r>
              <w:rPr>
                <w:rtl/>
              </w:rPr>
              <w:t>(2)</w:t>
            </w:r>
            <w:r>
              <w:rPr>
                <w:rtl/>
              </w:rPr>
              <w:tab/>
              <w:t>אופן ביצוע התשלום;</w:t>
            </w:r>
          </w:p>
        </w:tc>
      </w:tr>
      <w:tr w:rsidR="00C764C0" w14:paraId="0E75F03F" w14:textId="77777777" w:rsidTr="008A6935">
        <w:trPr>
          <w:cantSplit/>
        </w:trPr>
        <w:tc>
          <w:tcPr>
            <w:tcW w:w="1871" w:type="dxa"/>
          </w:tcPr>
          <w:p w14:paraId="72C36EBF" w14:textId="06276517" w:rsidR="00C764C0" w:rsidRDefault="00C764C0" w:rsidP="00C764C0">
            <w:pPr>
              <w:pStyle w:val="TableSideHeading"/>
            </w:pPr>
          </w:p>
        </w:tc>
        <w:tc>
          <w:tcPr>
            <w:tcW w:w="624" w:type="dxa"/>
          </w:tcPr>
          <w:p w14:paraId="4E7C97B0" w14:textId="77777777" w:rsidR="00C764C0" w:rsidRDefault="00C764C0" w:rsidP="00C764C0">
            <w:pPr>
              <w:pStyle w:val="TableText"/>
            </w:pPr>
          </w:p>
        </w:tc>
        <w:tc>
          <w:tcPr>
            <w:tcW w:w="7146" w:type="dxa"/>
            <w:hideMark/>
          </w:tcPr>
          <w:p w14:paraId="1CD40FFC" w14:textId="11084AB9" w:rsidR="00C764C0" w:rsidRDefault="00C764C0" w:rsidP="00C764C0">
            <w:pPr>
              <w:pStyle w:val="TableBlock"/>
            </w:pPr>
            <w:r>
              <w:rPr>
                <w:rtl/>
              </w:rPr>
              <w:t>(3)</w:t>
            </w:r>
            <w:r>
              <w:rPr>
                <w:rtl/>
              </w:rPr>
              <w:tab/>
              <w:t>סוגי תפקידים נוספים שייחשבו תפקידים של לוחם או של תומך לחימה.</w:t>
            </w:r>
          </w:p>
        </w:tc>
      </w:tr>
      <w:tr w:rsidR="00C764C0" w14:paraId="59A69B39" w14:textId="77777777" w:rsidTr="008A6935">
        <w:trPr>
          <w:cantSplit/>
        </w:trPr>
        <w:tc>
          <w:tcPr>
            <w:tcW w:w="1871" w:type="dxa"/>
            <w:hideMark/>
          </w:tcPr>
          <w:p w14:paraId="5D8E4F1E" w14:textId="2DAE4135" w:rsidR="00C764C0" w:rsidRDefault="00C764C0" w:rsidP="00C764C0">
            <w:pPr>
              <w:pStyle w:val="TableSideHeading"/>
              <w:ind w:right="0"/>
            </w:pPr>
            <w:r>
              <w:rPr>
                <w:rtl/>
              </w:rPr>
              <w:t>תחילה</w:t>
            </w:r>
          </w:p>
        </w:tc>
        <w:tc>
          <w:tcPr>
            <w:tcW w:w="624" w:type="dxa"/>
            <w:hideMark/>
          </w:tcPr>
          <w:p w14:paraId="377E0E83" w14:textId="77777777" w:rsidR="00C764C0" w:rsidRDefault="00C764C0" w:rsidP="00C764C0">
            <w:pPr>
              <w:pStyle w:val="TableText"/>
              <w:ind w:right="0"/>
              <w:jc w:val="both"/>
            </w:pPr>
            <w:r>
              <w:rPr>
                <w:rtl/>
              </w:rPr>
              <w:t>8.</w:t>
            </w:r>
          </w:p>
        </w:tc>
        <w:tc>
          <w:tcPr>
            <w:tcW w:w="7146" w:type="dxa"/>
            <w:hideMark/>
          </w:tcPr>
          <w:p w14:paraId="79FF7E8B" w14:textId="5F6D11C0" w:rsidR="00C764C0" w:rsidRDefault="00C764C0" w:rsidP="00C764C0">
            <w:pPr>
              <w:pStyle w:val="TableBlock"/>
            </w:pPr>
            <w:r>
              <w:rPr>
                <w:rtl/>
              </w:rPr>
              <w:t>תחילתו של חוק זה ביום קבלתו בכנסת</w:t>
            </w:r>
            <w:r w:rsidR="00930366">
              <w:rPr>
                <w:rFonts w:hint="cs"/>
                <w:rtl/>
              </w:rPr>
              <w:t xml:space="preserve"> (להלן </w:t>
            </w:r>
            <w:r w:rsidR="00930366">
              <w:rPr>
                <w:rtl/>
              </w:rPr>
              <w:t>–</w:t>
            </w:r>
            <w:r w:rsidR="00930366">
              <w:rPr>
                <w:rFonts w:hint="cs"/>
                <w:rtl/>
              </w:rPr>
              <w:t xml:space="preserve"> יום התחילה)</w:t>
            </w:r>
            <w:r>
              <w:rPr>
                <w:rtl/>
              </w:rPr>
              <w:t>.</w:t>
            </w:r>
          </w:p>
        </w:tc>
      </w:tr>
      <w:tr w:rsidR="00C764C0" w14:paraId="067523D4" w14:textId="77777777" w:rsidTr="008A6935">
        <w:trPr>
          <w:cantSplit/>
        </w:trPr>
        <w:tc>
          <w:tcPr>
            <w:tcW w:w="1871" w:type="dxa"/>
            <w:hideMark/>
          </w:tcPr>
          <w:p w14:paraId="679DB5F1" w14:textId="079CA1B8" w:rsidR="00C764C0" w:rsidRDefault="00C764C0" w:rsidP="00C764C0">
            <w:pPr>
              <w:pStyle w:val="TableSideHeading"/>
              <w:ind w:right="0"/>
            </w:pPr>
            <w:r>
              <w:rPr>
                <w:rtl/>
              </w:rPr>
              <w:t>החלה בהדרגה</w:t>
            </w:r>
          </w:p>
        </w:tc>
        <w:tc>
          <w:tcPr>
            <w:tcW w:w="624" w:type="dxa"/>
            <w:hideMark/>
          </w:tcPr>
          <w:p w14:paraId="2859CF65" w14:textId="77777777" w:rsidR="00C764C0" w:rsidRDefault="00C764C0" w:rsidP="00C764C0">
            <w:pPr>
              <w:pStyle w:val="TableText"/>
              <w:ind w:right="0"/>
              <w:jc w:val="both"/>
            </w:pPr>
            <w:r>
              <w:rPr>
                <w:rtl/>
              </w:rPr>
              <w:t>9.</w:t>
            </w:r>
          </w:p>
        </w:tc>
        <w:tc>
          <w:tcPr>
            <w:tcW w:w="7146" w:type="dxa"/>
            <w:hideMark/>
          </w:tcPr>
          <w:p w14:paraId="18761E4D" w14:textId="7E0B03C5" w:rsidR="00C764C0" w:rsidRDefault="00C764C0" w:rsidP="00C764C0">
            <w:pPr>
              <w:pStyle w:val="TableBlock"/>
            </w:pPr>
            <w:r>
              <w:rPr>
                <w:rtl/>
              </w:rPr>
              <w:t xml:space="preserve">בתקופה שמיום התחילה ועד תום 12 חודשים מיום התחילה יקראו את סעיף 2 בשינויים אלה: </w:t>
            </w:r>
          </w:p>
        </w:tc>
      </w:tr>
      <w:tr w:rsidR="00C764C0" w14:paraId="183DB96F" w14:textId="77777777" w:rsidTr="008A6935">
        <w:trPr>
          <w:cantSplit/>
        </w:trPr>
        <w:tc>
          <w:tcPr>
            <w:tcW w:w="1871" w:type="dxa"/>
          </w:tcPr>
          <w:p w14:paraId="56EC23CD" w14:textId="092C2819" w:rsidR="00C764C0" w:rsidRDefault="00C764C0" w:rsidP="00C764C0">
            <w:pPr>
              <w:pStyle w:val="TableSideHeading"/>
              <w:ind w:right="0"/>
            </w:pPr>
          </w:p>
        </w:tc>
        <w:tc>
          <w:tcPr>
            <w:tcW w:w="624" w:type="dxa"/>
          </w:tcPr>
          <w:p w14:paraId="3C265A9F" w14:textId="77777777" w:rsidR="00C764C0" w:rsidRDefault="00C764C0" w:rsidP="00C764C0">
            <w:pPr>
              <w:pStyle w:val="TableText"/>
              <w:ind w:right="0"/>
              <w:jc w:val="both"/>
            </w:pPr>
          </w:p>
        </w:tc>
        <w:tc>
          <w:tcPr>
            <w:tcW w:w="7146" w:type="dxa"/>
            <w:hideMark/>
          </w:tcPr>
          <w:p w14:paraId="266F55DD" w14:textId="22A759C9" w:rsidR="00C764C0" w:rsidRDefault="00C764C0" w:rsidP="00C764C0">
            <w:pPr>
              <w:pStyle w:val="TableBlock"/>
            </w:pPr>
            <w:r>
              <w:rPr>
                <w:rtl/>
              </w:rPr>
              <w:t>(1)</w:t>
            </w:r>
            <w:r>
              <w:rPr>
                <w:rtl/>
              </w:rPr>
              <w:tab/>
              <w:t>בפסקה (1), במקום הסיפה החל במילים "מהחודש ה-25" יבוא "מהחודש ה-31 ולא יותר מחודשיים";</w:t>
            </w:r>
          </w:p>
        </w:tc>
      </w:tr>
      <w:tr w:rsidR="00C764C0" w14:paraId="0D6A94D1" w14:textId="77777777" w:rsidTr="008A6935">
        <w:trPr>
          <w:cantSplit/>
        </w:trPr>
        <w:tc>
          <w:tcPr>
            <w:tcW w:w="1871" w:type="dxa"/>
          </w:tcPr>
          <w:p w14:paraId="12FF8901" w14:textId="4F4B9BDD" w:rsidR="00C764C0" w:rsidRDefault="00C764C0" w:rsidP="00C764C0">
            <w:pPr>
              <w:pStyle w:val="TableSideHeading"/>
              <w:ind w:right="0"/>
            </w:pPr>
          </w:p>
        </w:tc>
        <w:tc>
          <w:tcPr>
            <w:tcW w:w="624" w:type="dxa"/>
          </w:tcPr>
          <w:p w14:paraId="7037AF3F" w14:textId="77777777" w:rsidR="00C764C0" w:rsidRDefault="00C764C0" w:rsidP="00C764C0">
            <w:pPr>
              <w:pStyle w:val="TableText"/>
            </w:pPr>
          </w:p>
        </w:tc>
        <w:tc>
          <w:tcPr>
            <w:tcW w:w="7146" w:type="dxa"/>
            <w:hideMark/>
          </w:tcPr>
          <w:p w14:paraId="234AF375" w14:textId="537BCBF0" w:rsidR="00C764C0" w:rsidRDefault="00C764C0" w:rsidP="00C764C0">
            <w:pPr>
              <w:pStyle w:val="TableBlock"/>
            </w:pPr>
            <w:r>
              <w:rPr>
                <w:rtl/>
              </w:rPr>
              <w:t>(2)</w:t>
            </w:r>
            <w:r>
              <w:rPr>
                <w:rtl/>
              </w:rPr>
              <w:tab/>
              <w:t>בפסקה (2), במקום הסיפה החל במילים "מהחודש ה-17" יבוא "מהחודש ה-21 ולא יותר מ-4 חודשים".</w:t>
            </w:r>
            <w:r>
              <w:rPr>
                <w:rFonts w:hint="cs"/>
              </w:rPr>
              <w:t xml:space="preserve"> </w:t>
            </w:r>
          </w:p>
        </w:tc>
      </w:tr>
    </w:tbl>
    <w:p w14:paraId="4CDBCA13" w14:textId="77777777" w:rsidR="00AC0732" w:rsidRDefault="00AC0732" w:rsidP="00AC0732">
      <w:pPr>
        <w:pStyle w:val="HeadDivreiHesber"/>
        <w:rPr>
          <w:rtl/>
        </w:rPr>
      </w:pPr>
      <w:r w:rsidRPr="0027450A">
        <w:rPr>
          <w:rFonts w:hint="cs"/>
          <w:rtl/>
        </w:rPr>
        <w:t>דברי הסבר</w:t>
      </w:r>
    </w:p>
    <w:p w14:paraId="26E424ED" w14:textId="77777777" w:rsidR="00AC0732" w:rsidRPr="00432316" w:rsidRDefault="00AC0732" w:rsidP="00AC0732">
      <w:pPr>
        <w:pStyle w:val="Hesber"/>
      </w:pPr>
      <w:r w:rsidRPr="00432316">
        <w:rPr>
          <w:rtl/>
        </w:rPr>
        <w:t xml:space="preserve">חייל בשירות סדיר אשר נמצא בשירות כמעט שלוש שנים מחייו, ראוי שיפוצה על ידי המדינה על זמן יקר זה, שכן המדובר בשנים שבהן לאזרח אשר לא התגייס לצה"ל יש את כל ההזדמנויות לבסס את עצמו. </w:t>
      </w:r>
    </w:p>
    <w:p w14:paraId="196972C3" w14:textId="77777777" w:rsidR="00AC0732" w:rsidRPr="00432316" w:rsidRDefault="00AC0732" w:rsidP="00AC0732">
      <w:pPr>
        <w:pStyle w:val="Hesber"/>
        <w:rPr>
          <w:rtl/>
        </w:rPr>
      </w:pPr>
      <w:bookmarkStart w:id="8" w:name="FS000000431T05_03_2008_13_17_42"/>
      <w:bookmarkStart w:id="9" w:name="FS000000431T05_03_2008_13_17_57"/>
      <w:bookmarkEnd w:id="8"/>
      <w:bookmarkEnd w:id="9"/>
      <w:r w:rsidRPr="00432316">
        <w:rPr>
          <w:rtl/>
        </w:rPr>
        <w:t>כך, למשל, אזרח שלא התגייס לצה"ל והלך ללמוד באוניברסיטה, יפגוש את חברו שרק השתחרר מהצבא כשהוא כבר בעל תואר ראשון. בדומה, אזרח שלא התגייס לצה"ל והחליט לצאת לעבוד יפגוש את חברו ששירת בצה"ל כשהוא כבר מבוסס כלכלית וצבר יתרון גדול לעומתו ולעומת מי ששירת את מדינת ישראל ונתן את תרומתו.</w:t>
      </w:r>
    </w:p>
    <w:p w14:paraId="7D64746F" w14:textId="5B050774" w:rsidR="00AC0732" w:rsidRPr="00432316" w:rsidRDefault="00AC0732" w:rsidP="00930366">
      <w:pPr>
        <w:pStyle w:val="Hesber"/>
        <w:rPr>
          <w:rtl/>
        </w:rPr>
      </w:pPr>
      <w:r w:rsidRPr="00432316">
        <w:rPr>
          <w:rtl/>
        </w:rPr>
        <w:t xml:space="preserve">הצעת חוק זו נולדה על רקע האחוז הגבוה של צעירים שאינם מתגייסים לצבא. ההצעה </w:t>
      </w:r>
      <w:r w:rsidR="00930366">
        <w:rPr>
          <w:rFonts w:hint="cs"/>
          <w:rtl/>
        </w:rPr>
        <w:t>נועדה</w:t>
      </w:r>
      <w:r w:rsidRPr="00432316">
        <w:rPr>
          <w:rtl/>
        </w:rPr>
        <w:t xml:space="preserve"> ליצור מוטיבציה אצל חיילים להתגייס לצבא, לסיים את שירותם ולמנוע את תופעת נשירת החיילים במהלך </w:t>
      </w:r>
      <w:r w:rsidRPr="00432316">
        <w:rPr>
          <w:rtl/>
        </w:rPr>
        <w:lastRenderedPageBreak/>
        <w:t>שירותם הסדיר.</w:t>
      </w:r>
    </w:p>
    <w:p w14:paraId="11D3BF1D" w14:textId="0748EA45" w:rsidR="00AC0732" w:rsidRPr="00432316" w:rsidRDefault="00AC0732" w:rsidP="00AC0732">
      <w:pPr>
        <w:pStyle w:val="Hesber"/>
        <w:rPr>
          <w:rtl/>
        </w:rPr>
      </w:pPr>
      <w:r w:rsidRPr="00432316">
        <w:rPr>
          <w:rtl/>
        </w:rPr>
        <w:t>ההצעה תשפר את מצבם הכלכלי</w:t>
      </w:r>
      <w:r w:rsidR="003774A3">
        <w:rPr>
          <w:rtl/>
        </w:rPr>
        <w:t xml:space="preserve"> של חיילים בשירותם הסדיר. הצעת </w:t>
      </w:r>
      <w:r w:rsidRPr="00432316">
        <w:rPr>
          <w:rtl/>
        </w:rPr>
        <w:t xml:space="preserve">חוק זו מבקשת לקבוע את זכותם של חיילים לקבלת גמול כספי חודשי, במהלך השליש האחרון של השירות הסדיר, דהיינו, 12 חודשים לחיילים ו-6 חודשים לחיילות, לקראת שחרורם. מוצע להחיל את ההסדר על מי שמשרת בשירות סדיר בצבא ההגנה לישראל וכן על מי שמשרת בשירות סדיר במקומות אחרים, כגון במשטרה, בשירות בתי הסוהר או במשמר הגבול. </w:t>
      </w:r>
    </w:p>
    <w:p w14:paraId="03576786" w14:textId="77777777" w:rsidR="00AC0732" w:rsidRPr="00432316" w:rsidRDefault="00AC0732" w:rsidP="00AC0732">
      <w:pPr>
        <w:pStyle w:val="Hesber"/>
        <w:rPr>
          <w:rtl/>
        </w:rPr>
      </w:pPr>
      <w:r w:rsidRPr="00432316">
        <w:rPr>
          <w:rtl/>
        </w:rPr>
        <w:t>מוצע לקבוע כי הגמול יהיה בסכום של גובה שכר מינימום לכל חודש בשליש האחרון של תקופת השירות, ואולם, לגבי חייל המשרת כתומך לחימה תשולם תוספת בסך 500 שקלים חדשים לחודש, ולגבי חייל המשרת כלוחם – 1,000 שקלים חדשים לחודש. מוצע להסמיך את שר הביטחון לקבוע תפקידים נוספים שייחשבו תפקידים של לוחם או של תומך לחימה (סעיפים 2, 3 ו-7(3)).</w:t>
      </w:r>
    </w:p>
    <w:p w14:paraId="4B2B24B2" w14:textId="77777777" w:rsidR="00AC0732" w:rsidRPr="00432316" w:rsidRDefault="00AC0732" w:rsidP="00AC0732">
      <w:pPr>
        <w:pStyle w:val="Hesber"/>
        <w:rPr>
          <w:rtl/>
        </w:rPr>
      </w:pPr>
      <w:r w:rsidRPr="00432316">
        <w:rPr>
          <w:rtl/>
        </w:rPr>
        <w:t>מוצע כי חיילים הזכאים להענקות חודשיות מהגורם שבו הם משרתים, בשל מצבם האישי, המשפחתי או הכלכלי, ימשיכו לקבל את אותן הענקות, ואם הגמול שיהיו זכאים לו לפי הצעת החוק יעלה על ההענקות – גם את ההפרש שבין הגמול לבין ההענקות (סעיף 5).</w:t>
      </w:r>
    </w:p>
    <w:p w14:paraId="512B902A" w14:textId="77777777" w:rsidR="00AC0732" w:rsidRPr="00432316" w:rsidRDefault="00AC0732" w:rsidP="00AC0732">
      <w:pPr>
        <w:pStyle w:val="Hesber"/>
        <w:rPr>
          <w:rtl/>
        </w:rPr>
      </w:pPr>
      <w:r w:rsidRPr="00432316">
        <w:rPr>
          <w:rtl/>
        </w:rPr>
        <w:t>מוצע כי בשנה הראשונה לתוקפו של החוק, תחול הזכאות לגמול באופן חלקי, במהלך שישית מתקופת השירות הסדיר, דהיינו, 6 חודשים לחיילים ו-4 חודשים לחיילות (סעיף 9). בהמשך המטרה הינה להגדיל את תקופת הזכאות.</w:t>
      </w:r>
    </w:p>
    <w:p w14:paraId="0F466A63" w14:textId="02CF4D46" w:rsidR="00AC0732" w:rsidRPr="00432316" w:rsidRDefault="00AC0732" w:rsidP="005E3778">
      <w:pPr>
        <w:pStyle w:val="Hesber"/>
        <w:rPr>
          <w:rtl/>
        </w:rPr>
      </w:pPr>
      <w:r w:rsidRPr="00432316">
        <w:rPr>
          <w:rtl/>
        </w:rPr>
        <w:t>הצעות חוק דומות בעיקרן הונחו על שולחן הכנסת השש-עשרה על ידי חבר הכנסת יוסי שריד (פ/863) ועל ידי חבר הכנסת אליעזר כהן (פ/1008), על שולחן הכנסת השבע-עשרה על ידי חבר הכנסת חיים אורון (פ/260/17), על ידי חברת הכנסת סופה לנדבר וקבוצת חברי הכנסת (פ/2534/17), על ידי חבר</w:t>
      </w:r>
      <w:r w:rsidR="005E3778">
        <w:rPr>
          <w:rtl/>
        </w:rPr>
        <w:t>ת הכנסת סופה לנדבר (פ/3746/17)</w:t>
      </w:r>
      <w:r w:rsidR="005E3778">
        <w:rPr>
          <w:rFonts w:hint="cs"/>
          <w:rtl/>
        </w:rPr>
        <w:t xml:space="preserve"> ו</w:t>
      </w:r>
      <w:r w:rsidRPr="00432316">
        <w:rPr>
          <w:rtl/>
        </w:rPr>
        <w:t xml:space="preserve">על ידי חבר הכנסת עמיר פרץ </w:t>
      </w:r>
      <w:r w:rsidR="005E3778">
        <w:rPr>
          <w:rtl/>
        </w:rPr>
        <w:t xml:space="preserve">(פ/3178/17; </w:t>
      </w:r>
      <w:r w:rsidRPr="00320BDA">
        <w:rPr>
          <w:rtl/>
        </w:rPr>
        <w:t xml:space="preserve">הצעתו אושרה בדיון </w:t>
      </w:r>
      <w:r w:rsidR="005E3778">
        <w:rPr>
          <w:rFonts w:hint="cs"/>
          <w:rtl/>
        </w:rPr>
        <w:t>ה</w:t>
      </w:r>
      <w:r w:rsidRPr="00320BDA">
        <w:rPr>
          <w:rtl/>
        </w:rPr>
        <w:t xml:space="preserve">מוקדם והוכנה לקריאה </w:t>
      </w:r>
      <w:r w:rsidR="005E3778">
        <w:rPr>
          <w:rFonts w:hint="cs"/>
          <w:rtl/>
        </w:rPr>
        <w:t>ה</w:t>
      </w:r>
      <w:r w:rsidRPr="00320BDA">
        <w:rPr>
          <w:rtl/>
        </w:rPr>
        <w:t xml:space="preserve">ראשונה בנוסח זהה לנוסח הצעת חוק זו, והוסרה מסדר </w:t>
      </w:r>
      <w:r w:rsidR="005E3778">
        <w:rPr>
          <w:rFonts w:hint="cs"/>
          <w:rtl/>
        </w:rPr>
        <w:t xml:space="preserve">היום </w:t>
      </w:r>
      <w:bookmarkStart w:id="10" w:name="_GoBack"/>
      <w:bookmarkEnd w:id="10"/>
      <w:r w:rsidRPr="00320BDA">
        <w:rPr>
          <w:rtl/>
        </w:rPr>
        <w:t xml:space="preserve">ביום כ"ה </w:t>
      </w:r>
      <w:r w:rsidR="003774A3" w:rsidRPr="00320BDA">
        <w:rPr>
          <w:rFonts w:hint="cs"/>
          <w:rtl/>
        </w:rPr>
        <w:t>ב</w:t>
      </w:r>
      <w:r w:rsidRPr="00320BDA">
        <w:rPr>
          <w:rtl/>
        </w:rPr>
        <w:t>תמוז התשס"ח (28 ביולי 2008))</w:t>
      </w:r>
      <w:r w:rsidRPr="00432316">
        <w:rPr>
          <w:rtl/>
        </w:rPr>
        <w:t xml:space="preserve"> </w:t>
      </w:r>
      <w:r w:rsidR="003774A3">
        <w:rPr>
          <w:rFonts w:hint="cs"/>
          <w:rtl/>
        </w:rPr>
        <w:t>ו</w:t>
      </w:r>
      <w:r w:rsidRPr="00432316">
        <w:rPr>
          <w:rtl/>
        </w:rPr>
        <w:t xml:space="preserve">על שולחן הכנסת השמונה-עשרה על ידי חבר הכנסת חיים אורון וקבוצת חברי הכנסת (פ/28/18) ועל ידי </w:t>
      </w:r>
      <w:r w:rsidR="00B52B7F">
        <w:rPr>
          <w:rtl/>
        </w:rPr>
        <w:t>חברת הכנסת סופה לנדבר (פ/63/18)</w:t>
      </w:r>
      <w:r w:rsidR="00B52B7F">
        <w:rPr>
          <w:rFonts w:hint="cs"/>
          <w:rtl/>
        </w:rPr>
        <w:t>.</w:t>
      </w:r>
      <w:r w:rsidRPr="00432316">
        <w:rPr>
          <w:rtl/>
        </w:rPr>
        <w:t xml:space="preserve"> </w:t>
      </w:r>
    </w:p>
    <w:p w14:paraId="1B6C0440" w14:textId="7561FABF" w:rsidR="00AC0732" w:rsidRPr="00432316" w:rsidRDefault="00AC0732" w:rsidP="00B52B7F">
      <w:pPr>
        <w:pStyle w:val="Hesber"/>
        <w:rPr>
          <w:rtl/>
        </w:rPr>
      </w:pPr>
      <w:r w:rsidRPr="00432316">
        <w:rPr>
          <w:rtl/>
        </w:rPr>
        <w:t xml:space="preserve">הצעות חוק זהות הונחו על שולחן הכנסת השמונה-עשרה על ידי חבר הכנסת עמיר פרץ (פ/242/18), על שולחן הכנסת העשרים על ידי חבר הכנסת איתן כבל וקבוצת חברי </w:t>
      </w:r>
      <w:r w:rsidR="003774A3">
        <w:rPr>
          <w:rFonts w:hint="cs"/>
          <w:rtl/>
        </w:rPr>
        <w:t>ה</w:t>
      </w:r>
      <w:r w:rsidRPr="00432316">
        <w:rPr>
          <w:rtl/>
        </w:rPr>
        <w:t xml:space="preserve">כנסת (פ/1571/20), על שולחן הכנסת העשרים וארבע על ידי </w:t>
      </w:r>
      <w:r w:rsidR="003774A3">
        <w:rPr>
          <w:rtl/>
        </w:rPr>
        <w:t>חבר הכנסת יריב לוין (פ/2051/24)</w:t>
      </w:r>
      <w:r w:rsidRPr="00432316">
        <w:rPr>
          <w:rtl/>
        </w:rPr>
        <w:t xml:space="preserve"> </w:t>
      </w:r>
      <w:r w:rsidR="003774A3">
        <w:rPr>
          <w:rFonts w:hint="cs"/>
          <w:rtl/>
        </w:rPr>
        <w:t>ו</w:t>
      </w:r>
      <w:r w:rsidRPr="00432316">
        <w:rPr>
          <w:rtl/>
        </w:rPr>
        <w:t xml:space="preserve">על שולחן הכנסת העשרים וחמש על ידי חבר הכנסת זאב אלקין (פ/2484/25) ועל ידי חבר הכנסת רם בן ברק (פ/25/ 2818; הוסרה מסדר היום ביום י"ב בחשוון התשפ"ה (13 </w:t>
      </w:r>
      <w:r w:rsidRPr="00432316">
        <w:rPr>
          <w:rFonts w:hint="eastAsia"/>
          <w:rtl/>
        </w:rPr>
        <w:t>בנובמבר</w:t>
      </w:r>
      <w:r w:rsidRPr="00432316">
        <w:rPr>
          <w:rtl/>
        </w:rPr>
        <w:t xml:space="preserve"> 2024)).</w:t>
      </w:r>
    </w:p>
    <w:p w14:paraId="19EBCC24" w14:textId="77777777" w:rsidR="00AC0732" w:rsidRPr="00432316" w:rsidRDefault="00AC0732" w:rsidP="00AC0732">
      <w:pPr>
        <w:pStyle w:val="Hesber"/>
        <w:rPr>
          <w:rtl/>
        </w:rPr>
      </w:pPr>
      <w:r w:rsidRPr="00432316">
        <w:rPr>
          <w:rFonts w:hint="eastAsia"/>
          <w:rtl/>
        </w:rPr>
        <w:t>הצעת</w:t>
      </w:r>
      <w:r w:rsidRPr="00432316">
        <w:rPr>
          <w:rtl/>
        </w:rPr>
        <w:t xml:space="preserve"> </w:t>
      </w:r>
      <w:r w:rsidRPr="00432316">
        <w:rPr>
          <w:rFonts w:hint="eastAsia"/>
          <w:rtl/>
        </w:rPr>
        <w:t>החוק</w:t>
      </w:r>
      <w:r w:rsidRPr="00432316">
        <w:rPr>
          <w:rtl/>
        </w:rPr>
        <w:t xml:space="preserve"> </w:t>
      </w:r>
      <w:r w:rsidRPr="00432316">
        <w:rPr>
          <w:rFonts w:hint="eastAsia"/>
          <w:rtl/>
        </w:rPr>
        <w:t>זהה</w:t>
      </w:r>
      <w:r w:rsidRPr="00432316">
        <w:rPr>
          <w:rtl/>
        </w:rPr>
        <w:t xml:space="preserve"> </w:t>
      </w:r>
      <w:r w:rsidRPr="00432316">
        <w:rPr>
          <w:rFonts w:hint="eastAsia"/>
          <w:rtl/>
        </w:rPr>
        <w:t>לפ</w:t>
      </w:r>
      <w:r w:rsidRPr="00432316">
        <w:rPr>
          <w:rtl/>
        </w:rPr>
        <w:t xml:space="preserve">/2818/25 </w:t>
      </w:r>
      <w:r w:rsidRPr="00432316">
        <w:rPr>
          <w:rFonts w:hint="eastAsia"/>
          <w:rtl/>
        </w:rPr>
        <w:t>ולפיכך</w:t>
      </w:r>
      <w:r w:rsidRPr="00432316">
        <w:rPr>
          <w:rtl/>
        </w:rPr>
        <w:t xml:space="preserve"> </w:t>
      </w:r>
      <w:r w:rsidRPr="00432316">
        <w:rPr>
          <w:rFonts w:hint="eastAsia"/>
          <w:rtl/>
        </w:rPr>
        <w:t>לא</w:t>
      </w:r>
      <w:r w:rsidRPr="00432316">
        <w:rPr>
          <w:rtl/>
        </w:rPr>
        <w:t xml:space="preserve"> </w:t>
      </w:r>
      <w:r w:rsidRPr="00432316">
        <w:rPr>
          <w:rFonts w:hint="eastAsia"/>
          <w:rtl/>
        </w:rPr>
        <w:t>נבדקה</w:t>
      </w:r>
      <w:r w:rsidRPr="00432316">
        <w:rPr>
          <w:rtl/>
        </w:rPr>
        <w:t xml:space="preserve"> </w:t>
      </w:r>
      <w:r w:rsidRPr="00432316">
        <w:rPr>
          <w:rFonts w:hint="eastAsia"/>
          <w:rtl/>
        </w:rPr>
        <w:t>מחדש</w:t>
      </w:r>
      <w:r w:rsidRPr="00432316">
        <w:rPr>
          <w:rtl/>
        </w:rPr>
        <w:t xml:space="preserve"> </w:t>
      </w:r>
      <w:r w:rsidRPr="00432316">
        <w:rPr>
          <w:rFonts w:hint="eastAsia"/>
          <w:rtl/>
        </w:rPr>
        <w:t>על</w:t>
      </w:r>
      <w:r w:rsidRPr="00432316">
        <w:rPr>
          <w:rtl/>
        </w:rPr>
        <w:t xml:space="preserve"> </w:t>
      </w:r>
      <w:r w:rsidRPr="00432316">
        <w:rPr>
          <w:rFonts w:hint="eastAsia"/>
          <w:rtl/>
        </w:rPr>
        <w:t>ידי</w:t>
      </w:r>
      <w:r w:rsidRPr="00432316">
        <w:rPr>
          <w:rtl/>
        </w:rPr>
        <w:t xml:space="preserve"> </w:t>
      </w:r>
      <w:r w:rsidRPr="00432316">
        <w:rPr>
          <w:rFonts w:hint="eastAsia"/>
          <w:rtl/>
        </w:rPr>
        <w:t>הלשכה</w:t>
      </w:r>
      <w:r w:rsidRPr="00432316">
        <w:rPr>
          <w:rtl/>
        </w:rPr>
        <w:t xml:space="preserve"> </w:t>
      </w:r>
      <w:r w:rsidRPr="00432316">
        <w:rPr>
          <w:rFonts w:hint="eastAsia"/>
          <w:rtl/>
        </w:rPr>
        <w:t>המשפטית</w:t>
      </w:r>
      <w:r w:rsidRPr="00432316">
        <w:rPr>
          <w:rtl/>
        </w:rPr>
        <w:t xml:space="preserve"> </w:t>
      </w:r>
      <w:r w:rsidRPr="00432316">
        <w:rPr>
          <w:rFonts w:hint="eastAsia"/>
          <w:rtl/>
        </w:rPr>
        <w:t>של</w:t>
      </w:r>
      <w:r w:rsidRPr="00432316">
        <w:rPr>
          <w:rtl/>
        </w:rPr>
        <w:t xml:space="preserve"> </w:t>
      </w:r>
      <w:r w:rsidRPr="00432316">
        <w:rPr>
          <w:rFonts w:hint="eastAsia"/>
          <w:rtl/>
        </w:rPr>
        <w:t>הכנסת</w:t>
      </w:r>
      <w:r w:rsidRPr="00432316">
        <w:rPr>
          <w:rtl/>
        </w:rPr>
        <w:t>.</w:t>
      </w:r>
    </w:p>
    <w:p w14:paraId="0BC3E9CE" w14:textId="18E40D76" w:rsidR="00E80B90" w:rsidRPr="00AC0732" w:rsidRDefault="00E80B90" w:rsidP="00AC0732">
      <w:pPr>
        <w:rPr>
          <w:rtl/>
        </w:rPr>
      </w:pPr>
    </w:p>
    <w:p w14:paraId="5B41D148" w14:textId="77777777" w:rsidR="00692BB0" w:rsidRDefault="00B52B7F">
      <w:pPr>
        <w:spacing w:before="0" w:line="360" w:lineRule="auto"/>
        <w:jc w:val="left"/>
      </w:pPr>
      <w:bookmarkStart w:id="11" w:name="selectedDocDateB"/>
      <w:bookmarkEnd w:id="11"/>
      <w:r>
        <w:rPr>
          <w:rFonts w:ascii="David" w:eastAsia="David" w:hAnsi="David" w:cs="David" w:hint="cs"/>
          <w:sz w:val="26"/>
          <w:szCs w:val="26"/>
          <w:rtl/>
        </w:rPr>
        <w:t>--------------------------------</w:t>
      </w:r>
    </w:p>
    <w:p w14:paraId="0706A8FA" w14:textId="77777777" w:rsidR="00692BB0" w:rsidRDefault="00B52B7F">
      <w:pPr>
        <w:spacing w:before="0" w:line="360" w:lineRule="auto"/>
        <w:jc w:val="left"/>
      </w:pPr>
      <w:r>
        <w:rPr>
          <w:rFonts w:ascii="David" w:eastAsia="David" w:hAnsi="David" w:cs="David" w:hint="cs"/>
          <w:sz w:val="26"/>
          <w:szCs w:val="26"/>
          <w:rtl/>
        </w:rPr>
        <w:t>הוגשה ליו"ר הכנסת והסגנים</w:t>
      </w:r>
    </w:p>
    <w:p w14:paraId="258D2EED" w14:textId="77777777" w:rsidR="00692BB0" w:rsidRDefault="00B52B7F">
      <w:pPr>
        <w:spacing w:before="0" w:line="360" w:lineRule="auto"/>
        <w:jc w:val="left"/>
      </w:pPr>
      <w:r>
        <w:rPr>
          <w:rFonts w:ascii="David" w:eastAsia="David" w:hAnsi="David" w:cs="David" w:hint="cs"/>
          <w:sz w:val="26"/>
          <w:szCs w:val="26"/>
          <w:rtl/>
        </w:rPr>
        <w:t>והונחה על שולחן הכנסת ביום</w:t>
      </w:r>
    </w:p>
    <w:p w14:paraId="344E051A" w14:textId="77777777" w:rsidR="00692BB0" w:rsidRDefault="00B52B7F">
      <w:pPr>
        <w:spacing w:before="0" w:line="360" w:lineRule="auto"/>
        <w:jc w:val="left"/>
      </w:pPr>
      <w:r>
        <w:rPr>
          <w:rFonts w:ascii="David" w:eastAsia="David" w:hAnsi="David" w:cs="David" w:hint="cs"/>
          <w:sz w:val="26"/>
          <w:szCs w:val="26"/>
          <w:rtl/>
        </w:rPr>
        <w:t xml:space="preserve">א' בשבט התשפ"ו (19.01.2026) </w:t>
      </w:r>
    </w:p>
    <w:p w14:paraId="36E71C9F" w14:textId="77777777" w:rsidR="00692BB0" w:rsidRDefault="00692BB0">
      <w:pPr>
        <w:spacing w:before="0" w:line="276" w:lineRule="auto"/>
        <w:jc w:val="left"/>
      </w:pPr>
    </w:p>
    <w:sectPr w:rsidR="00692BB0"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7" w14:textId="6982CB7C"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5E3778">
      <w:rPr>
        <w:rStyle w:val="ab"/>
        <w:noProof/>
        <w:rtl/>
      </w:rPr>
      <w:t>3</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06034019" w14:textId="2FE11709" w:rsidR="00AC0732" w:rsidRDefault="00AC0732" w:rsidP="00AC0732">
      <w:pPr>
        <w:pStyle w:val="a4"/>
      </w:pPr>
      <w:r>
        <w:rPr>
          <w:rStyle w:val="a6"/>
        </w:rPr>
        <w:footnoteRef/>
      </w:r>
      <w:r>
        <w:rPr>
          <w:rtl/>
        </w:rPr>
        <w:t xml:space="preserve"> </w:t>
      </w:r>
      <w:r w:rsidR="005E3778">
        <w:rPr>
          <w:rFonts w:hint="cs"/>
          <w:rtl/>
        </w:rPr>
        <w:t>ס"ח התשמ"</w:t>
      </w:r>
      <w:r>
        <w:rPr>
          <w:rFonts w:hint="cs"/>
          <w:rtl/>
        </w:rPr>
        <w:t>ו, עמ' 107.</w:t>
      </w:r>
    </w:p>
  </w:footnote>
  <w:footnote w:id="3">
    <w:p w14:paraId="45BEA957" w14:textId="77777777" w:rsidR="00AC0732" w:rsidRDefault="00AC0732" w:rsidP="00AC0732">
      <w:pPr>
        <w:pStyle w:val="a4"/>
      </w:pPr>
      <w:r>
        <w:rPr>
          <w:rStyle w:val="a6"/>
        </w:rPr>
        <w:footnoteRef/>
      </w:r>
      <w:r>
        <w:rPr>
          <w:rtl/>
        </w:rPr>
        <w:t xml:space="preserve"> </w:t>
      </w:r>
      <w:r>
        <w:rPr>
          <w:rFonts w:hint="cs"/>
          <w:rtl/>
        </w:rPr>
        <w:t>ס"ח התשט"ו, עמ' 171.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0BDA"/>
    <w:rsid w:val="003232A2"/>
    <w:rsid w:val="00325C14"/>
    <w:rsid w:val="0036422C"/>
    <w:rsid w:val="003710F6"/>
    <w:rsid w:val="003774A3"/>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44D76"/>
    <w:rsid w:val="00553C9D"/>
    <w:rsid w:val="00562A66"/>
    <w:rsid w:val="005B064E"/>
    <w:rsid w:val="005D51AE"/>
    <w:rsid w:val="005E3778"/>
    <w:rsid w:val="0062674B"/>
    <w:rsid w:val="006363B2"/>
    <w:rsid w:val="00644940"/>
    <w:rsid w:val="006818A9"/>
    <w:rsid w:val="00692BB0"/>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366"/>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0732"/>
    <w:rsid w:val="00AC36F7"/>
    <w:rsid w:val="00AC63A4"/>
    <w:rsid w:val="00AD239E"/>
    <w:rsid w:val="00B10265"/>
    <w:rsid w:val="00B16A99"/>
    <w:rsid w:val="00B21211"/>
    <w:rsid w:val="00B35784"/>
    <w:rsid w:val="00B52B7F"/>
    <w:rsid w:val="00B733A7"/>
    <w:rsid w:val="00B75C91"/>
    <w:rsid w:val="00B975AD"/>
    <w:rsid w:val="00BC45FB"/>
    <w:rsid w:val="00BF148D"/>
    <w:rsid w:val="00C23B1A"/>
    <w:rsid w:val="00C310EB"/>
    <w:rsid w:val="00C764C0"/>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80B90"/>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BA8C6B55-CFC4-4DE8-A684-1E78FAE01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E80B90"/>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735580">
      <w:bodyDiv w:val="1"/>
      <w:marLeft w:val="0"/>
      <w:marRight w:val="0"/>
      <w:marTop w:val="0"/>
      <w:marBottom w:val="0"/>
      <w:divBdr>
        <w:top w:val="none" w:sz="0" w:space="0" w:color="auto"/>
        <w:left w:val="none" w:sz="0" w:space="0" w:color="auto"/>
        <w:bottom w:val="none" w:sz="0" w:space="0" w:color="auto"/>
        <w:right w:val="none" w:sz="0" w:space="0" w:color="auto"/>
      </w:divBdr>
    </w:div>
    <w:div w:id="379521430">
      <w:bodyDiv w:val="1"/>
      <w:marLeft w:val="0"/>
      <w:marRight w:val="0"/>
      <w:marTop w:val="0"/>
      <w:marBottom w:val="0"/>
      <w:divBdr>
        <w:top w:val="none" w:sz="0" w:space="0" w:color="auto"/>
        <w:left w:val="none" w:sz="0" w:space="0" w:color="auto"/>
        <w:bottom w:val="none" w:sz="0" w:space="0" w:color="auto"/>
        <w:right w:val="none" w:sz="0" w:space="0" w:color="auto"/>
      </w:divBdr>
    </w:div>
    <w:div w:id="669719298">
      <w:bodyDiv w:val="1"/>
      <w:marLeft w:val="0"/>
      <w:marRight w:val="0"/>
      <w:marTop w:val="0"/>
      <w:marBottom w:val="0"/>
      <w:divBdr>
        <w:top w:val="none" w:sz="0" w:space="0" w:color="auto"/>
        <w:left w:val="none" w:sz="0" w:space="0" w:color="auto"/>
        <w:bottom w:val="none" w:sz="0" w:space="0" w:color="auto"/>
        <w:right w:val="none" w:sz="0" w:space="0" w:color="auto"/>
      </w:divBdr>
    </w:div>
    <w:div w:id="1365902214">
      <w:bodyDiv w:val="1"/>
      <w:marLeft w:val="0"/>
      <w:marRight w:val="0"/>
      <w:marTop w:val="0"/>
      <w:marBottom w:val="0"/>
      <w:divBdr>
        <w:top w:val="none" w:sz="0" w:space="0" w:color="auto"/>
        <w:left w:val="none" w:sz="0" w:space="0" w:color="auto"/>
        <w:bottom w:val="none" w:sz="0" w:space="0" w:color="auto"/>
        <w:right w:val="none" w:sz="0" w:space="0" w:color="auto"/>
      </w:divBdr>
    </w:div>
    <w:div w:id="1933316297">
      <w:bodyDiv w:val="1"/>
      <w:marLeft w:val="0"/>
      <w:marRight w:val="0"/>
      <w:marTop w:val="0"/>
      <w:marBottom w:val="0"/>
      <w:divBdr>
        <w:top w:val="none" w:sz="0" w:space="0" w:color="auto"/>
        <w:left w:val="none" w:sz="0" w:space="0" w:color="auto"/>
        <w:bottom w:val="none" w:sz="0" w:space="0" w:color="auto"/>
        <w:right w:val="none" w:sz="0" w:space="0" w:color="auto"/>
      </w:divBdr>
    </w:div>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54E21C28B32ECF49ADBB6A5BBBCCB3CD" ma:contentTypeVersion="" ma:contentTypeDescription="צור מסמך חדש." ma:contentTypeScope="" ma:versionID="f81d89568b860eeaa06327f0f2d2f14b">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55281-374A-4641-B9D3-6B476CAF4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88F4AFE3-9455-419C-8851-785A55F44517}">
  <ds:schemaRefs>
    <ds:schemaRef ds:uri="http://schemas.openxmlformats.org/package/2006/metadata/core-properties"/>
    <ds:schemaRef ds:uri="http://schemas.microsoft.com/office/2006/documentManagement/types"/>
    <ds:schemaRef ds:uri="http://purl.org/dc/terms/"/>
    <ds:schemaRef ds:uri="http://purl.org/dc/dcmitype/"/>
    <ds:schemaRef ds:uri="http://www.w3.org/XML/1998/namespace"/>
    <ds:schemaRef ds:uri="http://purl.org/dc/elements/1.1/"/>
    <ds:schemaRef ds:uri="http://schemas.microsoft.com/office/infopath/2007/PartnerControls"/>
    <ds:schemaRef ds:uri="290d5b49-c690-4c6f-bbb9-1e50dab33eee"/>
    <ds:schemaRef ds:uri="http://schemas.microsoft.com/office/2006/metadata/properties"/>
  </ds:schemaRefs>
</ds:datastoreItem>
</file>

<file path=customXml/itemProps4.xml><?xml version="1.0" encoding="utf-8"?>
<ds:datastoreItem xmlns:ds="http://schemas.openxmlformats.org/officeDocument/2006/customXml" ds:itemID="{70160DFE-785D-4330-8271-E467F6E63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863</Words>
  <Characters>4319</Characters>
  <Application>Microsoft Office Word</Application>
  <DocSecurity>0</DocSecurity>
  <Lines>35</Lines>
  <Paragraphs>10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12</cp:revision>
  <cp:lastPrinted>2026-01-18T09:17:00Z</cp:lastPrinted>
  <dcterms:created xsi:type="dcterms:W3CDTF">2015-04-20T09:58:00Z</dcterms:created>
  <dcterms:modified xsi:type="dcterms:W3CDTF">2026-01-18T09:17:00Z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0x01010054E21C28B32ECF49ADBB6A5BBBCCB3CD</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2239222</vt:r8>
  </property>
</Properties>
</file>