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2238876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05B8B929" w:rsidR="00E13C27" w:rsidRPr="00CF1AA2" w:rsidRDefault="008F6665" w:rsidP="005B08C0">
      <w:pPr>
        <w:pStyle w:val="David"/>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משה טור פז</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EB47DE7" w:rsidR="00E13C27" w:rsidRPr="00E06736" w:rsidRDefault="00904591" w:rsidP="005B08C0">
      <w:pPr>
        <w:pStyle w:val="David"/>
        <w:spacing w:line="240" w:lineRule="auto"/>
        <w:ind w:left="6424" w:firstLine="56"/>
        <w:rPr>
          <w:rtl/>
        </w:rPr>
      </w:pPr>
      <w:bookmarkStart w:id="6" w:name="Private_Number"/>
      <w:r>
        <w:rPr>
          <w:rFonts w:hint="cs"/>
          <w:rtl/>
        </w:rPr>
        <w:t>פ/6465/25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 הצעת חוק קבלת ילד של משרת מילואים למעון יום והשתתפות המדינה בעלות שכר הלימוד בו, התשפ"ו–2026</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5E33C4" w14:paraId="41544C3D" w14:textId="77777777" w:rsidTr="00CB5306">
        <w:trPr>
          <w:cantSplit/>
        </w:trPr>
        <w:tc>
          <w:tcPr>
            <w:tcW w:w="1871" w:type="dxa"/>
          </w:tcPr>
          <w:p w14:paraId="0D903431" w14:textId="77777777" w:rsidR="005E33C4" w:rsidRDefault="005E33C4" w:rsidP="00CE1DE1">
            <w:pPr>
              <w:pStyle w:val="TableSideHeading"/>
              <w:keepLines w:val="0"/>
            </w:pPr>
            <w:r>
              <w:rPr>
                <w:rtl/>
              </w:rPr>
              <w:t>הגדרות</w:t>
            </w:r>
          </w:p>
        </w:tc>
        <w:tc>
          <w:tcPr>
            <w:tcW w:w="624" w:type="dxa"/>
          </w:tcPr>
          <w:p w14:paraId="702EEA1B" w14:textId="77777777" w:rsidR="005E33C4" w:rsidRPr="00CB5306" w:rsidRDefault="005E33C4" w:rsidP="00CB5306">
            <w:pPr>
              <w:pStyle w:val="TableText"/>
              <w:jc w:val="both"/>
            </w:pPr>
            <w:r w:rsidRPr="00CB5306">
              <w:rPr>
                <w:rtl/>
              </w:rPr>
              <w:t>1.</w:t>
            </w:r>
          </w:p>
        </w:tc>
        <w:tc>
          <w:tcPr>
            <w:tcW w:w="7143" w:type="dxa"/>
          </w:tcPr>
          <w:p w14:paraId="52D7F163" w14:textId="77777777" w:rsidR="005E33C4" w:rsidRPr="00CB5306" w:rsidRDefault="005E33C4" w:rsidP="00CB5306">
            <w:pPr>
              <w:pStyle w:val="TableBlock"/>
            </w:pPr>
            <w:r w:rsidRPr="00CB5306">
              <w:rPr>
                <w:rtl/>
              </w:rPr>
              <w:t xml:space="preserve">בחוק זה – </w:t>
            </w:r>
          </w:p>
        </w:tc>
      </w:tr>
      <w:tr w:rsidR="005E33C4" w14:paraId="00BE230B" w14:textId="77777777" w:rsidTr="00CB5306">
        <w:trPr>
          <w:cantSplit/>
        </w:trPr>
        <w:tc>
          <w:tcPr>
            <w:tcW w:w="1871" w:type="dxa"/>
          </w:tcPr>
          <w:p w14:paraId="59FDA1DE" w14:textId="77777777" w:rsidR="005E33C4" w:rsidRDefault="005E33C4" w:rsidP="00CE1DE1">
            <w:pPr>
              <w:pStyle w:val="TableSideHeading"/>
              <w:keepLines w:val="0"/>
            </w:pPr>
          </w:p>
        </w:tc>
        <w:tc>
          <w:tcPr>
            <w:tcW w:w="624" w:type="dxa"/>
          </w:tcPr>
          <w:p w14:paraId="72379617" w14:textId="77777777" w:rsidR="005E33C4" w:rsidRPr="00CB5306" w:rsidRDefault="005E33C4" w:rsidP="00CB5306">
            <w:pPr>
              <w:pStyle w:val="TableText"/>
              <w:jc w:val="both"/>
            </w:pPr>
          </w:p>
        </w:tc>
        <w:tc>
          <w:tcPr>
            <w:tcW w:w="7143" w:type="dxa"/>
          </w:tcPr>
          <w:p w14:paraId="5985E564" w14:textId="77777777" w:rsidR="005E33C4" w:rsidRPr="00CB5306" w:rsidRDefault="005E33C4" w:rsidP="00CB5306">
            <w:pPr>
              <w:pStyle w:val="TableBlockOutdent"/>
            </w:pPr>
            <w:r w:rsidRPr="00CB5306">
              <w:rPr>
                <w:rtl/>
              </w:rPr>
              <w:t>"מבחני התמיכה" – מבחנים למתן תמיכות של משרד העבודה להשתתפות המדינה בעלות שכר לימוד במעון יום;</w:t>
            </w:r>
          </w:p>
        </w:tc>
      </w:tr>
      <w:tr w:rsidR="005E33C4" w14:paraId="56ACA738" w14:textId="77777777" w:rsidTr="00CB5306">
        <w:trPr>
          <w:cantSplit/>
        </w:trPr>
        <w:tc>
          <w:tcPr>
            <w:tcW w:w="1871" w:type="dxa"/>
          </w:tcPr>
          <w:p w14:paraId="19531E30" w14:textId="77777777" w:rsidR="005E33C4" w:rsidRDefault="005E33C4" w:rsidP="00CE1DE1">
            <w:pPr>
              <w:pStyle w:val="TableSideHeading"/>
              <w:keepLines w:val="0"/>
            </w:pPr>
          </w:p>
        </w:tc>
        <w:tc>
          <w:tcPr>
            <w:tcW w:w="624" w:type="dxa"/>
          </w:tcPr>
          <w:p w14:paraId="24B9CBF7" w14:textId="77777777" w:rsidR="005E33C4" w:rsidRPr="00CB5306" w:rsidRDefault="005E33C4" w:rsidP="00CB5306">
            <w:pPr>
              <w:pStyle w:val="TableText"/>
              <w:jc w:val="both"/>
            </w:pPr>
          </w:p>
        </w:tc>
        <w:tc>
          <w:tcPr>
            <w:tcW w:w="7143" w:type="dxa"/>
          </w:tcPr>
          <w:p w14:paraId="06D28E60" w14:textId="77777777" w:rsidR="005E33C4" w:rsidRPr="00CB5306" w:rsidRDefault="005E33C4" w:rsidP="00CB5306">
            <w:pPr>
              <w:pStyle w:val="TableBlockOutdent"/>
              <w:rPr>
                <w:rtl/>
              </w:rPr>
            </w:pPr>
            <w:r w:rsidRPr="00CB5306">
              <w:rPr>
                <w:rtl/>
              </w:rPr>
              <w:t>"מעון יום" – כהגדרתו בחוק הפעוטות בסיכון (הזכות למעון יום), התש"ס</w:t>
            </w:r>
            <w:r w:rsidRPr="00CB5306">
              <w:rPr>
                <w:rFonts w:hint="eastAsia"/>
                <w:rtl/>
              </w:rPr>
              <w:t>–</w:t>
            </w:r>
            <w:r w:rsidRPr="00CB5306">
              <w:rPr>
                <w:rtl/>
              </w:rPr>
              <w:t>2000</w:t>
            </w:r>
            <w:r w:rsidRPr="00CB5306">
              <w:rPr>
                <w:rFonts w:ascii="David" w:hAnsi="David"/>
                <w:sz w:val="26"/>
                <w:szCs w:val="20"/>
                <w:vertAlign w:val="superscript"/>
                <w:rtl/>
              </w:rPr>
              <w:footnoteReference w:id="2"/>
            </w:r>
            <w:r w:rsidRPr="00CB5306">
              <w:rPr>
                <w:rFonts w:hint="cs"/>
                <w:rtl/>
              </w:rPr>
              <w:t>;</w:t>
            </w:r>
          </w:p>
        </w:tc>
      </w:tr>
      <w:tr w:rsidR="005E33C4" w14:paraId="07B86475" w14:textId="77777777" w:rsidTr="00CB5306">
        <w:trPr>
          <w:cantSplit/>
        </w:trPr>
        <w:tc>
          <w:tcPr>
            <w:tcW w:w="1871" w:type="dxa"/>
          </w:tcPr>
          <w:p w14:paraId="3897E33A" w14:textId="77777777" w:rsidR="005E33C4" w:rsidRDefault="005E33C4" w:rsidP="00CE1DE1">
            <w:pPr>
              <w:pStyle w:val="TableSideHeading"/>
              <w:keepLines w:val="0"/>
            </w:pPr>
          </w:p>
        </w:tc>
        <w:tc>
          <w:tcPr>
            <w:tcW w:w="624" w:type="dxa"/>
          </w:tcPr>
          <w:p w14:paraId="35F4FBFE" w14:textId="77777777" w:rsidR="005E33C4" w:rsidRPr="00CB5306" w:rsidRDefault="005E33C4" w:rsidP="00CB5306">
            <w:pPr>
              <w:pStyle w:val="TableText"/>
              <w:jc w:val="both"/>
            </w:pPr>
          </w:p>
        </w:tc>
        <w:tc>
          <w:tcPr>
            <w:tcW w:w="7143" w:type="dxa"/>
          </w:tcPr>
          <w:p w14:paraId="12740389" w14:textId="77777777" w:rsidR="005E33C4" w:rsidRPr="00CB5306" w:rsidRDefault="005E33C4" w:rsidP="00CB5306">
            <w:pPr>
              <w:pStyle w:val="TableBlockOutdent"/>
              <w:rPr>
                <w:rtl/>
              </w:rPr>
            </w:pPr>
            <w:r w:rsidRPr="00CB5306">
              <w:rPr>
                <w:rtl/>
              </w:rPr>
              <w:t>"הנוהל" – נוהל שמפרסם משרד העבודה באתר האינטרנט שלו לעניין סדר קבלת ילדים למעון יום.</w:t>
            </w:r>
          </w:p>
        </w:tc>
      </w:tr>
      <w:tr w:rsidR="005E33C4" w14:paraId="30F33BCC" w14:textId="77777777" w:rsidTr="00CB5306">
        <w:trPr>
          <w:cantSplit/>
        </w:trPr>
        <w:tc>
          <w:tcPr>
            <w:tcW w:w="1871" w:type="dxa"/>
          </w:tcPr>
          <w:p w14:paraId="47F28D22" w14:textId="77777777" w:rsidR="005E33C4" w:rsidRDefault="005E33C4" w:rsidP="00CE1DE1">
            <w:pPr>
              <w:pStyle w:val="TableSideHeading"/>
              <w:keepLines w:val="0"/>
            </w:pPr>
            <w:r>
              <w:rPr>
                <w:rtl/>
              </w:rPr>
              <w:t>קבלת ילד למעון יום והשתתפות המדינה בעלות שכר הלימוד בו</w:t>
            </w:r>
          </w:p>
        </w:tc>
        <w:tc>
          <w:tcPr>
            <w:tcW w:w="624" w:type="dxa"/>
          </w:tcPr>
          <w:p w14:paraId="3F1D26C5" w14:textId="77777777" w:rsidR="005E33C4" w:rsidRPr="00CB5306" w:rsidRDefault="005E33C4" w:rsidP="00CB5306">
            <w:pPr>
              <w:pStyle w:val="TableText"/>
              <w:jc w:val="both"/>
            </w:pPr>
            <w:r w:rsidRPr="00CB5306">
              <w:rPr>
                <w:rtl/>
              </w:rPr>
              <w:t>2.</w:t>
            </w:r>
          </w:p>
        </w:tc>
        <w:tc>
          <w:tcPr>
            <w:tcW w:w="7143" w:type="dxa"/>
          </w:tcPr>
          <w:p w14:paraId="5C65301A" w14:textId="77777777" w:rsidR="005E33C4" w:rsidRPr="00CB5306" w:rsidRDefault="005E33C4" w:rsidP="00CB5306">
            <w:pPr>
              <w:pStyle w:val="TableBlock"/>
              <w:rPr>
                <w:rtl/>
              </w:rPr>
            </w:pPr>
            <w:r w:rsidRPr="00CB5306">
              <w:rPr>
                <w:rtl/>
              </w:rPr>
              <w:t>על אף האמור במבחני התמיכה ובנוהל, לשם בחינת סדר הקדימות לקבלה למעון יום ולהשתתפות המדינה בעלות שכר הלימוד בו, יובא בחשבון שירות במילואים של אחד ההורים, משכו ואופיו</w:t>
            </w:r>
            <w:r w:rsidRPr="00CB5306">
              <w:rPr>
                <w:rFonts w:hint="cs"/>
                <w:rtl/>
              </w:rPr>
              <w:t>;</w:t>
            </w:r>
            <w:r w:rsidRPr="00CB5306">
              <w:rPr>
                <w:rtl/>
              </w:rPr>
              <w:t xml:space="preserve"> ואולם, הוראות סעיף זה לא יגרעו מאופן חישוב רמת ההכנסה לנפש במשפחה לפי מבחני התמיכה והנוהל.</w:t>
            </w:r>
          </w:p>
        </w:tc>
      </w:tr>
      <w:tr w:rsidR="005E33C4" w14:paraId="2770C6FF" w14:textId="77777777" w:rsidTr="00CB5306">
        <w:trPr>
          <w:cantSplit/>
        </w:trPr>
        <w:tc>
          <w:tcPr>
            <w:tcW w:w="1871" w:type="dxa"/>
          </w:tcPr>
          <w:p w14:paraId="7E49DF97" w14:textId="77777777" w:rsidR="005E33C4" w:rsidRDefault="005E33C4" w:rsidP="00CE1DE1">
            <w:pPr>
              <w:pStyle w:val="TableSideHeading"/>
              <w:keepLines w:val="0"/>
              <w:rPr>
                <w:rtl/>
              </w:rPr>
            </w:pPr>
            <w:r>
              <w:rPr>
                <w:rtl/>
              </w:rPr>
              <w:t>תחולה</w:t>
            </w:r>
          </w:p>
        </w:tc>
        <w:tc>
          <w:tcPr>
            <w:tcW w:w="624" w:type="dxa"/>
          </w:tcPr>
          <w:p w14:paraId="7313A5EE" w14:textId="77777777" w:rsidR="005E33C4" w:rsidRPr="00CB5306" w:rsidRDefault="005E33C4" w:rsidP="00CB5306">
            <w:pPr>
              <w:pStyle w:val="TableText"/>
              <w:jc w:val="both"/>
              <w:rPr>
                <w:rtl/>
              </w:rPr>
            </w:pPr>
            <w:r w:rsidRPr="00CB5306">
              <w:rPr>
                <w:rtl/>
              </w:rPr>
              <w:t>3.</w:t>
            </w:r>
          </w:p>
        </w:tc>
        <w:tc>
          <w:tcPr>
            <w:tcW w:w="7143" w:type="dxa"/>
          </w:tcPr>
          <w:p w14:paraId="53D181E3" w14:textId="2477A6A2" w:rsidR="005E33C4" w:rsidRPr="00CB5306" w:rsidRDefault="005E33C4" w:rsidP="00C7047A">
            <w:pPr>
              <w:pStyle w:val="TableBlock"/>
              <w:rPr>
                <w:rtl/>
              </w:rPr>
            </w:pPr>
            <w:r w:rsidRPr="00CB5306">
              <w:rPr>
                <w:rtl/>
              </w:rPr>
              <w:t>הוראות חוק זה לעניין השתתפות המדינה בעלות שכר לימוד במעון יום יחולו החל משנת הלימודים התשפ"</w:t>
            </w:r>
            <w:r w:rsidR="00C7047A">
              <w:rPr>
                <w:rFonts w:hint="cs"/>
                <w:rtl/>
              </w:rPr>
              <w:t>ו</w:t>
            </w:r>
            <w:r w:rsidRPr="00CB5306">
              <w:rPr>
                <w:rtl/>
              </w:rPr>
              <w:t xml:space="preserve"> ולעניין הקבלה למעון יום – החל משנת הלימודים </w:t>
            </w:r>
            <w:r w:rsidRPr="00CB5306">
              <w:rPr>
                <w:rFonts w:hint="cs"/>
                <w:rtl/>
              </w:rPr>
              <w:t>ה</w:t>
            </w:r>
            <w:r w:rsidRPr="00CB5306">
              <w:rPr>
                <w:rtl/>
              </w:rPr>
              <w:t>תשפ"</w:t>
            </w:r>
            <w:r w:rsidR="00C7047A">
              <w:rPr>
                <w:rFonts w:hint="cs"/>
                <w:rtl/>
              </w:rPr>
              <w:t>ז</w:t>
            </w:r>
            <w:bookmarkStart w:id="8" w:name="_GoBack"/>
            <w:bookmarkEnd w:id="8"/>
            <w:r w:rsidRPr="00CB5306">
              <w:rPr>
                <w:rtl/>
              </w:rPr>
              <w:t>.</w:t>
            </w:r>
          </w:p>
        </w:tc>
      </w:tr>
    </w:tbl>
    <w:p w14:paraId="7F6961CA" w14:textId="77777777" w:rsidR="002D1EE3" w:rsidRDefault="002D1EE3" w:rsidP="002D1EE3">
      <w:pPr>
        <w:pStyle w:val="HeadDivreiHesber"/>
        <w:rPr>
          <w:rtl/>
        </w:rPr>
      </w:pPr>
      <w:r w:rsidRPr="0027450A">
        <w:rPr>
          <w:rFonts w:hint="cs"/>
          <w:rtl/>
        </w:rPr>
        <w:t>דברי הסבר</w:t>
      </w:r>
    </w:p>
    <w:p w14:paraId="22B0338B" w14:textId="77777777" w:rsidR="005E33C4" w:rsidRDefault="005E33C4" w:rsidP="005E33C4">
      <w:pPr>
        <w:pStyle w:val="Hesber"/>
        <w:rPr>
          <w:rtl/>
        </w:rPr>
      </w:pPr>
      <w:r w:rsidRPr="002B059E">
        <w:rPr>
          <w:rtl/>
        </w:rPr>
        <w:t>זכויות אדם על עבודתו ופרנסתו הן זכויות חוקתיות ראשונות במעלה. דיני העבודה מגנים על זכויות לעניין תנאי השכר, תנאי ההעסקה, שעות העבודה, מניעת הפליה ועוד. כידוע, במשפחות בהן אחד מבני הזוג לפחות משרת במילואים, פרנסת המשפחה נפגעת וכך גם פוטנציאל ההתקדמות בת</w:t>
      </w:r>
      <w:r>
        <w:rPr>
          <w:rFonts w:hint="cs"/>
          <w:rtl/>
        </w:rPr>
        <w:t>חום הת</w:t>
      </w:r>
      <w:r w:rsidRPr="002B059E">
        <w:rPr>
          <w:rtl/>
        </w:rPr>
        <w:t xml:space="preserve">עסוקה בטווח הארוך. בכדי לצמצם את הפגיעה בחופש העיסוק של משפחות </w:t>
      </w:r>
      <w:r w:rsidRPr="002B059E">
        <w:rPr>
          <w:rFonts w:hint="cs"/>
          <w:rtl/>
        </w:rPr>
        <w:t>המשרתים ב</w:t>
      </w:r>
      <w:r w:rsidRPr="002B059E">
        <w:rPr>
          <w:rtl/>
        </w:rPr>
        <w:t xml:space="preserve">מילואים, יש להעניק </w:t>
      </w:r>
      <w:r w:rsidRPr="002B059E">
        <w:rPr>
          <w:rtl/>
        </w:rPr>
        <w:lastRenderedPageBreak/>
        <w:t>להן זכויות סוציאליות כמו הנחה למעון יום, שהמדינה מסבסדת מכספי משלמי המיסים מכלל המגזרים.</w:t>
      </w:r>
      <w:r w:rsidRPr="002B059E">
        <w:rPr>
          <w:rFonts w:hint="cs"/>
          <w:rtl/>
        </w:rPr>
        <w:t xml:space="preserve"> </w:t>
      </w:r>
    </w:p>
    <w:p w14:paraId="5CB610D8" w14:textId="77777777" w:rsidR="005E33C4" w:rsidRPr="002B059E" w:rsidRDefault="005E33C4" w:rsidP="005E33C4">
      <w:pPr>
        <w:pStyle w:val="Hesber"/>
        <w:rPr>
          <w:rtl/>
        </w:rPr>
      </w:pPr>
      <w:r w:rsidRPr="002B059E">
        <w:rPr>
          <w:rtl/>
        </w:rPr>
        <w:t>לפיכך</w:t>
      </w:r>
      <w:r w:rsidRPr="002B059E">
        <w:rPr>
          <w:rFonts w:hint="cs"/>
          <w:rtl/>
        </w:rPr>
        <w:t>,</w:t>
      </w:r>
      <w:r w:rsidRPr="002B059E">
        <w:rPr>
          <w:rtl/>
        </w:rPr>
        <w:t xml:space="preserve"> מוצע לקבוע כי לשם בחינת סדר הקדימות לקבלה למעון יום ולהשתתפות המדינה בעלות שכר הלימוד בו, יובא בחשבון שירות מילואים</w:t>
      </w:r>
      <w:r w:rsidRPr="002B059E">
        <w:rPr>
          <w:rFonts w:hint="cs"/>
          <w:rtl/>
        </w:rPr>
        <w:t xml:space="preserve"> של אחד ההורים</w:t>
      </w:r>
      <w:r w:rsidRPr="002B059E">
        <w:rPr>
          <w:rtl/>
        </w:rPr>
        <w:t>, משכו ואופיו. בשם הזכות לשוויון, יש לפצות ולתגמל את אוכלוסיית המשרתים בצה"ל, בסדיר ובמילואים, שמחרפים גופם ונפשם ומשלמים מחירים אישיים כבדים למען מדינת ישראל ואזרחיה.</w:t>
      </w:r>
    </w:p>
    <w:p w14:paraId="4FB114E5" w14:textId="77777777" w:rsidR="005E33C4" w:rsidRPr="002B059E" w:rsidRDefault="005E33C4" w:rsidP="005E33C4">
      <w:pPr>
        <w:pStyle w:val="Hesber"/>
        <w:rPr>
          <w:rtl/>
        </w:rPr>
      </w:pPr>
      <w:r w:rsidRPr="002B059E">
        <w:rPr>
          <w:rtl/>
        </w:rPr>
        <w:t>הצ</w:t>
      </w:r>
      <w:r w:rsidRPr="002B059E">
        <w:rPr>
          <w:rFonts w:hint="cs"/>
          <w:rtl/>
        </w:rPr>
        <w:t>עת חוק</w:t>
      </w:r>
      <w:r w:rsidRPr="002B059E">
        <w:rPr>
          <w:rtl/>
        </w:rPr>
        <w:t xml:space="preserve"> זו נוסחה </w:t>
      </w:r>
      <w:r w:rsidRPr="002B059E">
        <w:rPr>
          <w:rFonts w:hint="cs"/>
          <w:rtl/>
        </w:rPr>
        <w:t>בסיוע</w:t>
      </w:r>
      <w:r w:rsidRPr="002B059E">
        <w:rPr>
          <w:rtl/>
        </w:rPr>
        <w:t xml:space="preserve"> פורום נשות המילואימניקים</w:t>
      </w:r>
      <w:r>
        <w:rPr>
          <w:rFonts w:hint="cs"/>
          <w:rtl/>
        </w:rPr>
        <w:t xml:space="preserve"> בעת הגשתה לראשונה</w:t>
      </w:r>
      <w:r w:rsidRPr="002B059E">
        <w:rPr>
          <w:rFonts w:hint="cs"/>
          <w:rtl/>
        </w:rPr>
        <w:t>.</w:t>
      </w:r>
    </w:p>
    <w:p w14:paraId="34BE4EBA" w14:textId="2BAED789" w:rsidR="00BF359C" w:rsidRDefault="00BF359C" w:rsidP="00DE43C7">
      <w:pPr>
        <w:pStyle w:val="Hesber"/>
        <w:rPr>
          <w:rtl/>
        </w:rPr>
      </w:pPr>
      <w:r>
        <w:rPr>
          <w:rtl/>
        </w:rPr>
        <w:t xml:space="preserve">הצעות חוק זהות הונחו על שולחן הכנסת העשרים וחמש על ידי חבר הכנסת אלון שוסטר וקבוצת חברי הכנסת (פ/5001/25; הוסרה מסדר היום ביום כ״ד בכסלו התשפ״ה (25 בדצמבר 2024)), על ידי חבר הכנסת עידן רול (פ/5002/25; הוסרה מסדר היום ביום כ״ד בכסלו התשפ״ה (25 בדצמבר 2024)) </w:t>
      </w:r>
      <w:r>
        <w:rPr>
          <w:rFonts w:hint="cs"/>
          <w:rtl/>
        </w:rPr>
        <w:t xml:space="preserve">, </w:t>
      </w:r>
      <w:r>
        <w:rPr>
          <w:rtl/>
        </w:rPr>
        <w:t xml:space="preserve">על ידי </w:t>
      </w:r>
      <w:r w:rsidR="00DE43C7">
        <w:rPr>
          <w:rtl/>
        </w:rPr>
        <w:t>חבר הכנסת אלון שוסטר (פ/5345/25</w:t>
      </w:r>
      <w:r w:rsidR="00DE43C7">
        <w:rPr>
          <w:rFonts w:hint="cs"/>
          <w:rtl/>
        </w:rPr>
        <w:t>;</w:t>
      </w:r>
      <w:r w:rsidR="00DE43C7" w:rsidRPr="00DE43C7">
        <w:rPr>
          <w:rFonts w:hint="cs"/>
          <w:rtl/>
        </w:rPr>
        <w:t xml:space="preserve"> </w:t>
      </w:r>
      <w:r w:rsidR="00DE43C7">
        <w:rPr>
          <w:rFonts w:hint="cs"/>
          <w:rtl/>
        </w:rPr>
        <w:t>פ/5816/25; הוסרה מסדר היום ביום</w:t>
      </w:r>
      <w:r w:rsidR="00DE43C7" w:rsidRPr="00D63C14">
        <w:rPr>
          <w:rFonts w:hint="cs"/>
          <w:rtl/>
        </w:rPr>
        <w:t xml:space="preserve"> כ' בכסלו התשפ"ו (10 בדצמבר 2025</w:t>
      </w:r>
      <w:r w:rsidR="00DE43C7">
        <w:rPr>
          <w:rFonts w:hint="cs"/>
          <w:rtl/>
        </w:rPr>
        <w:t>)) ו</w:t>
      </w:r>
      <w:r w:rsidRPr="00D63C14">
        <w:rPr>
          <w:rFonts w:hint="cs"/>
          <w:rtl/>
        </w:rPr>
        <w:t>על ידי חבר הכנסת משה טור פז (פ/5412/25; הוסרה מסדר היום ביום כ' בכסלו התשפ"ו (10 בדצמבר 2025)</w:t>
      </w:r>
      <w:r w:rsidR="00D63C14">
        <w:rPr>
          <w:rFonts w:hint="cs"/>
          <w:rtl/>
        </w:rPr>
        <w:t>)</w:t>
      </w:r>
      <w:r w:rsidR="00DE43C7">
        <w:rPr>
          <w:rFonts w:hint="cs"/>
          <w:rtl/>
        </w:rPr>
        <w:t>.</w:t>
      </w:r>
    </w:p>
    <w:p w14:paraId="7F6961CB" w14:textId="77777777" w:rsidR="00E13C27" w:rsidRPr="005E33C4" w:rsidRDefault="00E13C27" w:rsidP="00E13C27">
      <w:pPr>
        <w:pStyle w:val="Hesber"/>
        <w:rPr>
          <w:rtl/>
        </w:rPr>
      </w:pPr>
    </w:p>
    <w:p w14:paraId="068C2BCD" w14:textId="77777777" w:rsidR="009F62B1" w:rsidRDefault="00DE43C7">
      <w:pPr>
        <w:jc w:val="left"/>
      </w:pPr>
      <w:bookmarkStart w:id="9" w:name="selectedDocDateB"/>
      <w:bookmarkEnd w:id="9"/>
      <w:r>
        <w:rPr>
          <w:rFonts w:eastAsia="David" w:hint="cs"/>
          <w:sz w:val="26"/>
          <w:szCs w:val="26"/>
          <w:rtl/>
        </w:rPr>
        <w:t>--------------------------------</w:t>
      </w:r>
    </w:p>
    <w:p w14:paraId="4A790D7F" w14:textId="77777777" w:rsidR="009F62B1" w:rsidRDefault="00DE43C7">
      <w:pPr>
        <w:jc w:val="left"/>
      </w:pPr>
      <w:r>
        <w:rPr>
          <w:rFonts w:eastAsia="David" w:hint="cs"/>
          <w:sz w:val="26"/>
          <w:szCs w:val="26"/>
          <w:rtl/>
        </w:rPr>
        <w:t>הוגשה ליו"ר הכנסת והסגנים</w:t>
      </w:r>
    </w:p>
    <w:p w14:paraId="2107998E" w14:textId="77777777" w:rsidR="009F62B1" w:rsidRDefault="00DE43C7">
      <w:pPr>
        <w:jc w:val="left"/>
      </w:pPr>
      <w:r>
        <w:rPr>
          <w:rFonts w:eastAsia="David" w:hint="cs"/>
          <w:sz w:val="26"/>
          <w:szCs w:val="26"/>
          <w:rtl/>
        </w:rPr>
        <w:t>והונחה על שולחן הכנסת ביום</w:t>
      </w:r>
    </w:p>
    <w:p w14:paraId="3B9A9CF3" w14:textId="77777777" w:rsidR="009F62B1" w:rsidRDefault="00DE43C7">
      <w:pPr>
        <w:jc w:val="left"/>
      </w:pPr>
      <w:r>
        <w:rPr>
          <w:rFonts w:eastAsia="David" w:hint="cs"/>
          <w:sz w:val="26"/>
          <w:szCs w:val="26"/>
          <w:rtl/>
        </w:rPr>
        <w:t xml:space="preserve">כ"ג בטבת התשפ"ו (12.01.2026) </w:t>
      </w:r>
    </w:p>
    <w:p w14:paraId="665C85F6" w14:textId="77777777" w:rsidR="009F62B1" w:rsidRDefault="009F62B1">
      <w:pPr>
        <w:spacing w:line="276" w:lineRule="auto"/>
        <w:jc w:val="left"/>
      </w:pPr>
    </w:p>
    <w:sectPr w:rsidR="009F62B1" w:rsidSect="00CB530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7AA2F0E"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7047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CB530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C8EDCD6" w14:textId="77777777" w:rsidR="005E33C4" w:rsidRDefault="005E33C4" w:rsidP="005E33C4">
      <w:pPr>
        <w:pStyle w:val="a4"/>
        <w:rPr>
          <w:rtl/>
        </w:rPr>
      </w:pPr>
      <w:r>
        <w:rPr>
          <w:rStyle w:val="a6"/>
        </w:rPr>
        <w:footnoteRef/>
      </w:r>
      <w:r>
        <w:rPr>
          <w:rtl/>
        </w:rPr>
        <w:t xml:space="preserve"> </w:t>
      </w:r>
      <w:r>
        <w:rPr>
          <w:rFonts w:hint="cs"/>
          <w:rtl/>
        </w:rPr>
        <w:t>ס"ח התש"ס, עמ' 248.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08C0"/>
    <w:rsid w:val="005D51AE"/>
    <w:rsid w:val="005E33C4"/>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415"/>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F62B1"/>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BF359C"/>
    <w:rsid w:val="00C23B1A"/>
    <w:rsid w:val="00C310EB"/>
    <w:rsid w:val="00C7047A"/>
    <w:rsid w:val="00C9176A"/>
    <w:rsid w:val="00CB5306"/>
    <w:rsid w:val="00CF1AA2"/>
    <w:rsid w:val="00D142D3"/>
    <w:rsid w:val="00D17774"/>
    <w:rsid w:val="00D63620"/>
    <w:rsid w:val="00D63C14"/>
    <w:rsid w:val="00D8410D"/>
    <w:rsid w:val="00D867D7"/>
    <w:rsid w:val="00DB7060"/>
    <w:rsid w:val="00DE3153"/>
    <w:rsid w:val="00DE43C7"/>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8C21AA1-F0D3-4119-8126-952AE625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30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B530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B530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B530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B5306"/>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B530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B530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B5306"/>
    <w:rPr>
      <w:sz w:val="36"/>
      <w:szCs w:val="52"/>
    </w:rPr>
  </w:style>
  <w:style w:type="paragraph" w:customStyle="1" w:styleId="Cover3-Haknesset">
    <w:name w:val="Cover 3-Haknesset"/>
    <w:basedOn w:val="Cover1-Reshumot"/>
    <w:rsid w:val="00CB5306"/>
    <w:rPr>
      <w:b/>
      <w:bCs/>
      <w:spacing w:val="60"/>
    </w:rPr>
  </w:style>
  <w:style w:type="paragraph" w:customStyle="1" w:styleId="Cover4-Date">
    <w:name w:val="Cover 4-Date"/>
    <w:basedOn w:val="a"/>
    <w:rsid w:val="00CB530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B530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B530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B5306"/>
    <w:pPr>
      <w:spacing w:before="120" w:after="120"/>
    </w:pPr>
    <w:rPr>
      <w:color w:val="FF0000"/>
      <w:w w:val="80"/>
    </w:rPr>
  </w:style>
  <w:style w:type="paragraph" w:styleId="a3">
    <w:name w:val="endnote text"/>
    <w:basedOn w:val="a"/>
    <w:semiHidden/>
    <w:rsid w:val="00CB5306"/>
    <w:pPr>
      <w:ind w:left="227" w:hanging="227"/>
    </w:pPr>
    <w:rPr>
      <w:sz w:val="14"/>
      <w:szCs w:val="22"/>
    </w:rPr>
  </w:style>
  <w:style w:type="paragraph" w:customStyle="1" w:styleId="TableText">
    <w:name w:val="Table Text"/>
    <w:basedOn w:val="a"/>
    <w:rsid w:val="00CB530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B5306"/>
    <w:pPr>
      <w:outlineLvl w:val="2"/>
    </w:pPr>
  </w:style>
  <w:style w:type="paragraph" w:customStyle="1" w:styleId="TableBlock">
    <w:name w:val="Table Block"/>
    <w:basedOn w:val="TableText"/>
    <w:rsid w:val="00CB5306"/>
    <w:pPr>
      <w:jc w:val="both"/>
    </w:pPr>
  </w:style>
  <w:style w:type="paragraph" w:customStyle="1" w:styleId="TableHead">
    <w:name w:val="Table Head"/>
    <w:basedOn w:val="TableText"/>
    <w:rsid w:val="00CB530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B5306"/>
    <w:pPr>
      <w:outlineLvl w:val="9"/>
    </w:pPr>
  </w:style>
  <w:style w:type="paragraph" w:customStyle="1" w:styleId="Hesber">
    <w:name w:val="Hesber"/>
    <w:basedOn w:val="a"/>
    <w:rsid w:val="00CB530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CB530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CB5306"/>
    <w:rPr>
      <w:vertAlign w:val="superscript"/>
    </w:rPr>
  </w:style>
  <w:style w:type="paragraph" w:customStyle="1" w:styleId="HesberHeading">
    <w:name w:val="Hesber Heading"/>
    <w:basedOn w:val="Hesber"/>
    <w:rsid w:val="00CB5306"/>
    <w:pPr>
      <w:tabs>
        <w:tab w:val="left" w:pos="624"/>
        <w:tab w:val="left" w:pos="1247"/>
      </w:tabs>
    </w:pPr>
    <w:rPr>
      <w:b/>
      <w:bCs/>
    </w:rPr>
  </w:style>
  <w:style w:type="paragraph" w:customStyle="1" w:styleId="HesberWriters">
    <w:name w:val="Hesber Writers"/>
    <w:basedOn w:val="Hesber"/>
    <w:rsid w:val="00CB5306"/>
    <w:pPr>
      <w:spacing w:before="120" w:after="120"/>
      <w:ind w:left="1418"/>
      <w:jc w:val="right"/>
    </w:pPr>
    <w:rPr>
      <w:b/>
      <w:bCs/>
    </w:rPr>
  </w:style>
  <w:style w:type="paragraph" w:customStyle="1" w:styleId="Hesber1st">
    <w:name w:val="Hesber 1st"/>
    <w:basedOn w:val="Hesber"/>
    <w:rsid w:val="00CB5306"/>
    <w:pPr>
      <w:tabs>
        <w:tab w:val="left" w:pos="680"/>
        <w:tab w:val="left" w:pos="1020"/>
      </w:tabs>
      <w:ind w:firstLine="0"/>
    </w:pPr>
  </w:style>
  <w:style w:type="character" w:styleId="a7">
    <w:name w:val="endnote reference"/>
    <w:basedOn w:val="a0"/>
    <w:semiHidden/>
    <w:rsid w:val="00CB5306"/>
    <w:rPr>
      <w:vertAlign w:val="superscript"/>
    </w:rPr>
  </w:style>
  <w:style w:type="paragraph" w:customStyle="1" w:styleId="TableBlockOutdent">
    <w:name w:val="Table BlockOutdent"/>
    <w:basedOn w:val="TableBlock"/>
    <w:rsid w:val="00CB5306"/>
    <w:pPr>
      <w:ind w:left="624" w:hanging="624"/>
    </w:pPr>
  </w:style>
  <w:style w:type="paragraph" w:styleId="a8">
    <w:name w:val="header"/>
    <w:basedOn w:val="a"/>
    <w:rsid w:val="00CB5306"/>
    <w:pPr>
      <w:tabs>
        <w:tab w:val="center" w:pos="4153"/>
        <w:tab w:val="right" w:pos="8306"/>
      </w:tabs>
    </w:pPr>
  </w:style>
  <w:style w:type="paragraph" w:styleId="a9">
    <w:name w:val="footer"/>
    <w:basedOn w:val="a"/>
    <w:rsid w:val="00CB5306"/>
    <w:pPr>
      <w:tabs>
        <w:tab w:val="center" w:pos="4153"/>
        <w:tab w:val="right" w:pos="8306"/>
      </w:tabs>
    </w:pPr>
  </w:style>
  <w:style w:type="paragraph" w:customStyle="1" w:styleId="HeadDivreiHesber">
    <w:name w:val="Head DivreiHesber"/>
    <w:basedOn w:val="a"/>
    <w:rsid w:val="00CB530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B530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CB530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E33C4"/>
    <w:rPr>
      <w:rFonts w:ascii="Arial" w:eastAsia="Arial Unicode MS" w:hAnsi="Arial" w:cs="David"/>
      <w:snapToGrid w:val="0"/>
      <w:sz w:val="14"/>
    </w:rPr>
  </w:style>
  <w:style w:type="character" w:customStyle="1" w:styleId="10">
    <w:name w:val="כותרת 1 תו"/>
    <w:basedOn w:val="a0"/>
    <w:link w:val="1"/>
    <w:uiPriority w:val="9"/>
    <w:rsid w:val="00CB5306"/>
    <w:rPr>
      <w:rFonts w:asciiTheme="majorHAnsi" w:eastAsiaTheme="majorEastAsia" w:hAnsiTheme="majorHAnsi" w:cs="David"/>
      <w:bCs/>
      <w:sz w:val="32"/>
      <w:szCs w:val="36"/>
    </w:rPr>
  </w:style>
  <w:style w:type="character" w:customStyle="1" w:styleId="20">
    <w:name w:val="כותרת 2 תו"/>
    <w:basedOn w:val="a0"/>
    <w:link w:val="2"/>
    <w:rsid w:val="00CB5306"/>
    <w:rPr>
      <w:rFonts w:asciiTheme="majorHAnsi" w:eastAsiaTheme="majorEastAsia" w:hAnsiTheme="majorHAnsi" w:cs="David"/>
      <w:bCs/>
      <w:sz w:val="26"/>
      <w:szCs w:val="36"/>
      <w:u w:val="single"/>
    </w:rPr>
  </w:style>
  <w:style w:type="character" w:customStyle="1" w:styleId="30">
    <w:name w:val="כותרת 3 תו"/>
    <w:basedOn w:val="a0"/>
    <w:link w:val="3"/>
    <w:rsid w:val="00CB5306"/>
    <w:rPr>
      <w:rFonts w:asciiTheme="majorHAnsi" w:eastAsiaTheme="majorEastAsia" w:hAnsiTheme="majorHAnsi" w:cs="David"/>
      <w:sz w:val="24"/>
      <w:szCs w:val="28"/>
      <w:u w:val="double"/>
    </w:rPr>
  </w:style>
  <w:style w:type="character" w:customStyle="1" w:styleId="40">
    <w:name w:val="כותרת 4 תו"/>
    <w:basedOn w:val="a0"/>
    <w:link w:val="4"/>
    <w:uiPriority w:val="9"/>
    <w:rsid w:val="00CB530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B530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CB5306"/>
    <w:pPr>
      <w:widowControl/>
      <w:spacing w:before="120" w:after="120"/>
      <w:outlineLvl w:val="9"/>
    </w:pPr>
    <w:rPr>
      <w:rtl/>
      <w:cs/>
    </w:rPr>
  </w:style>
  <w:style w:type="paragraph" w:styleId="TOC1">
    <w:name w:val="toc 1"/>
    <w:basedOn w:val="a"/>
    <w:next w:val="a"/>
    <w:autoRedefine/>
    <w:uiPriority w:val="39"/>
    <w:unhideWhenUsed/>
    <w:rsid w:val="00CB5306"/>
    <w:pPr>
      <w:tabs>
        <w:tab w:val="right" w:leader="dot" w:pos="9629"/>
      </w:tabs>
      <w:spacing w:after="100"/>
    </w:pPr>
    <w:rPr>
      <w:bCs/>
      <w:szCs w:val="22"/>
    </w:rPr>
  </w:style>
  <w:style w:type="paragraph" w:styleId="TOC2">
    <w:name w:val="toc 2"/>
    <w:basedOn w:val="a"/>
    <w:next w:val="a"/>
    <w:uiPriority w:val="39"/>
    <w:unhideWhenUsed/>
    <w:rsid w:val="00CB5306"/>
    <w:pPr>
      <w:tabs>
        <w:tab w:val="right" w:leader="dot" w:pos="9628"/>
      </w:tabs>
      <w:spacing w:after="100"/>
    </w:pPr>
    <w:rPr>
      <w:szCs w:val="22"/>
    </w:rPr>
  </w:style>
  <w:style w:type="character" w:styleId="Hyperlink">
    <w:name w:val="Hyperlink"/>
    <w:basedOn w:val="a0"/>
    <w:uiPriority w:val="99"/>
    <w:unhideWhenUsed/>
    <w:rsid w:val="00CB5306"/>
    <w:rPr>
      <w:color w:val="0000FF" w:themeColor="hyperlink"/>
      <w:u w:val="single"/>
    </w:rPr>
  </w:style>
  <w:style w:type="paragraph" w:styleId="TOC3">
    <w:name w:val="toc 3"/>
    <w:basedOn w:val="a"/>
    <w:next w:val="a"/>
    <w:uiPriority w:val="39"/>
    <w:unhideWhenUsed/>
    <w:rsid w:val="00CB5306"/>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CB530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B5306"/>
    <w:pPr>
      <w:tabs>
        <w:tab w:val="right" w:leader="dot" w:pos="9628"/>
      </w:tabs>
      <w:spacing w:after="100"/>
      <w:ind w:left="567"/>
    </w:pPr>
    <w:rPr>
      <w:szCs w:val="22"/>
    </w:rPr>
  </w:style>
  <w:style w:type="paragraph" w:styleId="TOC6">
    <w:name w:val="toc 6"/>
    <w:basedOn w:val="a"/>
    <w:next w:val="a"/>
    <w:autoRedefine/>
    <w:semiHidden/>
    <w:unhideWhenUsed/>
    <w:rsid w:val="00CB5306"/>
    <w:pPr>
      <w:spacing w:after="100"/>
      <w:ind w:left="850"/>
    </w:pPr>
  </w:style>
  <w:style w:type="paragraph" w:styleId="TOC7">
    <w:name w:val="toc 7"/>
    <w:basedOn w:val="a"/>
    <w:next w:val="a"/>
    <w:autoRedefine/>
    <w:semiHidden/>
    <w:unhideWhenUsed/>
    <w:rsid w:val="00CB5306"/>
    <w:pPr>
      <w:spacing w:after="100"/>
      <w:ind w:left="1020"/>
    </w:pPr>
  </w:style>
  <w:style w:type="paragraph" w:styleId="TOC8">
    <w:name w:val="toc 8"/>
    <w:basedOn w:val="a"/>
    <w:next w:val="a"/>
    <w:autoRedefine/>
    <w:semiHidden/>
    <w:unhideWhenUsed/>
    <w:rsid w:val="00CB5306"/>
    <w:pPr>
      <w:spacing w:after="100"/>
      <w:ind w:left="1190"/>
    </w:pPr>
  </w:style>
  <w:style w:type="paragraph" w:styleId="TOC9">
    <w:name w:val="toc 9"/>
    <w:basedOn w:val="a"/>
    <w:next w:val="a"/>
    <w:autoRedefine/>
    <w:semiHidden/>
    <w:unhideWhenUsed/>
    <w:rsid w:val="00CB5306"/>
    <w:pPr>
      <w:spacing w:after="100"/>
      <w:ind w:left="1360"/>
    </w:pPr>
  </w:style>
  <w:style w:type="paragraph" w:customStyle="1" w:styleId="TableHead2">
    <w:name w:val="Table Head2"/>
    <w:basedOn w:val="TableHead"/>
    <w:qFormat/>
    <w:rsid w:val="00CB5306"/>
    <w:pPr>
      <w:outlineLvl w:val="9"/>
    </w:pPr>
  </w:style>
  <w:style w:type="paragraph" w:customStyle="1" w:styleId="TableSideHeading2">
    <w:name w:val="Table SideHeading2"/>
    <w:basedOn w:val="TableSideHeading"/>
    <w:autoRedefine/>
    <w:qFormat/>
    <w:rsid w:val="00CB5306"/>
    <w:pPr>
      <w:keepLines w:val="0"/>
      <w:outlineLvl w:val="9"/>
    </w:pPr>
  </w:style>
  <w:style w:type="paragraph" w:customStyle="1" w:styleId="0">
    <w:name w:val="סגנון שורה ראשונה:  0  ס''מ"/>
    <w:basedOn w:val="2"/>
    <w:rsid w:val="00CB5306"/>
    <w:rPr>
      <w:rFonts w:eastAsia="Times New Roman"/>
    </w:rPr>
  </w:style>
  <w:style w:type="paragraph" w:styleId="af">
    <w:name w:val="List Paragraph"/>
    <w:basedOn w:val="a"/>
    <w:uiPriority w:val="34"/>
    <w:qFormat/>
    <w:rsid w:val="00CB5306"/>
    <w:pPr>
      <w:widowControl/>
      <w:spacing w:line="259" w:lineRule="auto"/>
    </w:pPr>
    <w:rPr>
      <w:rFonts w:asciiTheme="minorHAnsi" w:hAnsiTheme="minorHAnsi"/>
      <w:sz w:val="22"/>
    </w:rPr>
  </w:style>
  <w:style w:type="table" w:styleId="af0">
    <w:name w:val="Table Grid"/>
    <w:basedOn w:val="a1"/>
    <w:rsid w:val="00CB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B53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B53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CB530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B5306"/>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290d5b49-c690-4c6f-bbb9-1e50dab33eee"/>
    <ds:schemaRef ds:uri="http://purl.org/dc/terms/"/>
  </ds:schemaRefs>
</ds:datastoreItem>
</file>

<file path=customXml/itemProps3.xml><?xml version="1.0" encoding="utf-8"?>
<ds:datastoreItem xmlns:ds="http://schemas.openxmlformats.org/officeDocument/2006/customXml" ds:itemID="{2E709813-A895-48D0-8B31-A1427327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68D52-998C-45D5-8E94-E23CCDA8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399</Words>
  <Characters>1998</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8</cp:revision>
  <cp:lastPrinted>2013-07-04T08:25:00Z</cp:lastPrinted>
  <dcterms:created xsi:type="dcterms:W3CDTF">2015-04-20T09:58:00Z</dcterms:created>
  <dcterms:modified xsi:type="dcterms:W3CDTF">2026-01-08T10:31:00Z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2238876</vt:r8>
  </property>
</Properties>
</file>