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38C19" w14:textId="77777777" w:rsidR="00446073" w:rsidRPr="00DB7060" w:rsidRDefault="00446073" w:rsidP="00446073">
      <w:pPr>
        <w:pStyle w:val="HeadHatzaotHok"/>
        <w:rPr>
          <w:sz w:val="28"/>
          <w:szCs w:val="28"/>
          <w:rtl/>
        </w:rPr>
      </w:pPr>
      <w:r w:rsidRPr="00DB7060">
        <w:rPr>
          <w:rFonts w:hint="cs"/>
          <w:sz w:val="28"/>
          <w:szCs w:val="28"/>
          <w:rtl/>
        </w:rPr>
        <w:t xml:space="preserve">הכנסת </w:t>
      </w:r>
      <w:bookmarkStart w:id="0" w:name="LGS_Knesset_Num"/>
      <w:r>
        <w:rPr>
          <w:rFonts w:hint="cs"/>
          <w:sz w:val="28"/>
          <w:szCs w:val="28"/>
          <w:rtl/>
        </w:rPr>
        <w:t>העשרים וחמש</w:t>
      </w:r>
      <w:bookmarkEnd w:id="0"/>
    </w:p>
    <w:p w14:paraId="0C727539" w14:textId="77777777" w:rsidR="00446073" w:rsidRPr="00F67051" w:rsidRDefault="00446073" w:rsidP="00446073">
      <w:pPr>
        <w:rPr>
          <w:rFonts w:cs="David"/>
          <w:b/>
          <w:bCs/>
          <w:sz w:val="26"/>
          <w:szCs w:val="26"/>
          <w:rtl/>
        </w:rPr>
      </w:pPr>
    </w:p>
    <w:p w14:paraId="1E07D2E4" w14:textId="77777777" w:rsidR="00446073" w:rsidRDefault="00446073" w:rsidP="00446073">
      <w:pPr>
        <w:pStyle w:val="David"/>
        <w:spacing w:line="360" w:lineRule="auto"/>
        <w:ind w:left="3544"/>
        <w:rPr>
          <w:b/>
          <w:bCs/>
          <w:rtl/>
        </w:rPr>
      </w:pPr>
      <w:bookmarkStart w:id="1" w:name="LGS_Initiators_List"/>
      <w:r>
        <w:rPr>
          <w:b/>
          <w:bCs/>
          <w:rtl/>
        </w:rPr>
        <w:t>יוזמת:</w:t>
      </w:r>
      <w:r>
        <w:tab/>
      </w:r>
      <w:r>
        <w:rPr>
          <w:b/>
          <w:bCs/>
          <w:rtl/>
        </w:rPr>
        <w:t xml:space="preserve">      חברת הכנסת</w:t>
      </w:r>
      <w:bookmarkEnd w:id="1"/>
      <w:r w:rsidRPr="00F67051">
        <w:rPr>
          <w:b/>
          <w:bCs/>
        </w:rPr>
        <w:tab/>
      </w:r>
      <w:bookmarkStart w:id="2" w:name="LGS_PM_Names"/>
      <w:r>
        <w:rPr>
          <w:rFonts w:hint="cs"/>
          <w:b/>
          <w:bCs/>
          <w:rtl/>
        </w:rPr>
        <w:t>מרב מיכאלי</w:t>
      </w:r>
      <w:bookmarkEnd w:id="2"/>
    </w:p>
    <w:p w14:paraId="2D323DBC" w14:textId="77777777" w:rsidR="00446073" w:rsidRPr="00CF1AA2" w:rsidRDefault="00446073" w:rsidP="00446073">
      <w:pPr>
        <w:pStyle w:val="David"/>
        <w:spacing w:before="0" w:line="360" w:lineRule="auto"/>
        <w:ind w:left="3544"/>
        <w:rPr>
          <w:b/>
          <w:bCs/>
          <w:sz w:val="16"/>
          <w:szCs w:val="16"/>
          <w:rtl/>
        </w:rPr>
      </w:pPr>
      <w:bookmarkStart w:id="3" w:name="LGS_Join_List"/>
      <w:r>
        <w:rPr>
          <w:rtl/>
        </w:rPr>
        <w:t xml:space="preserve"> </w:t>
      </w:r>
      <w:bookmarkEnd w:id="3"/>
      <w:r w:rsidRPr="00CF1AA2">
        <w:rPr>
          <w:rFonts w:hint="cs"/>
          <w:rtl/>
        </w:rPr>
        <w:tab/>
      </w:r>
      <w:bookmarkStart w:id="4" w:name="LGS_PM_NamesJoin"/>
      <w:r>
        <w:rPr>
          <w:rFonts w:hint="cs"/>
          <w:rtl/>
        </w:rPr>
        <w:t xml:space="preserve"> </w:t>
      </w:r>
      <w:bookmarkEnd w:id="4"/>
    </w:p>
    <w:p w14:paraId="7B772504" w14:textId="77777777" w:rsidR="00446073" w:rsidRPr="00904591" w:rsidRDefault="00446073" w:rsidP="00446073">
      <w:pPr>
        <w:pStyle w:val="David"/>
        <w:spacing w:before="0" w:line="360" w:lineRule="auto"/>
        <w:ind w:left="3544"/>
        <w:rPr>
          <w:sz w:val="4"/>
          <w:szCs w:val="4"/>
          <w:rtl/>
        </w:rPr>
      </w:pPr>
      <w:r>
        <w:t>______________________________________________</w:t>
      </w:r>
      <w:r w:rsidRPr="00E06736">
        <w:tab/>
      </w:r>
      <w:r w:rsidRPr="00E06736">
        <w:rPr>
          <w:rFonts w:hint="cs"/>
          <w:rtl/>
        </w:rPr>
        <w:tab/>
      </w:r>
      <w:r w:rsidRPr="00E06736">
        <w:rPr>
          <w:rFonts w:hint="cs"/>
          <w:rtl/>
        </w:rPr>
        <w:tab/>
      </w:r>
      <w:r w:rsidRPr="00E06736">
        <w:rPr>
          <w:rFonts w:hint="cs"/>
          <w:rtl/>
        </w:rPr>
        <w:tab/>
      </w:r>
      <w:r>
        <w:t xml:space="preserve">           </w:t>
      </w:r>
    </w:p>
    <w:p w14:paraId="24D414D9" w14:textId="77777777" w:rsidR="00446073" w:rsidRPr="00E06736" w:rsidRDefault="00446073" w:rsidP="00446073">
      <w:pPr>
        <w:pStyle w:val="David"/>
        <w:spacing w:before="0" w:line="240" w:lineRule="auto"/>
        <w:ind w:left="3544"/>
        <w:rPr>
          <w:rtl/>
        </w:rPr>
      </w:pPr>
      <w:r>
        <w:t xml:space="preserve">                                             </w:t>
      </w:r>
      <w:bookmarkStart w:id="5" w:name="Private_Number"/>
      <w:r>
        <w:rPr>
          <w:rFonts w:hint="cs"/>
          <w:rtl/>
        </w:rPr>
        <w:t>פ/6448/25</w:t>
      </w:r>
      <w:bookmarkEnd w:id="5"/>
    </w:p>
    <w:p w14:paraId="77308F30" w14:textId="77777777" w:rsidR="00446073" w:rsidRDefault="00446073" w:rsidP="00446073">
      <w:pPr>
        <w:spacing w:before="0" w:line="360" w:lineRule="auto"/>
        <w:ind w:left="2880" w:firstLine="720"/>
        <w:rPr>
          <w:rFonts w:cs="David"/>
          <w:sz w:val="26"/>
          <w:szCs w:val="26"/>
          <w:rtl/>
        </w:rPr>
      </w:pPr>
    </w:p>
    <w:p w14:paraId="1CF213C9" w14:textId="4AF10DA2" w:rsidR="00446073" w:rsidRPr="00F67051" w:rsidRDefault="00446073" w:rsidP="00E5695C">
      <w:pPr>
        <w:pStyle w:val="HeadHatzaotHok"/>
        <w:rPr>
          <w:rtl/>
        </w:rPr>
      </w:pPr>
      <w:bookmarkStart w:id="6" w:name="LGS_Subject"/>
      <w:r>
        <w:rPr>
          <w:rFonts w:hint="cs"/>
          <w:rtl/>
        </w:rPr>
        <w:t>הצעת חוק שירות ביטחון (תיקון – השוואת תהליכי המיון, השיבוץ, התקינה וההכשרה, המסלולים המקצועיים ואופקי הקידום לנשים וגברים), התשפ"ו</w:t>
      </w:r>
      <w:r w:rsidR="00E5695C">
        <w:rPr>
          <w:rFonts w:hint="cs"/>
          <w:sz w:val="26"/>
          <w:rtl/>
        </w:rPr>
        <w:t>–</w:t>
      </w:r>
      <w:r>
        <w:rPr>
          <w:rFonts w:hint="cs"/>
          <w:rtl/>
        </w:rPr>
        <w:t>2</w:t>
      </w:r>
      <w:bookmarkEnd w:id="6"/>
      <w:r w:rsidR="00E5695C">
        <w:rPr>
          <w:rFonts w:hint="cs"/>
          <w:rtl/>
        </w:rPr>
        <w:t>026</w:t>
      </w: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19"/>
      </w:tblGrid>
      <w:tr w:rsidR="00446073" w14:paraId="287D8B0C" w14:textId="77777777" w:rsidTr="00C62AE9">
        <w:trPr>
          <w:cantSplit/>
        </w:trPr>
        <w:tc>
          <w:tcPr>
            <w:tcW w:w="1871" w:type="dxa"/>
            <w:hideMark/>
          </w:tcPr>
          <w:p w14:paraId="0DEDB680" w14:textId="77777777" w:rsidR="00446073" w:rsidRDefault="00446073" w:rsidP="00C62AE9">
            <w:pPr>
              <w:pStyle w:val="TableSideHeading"/>
              <w:keepLines w:val="0"/>
              <w:rPr>
                <w:rtl/>
              </w:rPr>
            </w:pPr>
            <w:r>
              <w:rPr>
                <w:rFonts w:hint="cs"/>
                <w:rtl/>
              </w:rPr>
              <w:t>תיקון סעיף 16</w:t>
            </w:r>
          </w:p>
        </w:tc>
        <w:tc>
          <w:tcPr>
            <w:tcW w:w="624" w:type="dxa"/>
            <w:hideMark/>
          </w:tcPr>
          <w:p w14:paraId="737F13FB" w14:textId="77777777" w:rsidR="00446073" w:rsidRDefault="00446073" w:rsidP="00C62AE9">
            <w:pPr>
              <w:pStyle w:val="TableText"/>
            </w:pPr>
            <w:r>
              <w:rPr>
                <w:rFonts w:hint="cs"/>
                <w:rtl/>
              </w:rPr>
              <w:t>1.</w:t>
            </w:r>
          </w:p>
        </w:tc>
        <w:tc>
          <w:tcPr>
            <w:tcW w:w="7143" w:type="dxa"/>
            <w:gridSpan w:val="2"/>
            <w:hideMark/>
          </w:tcPr>
          <w:p w14:paraId="6D2E68F6" w14:textId="77777777" w:rsidR="00446073" w:rsidRDefault="00446073" w:rsidP="00C62AE9">
            <w:pPr>
              <w:pStyle w:val="TableBlock"/>
            </w:pPr>
            <w:r>
              <w:rPr>
                <w:rFonts w:hint="cs"/>
                <w:sz w:val="26"/>
                <w:rtl/>
              </w:rPr>
              <w:t>בחוק שירות ביטחון [נוסח משולב], התשמ"ו–1986</w:t>
            </w:r>
            <w:r>
              <w:rPr>
                <w:rStyle w:val="a6"/>
                <w:rFonts w:ascii="David" w:hAnsi="David"/>
                <w:sz w:val="26"/>
                <w:szCs w:val="20"/>
                <w:rtl/>
              </w:rPr>
              <w:footnoteReference w:id="2"/>
            </w:r>
            <w:r>
              <w:rPr>
                <w:rFonts w:hint="cs"/>
                <w:sz w:val="26"/>
                <w:rtl/>
              </w:rPr>
              <w:t xml:space="preserve"> (להלן – החוק העיקרי), בסעיף 16(1), במקום "עשרים וארבעה" יבוא "עשרים ושמונה".</w:t>
            </w:r>
          </w:p>
        </w:tc>
      </w:tr>
      <w:tr w:rsidR="00446073" w14:paraId="40A8B879" w14:textId="77777777" w:rsidTr="00C62AE9">
        <w:trPr>
          <w:cantSplit/>
        </w:trPr>
        <w:tc>
          <w:tcPr>
            <w:tcW w:w="1871" w:type="dxa"/>
            <w:hideMark/>
          </w:tcPr>
          <w:p w14:paraId="734C1190" w14:textId="77777777" w:rsidR="00446073" w:rsidRDefault="00446073" w:rsidP="00C62AE9">
            <w:pPr>
              <w:pStyle w:val="TableSideHeading"/>
              <w:keepLines w:val="0"/>
              <w:rPr>
                <w:rtl/>
              </w:rPr>
            </w:pPr>
            <w:r>
              <w:rPr>
                <w:rFonts w:hint="cs"/>
                <w:rtl/>
              </w:rPr>
              <w:t>תיקון סעיף 16א</w:t>
            </w:r>
          </w:p>
        </w:tc>
        <w:tc>
          <w:tcPr>
            <w:tcW w:w="624" w:type="dxa"/>
            <w:hideMark/>
          </w:tcPr>
          <w:p w14:paraId="484AC915" w14:textId="77777777" w:rsidR="00446073" w:rsidRDefault="00446073" w:rsidP="00C62AE9">
            <w:pPr>
              <w:pStyle w:val="TableText"/>
            </w:pPr>
            <w:r>
              <w:rPr>
                <w:rFonts w:hint="cs"/>
                <w:rtl/>
              </w:rPr>
              <w:t>2.</w:t>
            </w:r>
          </w:p>
        </w:tc>
        <w:tc>
          <w:tcPr>
            <w:tcW w:w="7143" w:type="dxa"/>
            <w:gridSpan w:val="2"/>
            <w:hideMark/>
          </w:tcPr>
          <w:p w14:paraId="7811098F" w14:textId="77777777" w:rsidR="00446073" w:rsidRDefault="00446073" w:rsidP="00C62AE9">
            <w:pPr>
              <w:pStyle w:val="TableBlock"/>
              <w:rPr>
                <w:rtl/>
              </w:rPr>
            </w:pPr>
            <w:r>
              <w:rPr>
                <w:rFonts w:hint="cs"/>
                <w:sz w:val="26"/>
                <w:rtl/>
              </w:rPr>
              <w:t>בסעיף 16א לחוק העיקרי –</w:t>
            </w:r>
          </w:p>
        </w:tc>
      </w:tr>
      <w:tr w:rsidR="00446073" w14:paraId="47B79E24" w14:textId="77777777" w:rsidTr="00C62AE9">
        <w:trPr>
          <w:cantSplit/>
        </w:trPr>
        <w:tc>
          <w:tcPr>
            <w:tcW w:w="1871" w:type="dxa"/>
          </w:tcPr>
          <w:p w14:paraId="23B9C7CF" w14:textId="77777777" w:rsidR="00446073" w:rsidRDefault="00446073" w:rsidP="00C62AE9">
            <w:pPr>
              <w:pStyle w:val="TableSideHeading"/>
              <w:rPr>
                <w:rtl/>
              </w:rPr>
            </w:pPr>
          </w:p>
        </w:tc>
        <w:tc>
          <w:tcPr>
            <w:tcW w:w="624" w:type="dxa"/>
          </w:tcPr>
          <w:p w14:paraId="29331F7A" w14:textId="77777777" w:rsidR="00446073" w:rsidRDefault="00446073" w:rsidP="00C62AE9">
            <w:pPr>
              <w:pStyle w:val="TableText"/>
            </w:pPr>
          </w:p>
        </w:tc>
        <w:tc>
          <w:tcPr>
            <w:tcW w:w="7143" w:type="dxa"/>
            <w:gridSpan w:val="2"/>
            <w:hideMark/>
          </w:tcPr>
          <w:p w14:paraId="294B458B" w14:textId="77777777" w:rsidR="00446073" w:rsidRDefault="00446073" w:rsidP="00C62AE9">
            <w:pPr>
              <w:pStyle w:val="TableBlock"/>
              <w:autoSpaceDE/>
              <w:autoSpaceDN/>
              <w:adjustRightInd/>
              <w:contextualSpacing/>
              <w:textAlignment w:val="auto"/>
              <w:rPr>
                <w:rtl/>
              </w:rPr>
            </w:pPr>
            <w:r>
              <w:rPr>
                <w:rFonts w:hint="cs"/>
                <w:rtl/>
              </w:rPr>
              <w:t>(1)</w:t>
            </w:r>
            <w:r>
              <w:rPr>
                <w:rtl/>
              </w:rPr>
              <w:tab/>
            </w:r>
            <w:r>
              <w:rPr>
                <w:rFonts w:hint="cs"/>
                <w:rtl/>
              </w:rPr>
              <w:t xml:space="preserve">בסעיף קטן (א), בסופו יבוא </w:t>
            </w:r>
            <w:r>
              <w:rPr>
                <w:rFonts w:hint="cs"/>
                <w:sz w:val="26"/>
                <w:rtl/>
              </w:rPr>
              <w:t>"</w:t>
            </w:r>
            <w:r>
              <w:rPr>
                <w:rFonts w:hint="cs"/>
                <w:rtl/>
              </w:rPr>
              <w:t>תהליכי המיון, השיבוץ, התקינה וההכשרה, המסלולים המקצועיים ואופקי הקידום של יוצא צבא אשה יהיו שווים לאלה של יוצא צבא גבר; תהליכי ההכשרה יהיו משותפים ליוצא צבא גבר וליוצא צבא אשה, למעט במקרים חריגים, בנסיבות מיוחדות.";</w:t>
            </w:r>
          </w:p>
        </w:tc>
      </w:tr>
      <w:tr w:rsidR="00446073" w14:paraId="48BE6D72" w14:textId="77777777" w:rsidTr="00C62AE9">
        <w:trPr>
          <w:cantSplit/>
        </w:trPr>
        <w:tc>
          <w:tcPr>
            <w:tcW w:w="1871" w:type="dxa"/>
          </w:tcPr>
          <w:p w14:paraId="6A3AB134" w14:textId="77777777" w:rsidR="00446073" w:rsidRDefault="00446073" w:rsidP="00C62AE9">
            <w:pPr>
              <w:pStyle w:val="TableSideHeading"/>
            </w:pPr>
          </w:p>
        </w:tc>
        <w:tc>
          <w:tcPr>
            <w:tcW w:w="624" w:type="dxa"/>
          </w:tcPr>
          <w:p w14:paraId="68AD07D5" w14:textId="77777777" w:rsidR="00446073" w:rsidRDefault="00446073" w:rsidP="00C62AE9">
            <w:pPr>
              <w:pStyle w:val="TableText"/>
            </w:pPr>
          </w:p>
        </w:tc>
        <w:tc>
          <w:tcPr>
            <w:tcW w:w="7143" w:type="dxa"/>
            <w:gridSpan w:val="2"/>
            <w:hideMark/>
          </w:tcPr>
          <w:p w14:paraId="51125E74" w14:textId="77777777" w:rsidR="00446073" w:rsidRDefault="00446073" w:rsidP="00C62AE9">
            <w:pPr>
              <w:pStyle w:val="TableBlock"/>
              <w:autoSpaceDE/>
              <w:autoSpaceDN/>
              <w:adjustRightInd/>
              <w:contextualSpacing/>
              <w:textAlignment w:val="auto"/>
            </w:pPr>
            <w:r>
              <w:rPr>
                <w:rFonts w:hint="cs"/>
                <w:rtl/>
              </w:rPr>
              <w:t>(2)</w:t>
            </w:r>
            <w:r>
              <w:rPr>
                <w:rtl/>
              </w:rPr>
              <w:tab/>
            </w:r>
            <w:r>
              <w:rPr>
                <w:rFonts w:hint="cs"/>
                <w:rtl/>
              </w:rPr>
              <w:t>סעיפים קטנים (ג) ו-(ד) – בטלים;</w:t>
            </w:r>
          </w:p>
        </w:tc>
      </w:tr>
      <w:tr w:rsidR="00446073" w14:paraId="582F0125" w14:textId="77777777" w:rsidTr="00C62AE9">
        <w:trPr>
          <w:cantSplit/>
        </w:trPr>
        <w:tc>
          <w:tcPr>
            <w:tcW w:w="1871" w:type="dxa"/>
          </w:tcPr>
          <w:p w14:paraId="4C797811" w14:textId="77777777" w:rsidR="00446073" w:rsidRDefault="00446073" w:rsidP="00C62AE9">
            <w:pPr>
              <w:pStyle w:val="TableSideHeading"/>
            </w:pPr>
          </w:p>
        </w:tc>
        <w:tc>
          <w:tcPr>
            <w:tcW w:w="624" w:type="dxa"/>
          </w:tcPr>
          <w:p w14:paraId="6B001338" w14:textId="77777777" w:rsidR="00446073" w:rsidRDefault="00446073" w:rsidP="00C62AE9">
            <w:pPr>
              <w:pStyle w:val="TableText"/>
            </w:pPr>
          </w:p>
        </w:tc>
        <w:tc>
          <w:tcPr>
            <w:tcW w:w="7143" w:type="dxa"/>
            <w:gridSpan w:val="2"/>
            <w:hideMark/>
          </w:tcPr>
          <w:p w14:paraId="7CEE2C86" w14:textId="77777777" w:rsidR="00446073" w:rsidRDefault="00446073" w:rsidP="00C62AE9">
            <w:pPr>
              <w:pStyle w:val="TableBlock"/>
              <w:autoSpaceDE/>
              <w:autoSpaceDN/>
              <w:adjustRightInd/>
              <w:contextualSpacing/>
              <w:textAlignment w:val="auto"/>
              <w:rPr>
                <w:rtl/>
              </w:rPr>
            </w:pPr>
            <w:r>
              <w:rPr>
                <w:rFonts w:hint="cs"/>
                <w:rtl/>
              </w:rPr>
              <w:t>(3)</w:t>
            </w:r>
            <w:r>
              <w:rPr>
                <w:rtl/>
              </w:rPr>
              <w:tab/>
            </w:r>
            <w:r>
              <w:rPr>
                <w:rFonts w:hint="cs"/>
                <w:rtl/>
              </w:rPr>
              <w:t>בסופו יבוא</w:t>
            </w:r>
            <w:r>
              <w:rPr>
                <w:rFonts w:hint="cs"/>
                <w:sz w:val="26"/>
                <w:rtl/>
              </w:rPr>
              <w:t>:</w:t>
            </w:r>
          </w:p>
        </w:tc>
      </w:tr>
      <w:tr w:rsidR="00446073" w14:paraId="0FAE8340" w14:textId="77777777" w:rsidTr="00C62AE9">
        <w:trPr>
          <w:cantSplit/>
        </w:trPr>
        <w:tc>
          <w:tcPr>
            <w:tcW w:w="1871" w:type="dxa"/>
          </w:tcPr>
          <w:p w14:paraId="1E4BDB02" w14:textId="77777777" w:rsidR="00446073" w:rsidRDefault="00446073" w:rsidP="00C62AE9">
            <w:pPr>
              <w:pStyle w:val="TableSideHeading"/>
            </w:pPr>
          </w:p>
        </w:tc>
        <w:tc>
          <w:tcPr>
            <w:tcW w:w="624" w:type="dxa"/>
          </w:tcPr>
          <w:p w14:paraId="5F1DAB26" w14:textId="77777777" w:rsidR="00446073" w:rsidRDefault="00446073" w:rsidP="00C62AE9">
            <w:pPr>
              <w:pStyle w:val="TableText"/>
            </w:pPr>
          </w:p>
        </w:tc>
        <w:tc>
          <w:tcPr>
            <w:tcW w:w="624" w:type="dxa"/>
          </w:tcPr>
          <w:p w14:paraId="103BBF54" w14:textId="77777777" w:rsidR="00446073" w:rsidRDefault="00446073" w:rsidP="00C62AE9">
            <w:pPr>
              <w:pStyle w:val="TableText"/>
              <w:rPr>
                <w:rtl/>
              </w:rPr>
            </w:pPr>
          </w:p>
        </w:tc>
        <w:tc>
          <w:tcPr>
            <w:tcW w:w="6519" w:type="dxa"/>
            <w:hideMark/>
          </w:tcPr>
          <w:p w14:paraId="5F27A9EB" w14:textId="408C119E" w:rsidR="00446073" w:rsidRDefault="00446073" w:rsidP="00C62AE9">
            <w:pPr>
              <w:pStyle w:val="TableBlock"/>
            </w:pPr>
            <w:r>
              <w:rPr>
                <w:rFonts w:hint="cs"/>
                <w:rtl/>
              </w:rPr>
              <w:t>"(ה)</w:t>
            </w:r>
            <w:r>
              <w:rPr>
                <w:rFonts w:hint="cs"/>
                <w:sz w:val="28"/>
                <w:rtl/>
              </w:rPr>
              <w:tab/>
              <w:t xml:space="preserve">שר הביטחון ימציא לוועדת החוץ והביטחון של הכנסת, אחת לחצי שנה, דין וחשבון על יישום האמור בסעיף זה, וכן ימציא העתקו של דין וחשבון זה לוועדה לקידום מעמד האישה </w:t>
            </w:r>
            <w:r w:rsidR="00C73374">
              <w:rPr>
                <w:rFonts w:hint="cs"/>
                <w:sz w:val="28"/>
                <w:rtl/>
              </w:rPr>
              <w:t xml:space="preserve">ולשוויון מגדרי </w:t>
            </w:r>
            <w:r>
              <w:rPr>
                <w:rFonts w:hint="cs"/>
                <w:sz w:val="28"/>
                <w:rtl/>
              </w:rPr>
              <w:t>של הכנסת</w:t>
            </w:r>
            <w:r>
              <w:rPr>
                <w:rFonts w:hint="cs"/>
                <w:rtl/>
              </w:rPr>
              <w:t>.</w:t>
            </w:r>
          </w:p>
        </w:tc>
      </w:tr>
      <w:tr w:rsidR="00446073" w14:paraId="44E486B8" w14:textId="77777777" w:rsidTr="00C62AE9">
        <w:trPr>
          <w:cantSplit/>
        </w:trPr>
        <w:tc>
          <w:tcPr>
            <w:tcW w:w="1871" w:type="dxa"/>
          </w:tcPr>
          <w:p w14:paraId="34EDF0CA" w14:textId="77777777" w:rsidR="00446073" w:rsidRDefault="00446073" w:rsidP="00C62AE9">
            <w:pPr>
              <w:pStyle w:val="TableSideHeading"/>
            </w:pPr>
          </w:p>
        </w:tc>
        <w:tc>
          <w:tcPr>
            <w:tcW w:w="624" w:type="dxa"/>
          </w:tcPr>
          <w:p w14:paraId="273B3440" w14:textId="77777777" w:rsidR="00446073" w:rsidRDefault="00446073" w:rsidP="00C62AE9">
            <w:pPr>
              <w:pStyle w:val="TableText"/>
            </w:pPr>
          </w:p>
        </w:tc>
        <w:tc>
          <w:tcPr>
            <w:tcW w:w="624" w:type="dxa"/>
          </w:tcPr>
          <w:p w14:paraId="25503DF0" w14:textId="77777777" w:rsidR="00446073" w:rsidRDefault="00446073" w:rsidP="00C62AE9">
            <w:pPr>
              <w:pStyle w:val="TableText"/>
            </w:pPr>
          </w:p>
        </w:tc>
        <w:tc>
          <w:tcPr>
            <w:tcW w:w="6519" w:type="dxa"/>
            <w:hideMark/>
          </w:tcPr>
          <w:p w14:paraId="1264ECFE" w14:textId="77777777" w:rsidR="00446073" w:rsidRDefault="00446073" w:rsidP="00C62AE9">
            <w:pPr>
              <w:pStyle w:val="TableBlock"/>
            </w:pPr>
            <w:r>
              <w:rPr>
                <w:rFonts w:hint="cs"/>
                <w:sz w:val="28"/>
                <w:rtl/>
              </w:rPr>
              <w:t>(ו)</w:t>
            </w:r>
            <w:r>
              <w:rPr>
                <w:rFonts w:hint="cs"/>
                <w:sz w:val="28"/>
                <w:rtl/>
              </w:rPr>
              <w:tab/>
              <w:t xml:space="preserve">שר הביטחון יקים ועדה מייעצת כאמור בסעיף 53 למעקב אחר יישומו של סעיף זה; בוועדה המייעצת יהיה ייצוג לרשות לקידום מעמד האישה."  </w:t>
            </w:r>
          </w:p>
        </w:tc>
      </w:tr>
      <w:tr w:rsidR="00446073" w14:paraId="0EB517C5" w14:textId="77777777" w:rsidTr="00C62AE9">
        <w:trPr>
          <w:cantSplit/>
        </w:trPr>
        <w:tc>
          <w:tcPr>
            <w:tcW w:w="1871" w:type="dxa"/>
            <w:hideMark/>
          </w:tcPr>
          <w:p w14:paraId="0E110E66" w14:textId="77777777" w:rsidR="00446073" w:rsidRDefault="00446073" w:rsidP="00C62AE9">
            <w:pPr>
              <w:pStyle w:val="TableSideHeading"/>
              <w:keepLines w:val="0"/>
            </w:pPr>
            <w:r>
              <w:rPr>
                <w:rFonts w:hint="cs"/>
                <w:rtl/>
              </w:rPr>
              <w:t>תחילה ותוקף</w:t>
            </w:r>
          </w:p>
        </w:tc>
        <w:tc>
          <w:tcPr>
            <w:tcW w:w="624" w:type="dxa"/>
            <w:hideMark/>
          </w:tcPr>
          <w:p w14:paraId="3F621275" w14:textId="77777777" w:rsidR="00446073" w:rsidRDefault="00446073" w:rsidP="00C62AE9">
            <w:pPr>
              <w:pStyle w:val="TableText"/>
            </w:pPr>
            <w:r>
              <w:rPr>
                <w:rFonts w:hint="cs"/>
                <w:rtl/>
              </w:rPr>
              <w:t>3.</w:t>
            </w:r>
          </w:p>
        </w:tc>
        <w:tc>
          <w:tcPr>
            <w:tcW w:w="7143" w:type="dxa"/>
            <w:gridSpan w:val="2"/>
            <w:hideMark/>
          </w:tcPr>
          <w:p w14:paraId="306ADD35" w14:textId="77777777" w:rsidR="00446073" w:rsidRDefault="00446073" w:rsidP="00C62AE9">
            <w:pPr>
              <w:pStyle w:val="TableBlock"/>
            </w:pPr>
            <w:r>
              <w:rPr>
                <w:rFonts w:hint="cs"/>
                <w:sz w:val="28"/>
                <w:rtl/>
              </w:rPr>
              <w:t>(א)</w:t>
            </w:r>
            <w:r>
              <w:rPr>
                <w:rFonts w:hint="cs"/>
                <w:sz w:val="28"/>
                <w:rtl/>
              </w:rPr>
              <w:tab/>
              <w:t>תחילתו של חוק זה ביום פרסומו.</w:t>
            </w:r>
          </w:p>
        </w:tc>
      </w:tr>
      <w:tr w:rsidR="00446073" w14:paraId="11089760" w14:textId="77777777" w:rsidTr="00C62AE9">
        <w:trPr>
          <w:cantSplit/>
        </w:trPr>
        <w:tc>
          <w:tcPr>
            <w:tcW w:w="1871" w:type="dxa"/>
          </w:tcPr>
          <w:p w14:paraId="545D880D" w14:textId="77777777" w:rsidR="00446073" w:rsidRDefault="00446073" w:rsidP="00C62AE9">
            <w:pPr>
              <w:pStyle w:val="TableSideHeading"/>
              <w:keepLines w:val="0"/>
              <w:rPr>
                <w:rtl/>
              </w:rPr>
            </w:pPr>
          </w:p>
        </w:tc>
        <w:tc>
          <w:tcPr>
            <w:tcW w:w="624" w:type="dxa"/>
          </w:tcPr>
          <w:p w14:paraId="2339505D" w14:textId="77777777" w:rsidR="00446073" w:rsidRDefault="00446073" w:rsidP="00C62AE9">
            <w:pPr>
              <w:pStyle w:val="TableText"/>
            </w:pPr>
          </w:p>
        </w:tc>
        <w:tc>
          <w:tcPr>
            <w:tcW w:w="7143" w:type="dxa"/>
            <w:gridSpan w:val="2"/>
            <w:hideMark/>
          </w:tcPr>
          <w:p w14:paraId="68CCBA01" w14:textId="60B34BCD" w:rsidR="00446073" w:rsidRDefault="00446073" w:rsidP="00C73374">
            <w:pPr>
              <w:pStyle w:val="TableBlock"/>
              <w:rPr>
                <w:sz w:val="28"/>
                <w:rtl/>
              </w:rPr>
            </w:pPr>
            <w:r>
              <w:rPr>
                <w:rFonts w:hint="cs"/>
                <w:sz w:val="28"/>
                <w:rtl/>
              </w:rPr>
              <w:t>(ב)</w:t>
            </w:r>
            <w:r>
              <w:rPr>
                <w:rFonts w:hint="cs"/>
                <w:sz w:val="28"/>
                <w:rtl/>
              </w:rPr>
              <w:tab/>
              <w:t>על אף האמור בסעיף קטן (א), תחילתם של סעיפים 1 ו-2(2) לחוק זה 60 ימים לאחר שוועדת החוץ והביטחון של הכנסת והוועדה לקידום מעמד האישה ו</w:t>
            </w:r>
            <w:r w:rsidR="00C73374">
              <w:rPr>
                <w:rFonts w:hint="cs"/>
                <w:sz w:val="28"/>
                <w:rtl/>
              </w:rPr>
              <w:t>ל</w:t>
            </w:r>
            <w:r>
              <w:rPr>
                <w:rFonts w:hint="cs"/>
                <w:sz w:val="28"/>
                <w:rtl/>
              </w:rPr>
              <w:t xml:space="preserve">שוויון מגדרי של הכנסת פרסמו הודעה ברשומות שלפיה הן מאשרות כי יושמו הוראות סעיף 16א(א) לחוק העיקרי כנוסחו </w:t>
            </w:r>
            <w:r w:rsidR="00C73374">
              <w:rPr>
                <w:rFonts w:hint="cs"/>
                <w:sz w:val="28"/>
                <w:rtl/>
              </w:rPr>
              <w:t>ב</w:t>
            </w:r>
            <w:r>
              <w:rPr>
                <w:rFonts w:hint="cs"/>
                <w:sz w:val="28"/>
                <w:rtl/>
              </w:rPr>
              <w:t>חוק זה.</w:t>
            </w:r>
          </w:p>
        </w:tc>
      </w:tr>
    </w:tbl>
    <w:p w14:paraId="11A3FDA4" w14:textId="77777777" w:rsidR="00446073" w:rsidRDefault="00446073" w:rsidP="00446073">
      <w:pPr>
        <w:pStyle w:val="HeadDivreiHesber"/>
        <w:rPr>
          <w:rtl/>
        </w:rPr>
      </w:pPr>
    </w:p>
    <w:p w14:paraId="5B464628" w14:textId="77777777" w:rsidR="00446073" w:rsidRDefault="00446073" w:rsidP="00446073">
      <w:pPr>
        <w:pStyle w:val="HeadDivreiHesber"/>
        <w:rPr>
          <w:rtl/>
        </w:rPr>
      </w:pPr>
      <w:r w:rsidRPr="0027450A">
        <w:rPr>
          <w:rFonts w:hint="cs"/>
          <w:rtl/>
        </w:rPr>
        <w:lastRenderedPageBreak/>
        <w:t>דברי הסבר</w:t>
      </w:r>
    </w:p>
    <w:p w14:paraId="31FE549C" w14:textId="77777777" w:rsidR="00446073" w:rsidRDefault="00446073" w:rsidP="00446073">
      <w:pPr>
        <w:pStyle w:val="Hesber"/>
        <w:rPr>
          <w:rtl/>
        </w:rPr>
      </w:pPr>
      <w:r>
        <w:rPr>
          <w:rFonts w:hint="cs"/>
          <w:rtl/>
        </w:rPr>
        <w:t xml:space="preserve">מודל השירות כיום בצה"ל, מקורו בשנות החמישים של המאה הקודמת, והוא מתבסס על מיצוי כוח אדם בראש ובראשונה לפי מינו של המתגייס. יש לזנוח מודל זה ולעבור למודל של מיצוי כוח אדם על בסיס העיקרון של "האדם הנכון במקום הנכון". המשמעות היא שנדרשת השוואה </w:t>
      </w:r>
      <w:bookmarkStart w:id="7" w:name="_Hlk68429841"/>
      <w:r>
        <w:rPr>
          <w:rFonts w:hint="cs"/>
          <w:rtl/>
        </w:rPr>
        <w:t>מלאה בכל היבטי מודל הגיוס המבניים בו זמנית: אורך השירות, פתיחת מקצועות על פי קריטריונים מקצועיים רלוונטיים והשוואת פלטפורמת המיון. כן תתבצע האחדת הכשרות לכדי הכשרות משותפות, למעט במקרים חריגים.</w:t>
      </w:r>
      <w:bookmarkEnd w:id="7"/>
      <w:r>
        <w:rPr>
          <w:rFonts w:hint="cs"/>
          <w:rtl/>
        </w:rPr>
        <w:t xml:space="preserve"> טיפול רק באחד מממדי השירות עלול להעמיק את הפער באופן שאינו תורם לשוויון שירות הנשים בצה"ל בכך שיעצים חובות ללא זכויות. מכאן, שנדרש לטפל בכול אחד מהממדים בעוצמות משתנות ומתאימות.</w:t>
      </w:r>
    </w:p>
    <w:p w14:paraId="0500A39E" w14:textId="77777777" w:rsidR="00446073" w:rsidRDefault="00446073" w:rsidP="00446073">
      <w:pPr>
        <w:pStyle w:val="Hesber"/>
      </w:pPr>
      <w:r>
        <w:rPr>
          <w:rFonts w:hint="cs"/>
          <w:rtl/>
        </w:rPr>
        <w:t xml:space="preserve">שינוי במודל השירות יוביל לשיפור תפקודי, וכנובע מכך יהווה ערך מוסף עבור צה"ל בהיבטים של לגיטימציה חברתית כללית, ביסוס חווית ערך השירות עבור הפרט, ובאמצעותו הגברת המוטיבציה לשירות, מיצוי כוח האדם העומד לרשות הצבא וחיזוק מודל "צבא העם". מעבר לכך, לצה"ל תפקיד מרכזי בעיצוב זהותם של כל מתגייס ומתגייסת כאזרחי החברה וכן בעיצוב פני החברה הישראלית בכללותה. לפיכך להבטחת שוויון הזדמנויות אמיתי בצה"ל לנשים ולגברים יש השלכה על שוויון ההזדמנויות בחברה הישראלית אף לאחר תקופת השירות הצבאי. </w:t>
      </w:r>
    </w:p>
    <w:p w14:paraId="049187B2" w14:textId="5C91A678" w:rsidR="00446073" w:rsidRDefault="00446073" w:rsidP="00446073">
      <w:pPr>
        <w:pStyle w:val="Hesber"/>
      </w:pPr>
      <w:r>
        <w:rPr>
          <w:rFonts w:hint="cs"/>
          <w:rtl/>
        </w:rPr>
        <w:t xml:space="preserve">כיוון שמדובר במהלך בעל משמעויות חברתיות עמוקות, החורגות מגדר צה"ל, חשוב שתהיה בקרה צמודה על יישום השינוי, כולל בקרה חיצונית לצה"ל, ולכן </w:t>
      </w:r>
      <w:bookmarkStart w:id="8" w:name="_Hlk68429867"/>
      <w:r>
        <w:rPr>
          <w:rFonts w:hint="cs"/>
          <w:rtl/>
        </w:rPr>
        <w:t>מוצע ששר הביטחון יגיש דוח לוועדת החוץ והביטחון של הכנסת, אחת לחצי שנה, על יישום התיקו</w:t>
      </w:r>
      <w:r w:rsidR="00C73374">
        <w:rPr>
          <w:rFonts w:hint="cs"/>
          <w:rtl/>
        </w:rPr>
        <w:t>ן, וכן ימציא העתקו של דוח</w:t>
      </w:r>
      <w:r>
        <w:rPr>
          <w:rFonts w:hint="cs"/>
          <w:rtl/>
        </w:rPr>
        <w:t xml:space="preserve"> זה לוועדה לקידום מעמד האישה </w:t>
      </w:r>
      <w:r w:rsidR="00C73374">
        <w:rPr>
          <w:rFonts w:hint="cs"/>
          <w:rtl/>
        </w:rPr>
        <w:t xml:space="preserve">ולשוויון מגדרי </w:t>
      </w:r>
      <w:r>
        <w:rPr>
          <w:rFonts w:hint="cs"/>
          <w:rtl/>
        </w:rPr>
        <w:t>של הכנסת, וכן שתוקם ועדה מייעצת לשר הביטחון למעקב אחר יישומו של סעיף זה, בהתאם לסעיף 53 לחוק שירות ביטחון</w:t>
      </w:r>
      <w:r w:rsidR="00C73374">
        <w:rPr>
          <w:rFonts w:hint="cs"/>
          <w:rtl/>
        </w:rPr>
        <w:t xml:space="preserve"> [נוסח משולב], התשמ"ו</w:t>
      </w:r>
      <w:r w:rsidR="00C73374">
        <w:rPr>
          <w:rFonts w:hint="eastAsia"/>
          <w:rtl/>
        </w:rPr>
        <w:t>–</w:t>
      </w:r>
      <w:r w:rsidR="00C73374">
        <w:rPr>
          <w:rFonts w:hint="cs"/>
          <w:rtl/>
        </w:rPr>
        <w:t>1986</w:t>
      </w:r>
      <w:r>
        <w:rPr>
          <w:rFonts w:hint="cs"/>
          <w:rtl/>
        </w:rPr>
        <w:t>, אשר תכלול נציגות מטעם הרשות לקידום מעמד האישה.</w:t>
      </w:r>
    </w:p>
    <w:p w14:paraId="5E0F59FB" w14:textId="77777777" w:rsidR="00446073" w:rsidRDefault="00446073" w:rsidP="00446073">
      <w:pPr>
        <w:pStyle w:val="Hesber"/>
        <w:rPr>
          <w:rtl/>
        </w:rPr>
      </w:pPr>
      <w:r>
        <w:rPr>
          <w:rFonts w:hint="cs"/>
          <w:rtl/>
        </w:rPr>
        <w:t xml:space="preserve">עוד מוצע להתנות כל הארכה של שירות נשים בצה"ל ביישום מודל האחדה המתואר, על כל אופניו – תהליכי המיון, השיבוץ, התקינה וההכשרה, המסלולים המקצועיים ואופקי הקידום. </w:t>
      </w:r>
    </w:p>
    <w:bookmarkEnd w:id="8"/>
    <w:p w14:paraId="0DFBD35E" w14:textId="54A4078F" w:rsidR="00446073" w:rsidRDefault="00446073" w:rsidP="00A85E45">
      <w:pPr>
        <w:pStyle w:val="Hesber"/>
        <w:rPr>
          <w:rtl/>
        </w:rPr>
      </w:pPr>
      <w:r>
        <w:rPr>
          <w:rFonts w:hint="cs"/>
          <w:rtl/>
        </w:rPr>
        <w:t>הצעות חוק זהות הונחו על שולחן הכנסת העשרים על ידי חברות הכנסת מרב מיכאלי ורחל עזריה (פ/3196/20), על שולחן הכנסת העשרים ואחת על ידי חברת הכנסת מיכל רוזין (פ/412/21</w:t>
      </w:r>
      <w:r w:rsidR="00A85E45">
        <w:rPr>
          <w:rFonts w:hint="cs"/>
          <w:rtl/>
        </w:rPr>
        <w:t xml:space="preserve">), על שולחן הכנסת העשרים ושתיים ועל שולחן הכנסת העשרים ושלוש </w:t>
      </w:r>
      <w:r>
        <w:rPr>
          <w:rFonts w:hint="cs"/>
          <w:rtl/>
        </w:rPr>
        <w:t>על ידי חברת הכ</w:t>
      </w:r>
      <w:r w:rsidR="00A85E45">
        <w:rPr>
          <w:rFonts w:hint="cs"/>
          <w:rtl/>
        </w:rPr>
        <w:t xml:space="preserve">נסת מרב מיכאלי (פ/920/22; </w:t>
      </w:r>
      <w:r>
        <w:rPr>
          <w:rFonts w:hint="cs"/>
          <w:rtl/>
        </w:rPr>
        <w:t>פ/746/23), על שולחן הכנסת העשרים וארבע על ידי חברת הכנסת מרב מיכאלי וקבוצת חברי הכנסת (</w:t>
      </w:r>
      <w:r w:rsidRPr="00DD0690">
        <w:rPr>
          <w:rtl/>
        </w:rPr>
        <w:t>פ/472/24</w:t>
      </w:r>
      <w:r>
        <w:rPr>
          <w:rFonts w:hint="cs"/>
          <w:rtl/>
        </w:rPr>
        <w:t>) ועל שולחן הכנסת העשרים וחמש על ידי חברת הכנסת מרב מיכאלי (פ/2041/25; הוסרה מסדר היום ביום י' באדר ב' התשפ"ד (20 במרץ 2024)).</w:t>
      </w:r>
    </w:p>
    <w:p w14:paraId="10E8872E" w14:textId="2C4D91FC" w:rsidR="00446073" w:rsidRDefault="00446073" w:rsidP="00446073">
      <w:pPr>
        <w:pStyle w:val="Hesber"/>
        <w:rPr>
          <w:rtl/>
        </w:rPr>
      </w:pPr>
      <w:r>
        <w:rPr>
          <w:rFonts w:hint="cs"/>
          <w:rtl/>
        </w:rPr>
        <w:t>הצעת החוק זהה ל</w:t>
      </w:r>
      <w:bookmarkStart w:id="9" w:name="_GoBack"/>
      <w:bookmarkEnd w:id="9"/>
      <w:r w:rsidRPr="00DD0690">
        <w:rPr>
          <w:rtl/>
        </w:rPr>
        <w:t>פ/</w:t>
      </w:r>
      <w:r>
        <w:rPr>
          <w:rFonts w:hint="cs"/>
          <w:rtl/>
        </w:rPr>
        <w:t>2041/25 ולפיכך לא נבדקה מחדש על ידי הלשכה המשפטית של הכנסת.</w:t>
      </w:r>
    </w:p>
    <w:p w14:paraId="07A59B98" w14:textId="77777777" w:rsidR="00446073" w:rsidRDefault="00446073" w:rsidP="00446073">
      <w:pPr>
        <w:pStyle w:val="Hesber"/>
        <w:rPr>
          <w:rtl/>
        </w:rPr>
      </w:pPr>
    </w:p>
    <w:p w14:paraId="7F6961CB" w14:textId="77777777" w:rsidR="00E13C27" w:rsidRPr="00446073" w:rsidRDefault="00E13C27" w:rsidP="00446073">
      <w:pPr>
        <w:rPr>
          <w:rtl/>
        </w:rPr>
      </w:pPr>
    </w:p>
    <w:p w14:paraId="74C4FE4C" w14:textId="77777777" w:rsidR="00E55D8E" w:rsidRDefault="00C73374">
      <w:pPr>
        <w:spacing w:before="0" w:line="360" w:lineRule="auto"/>
        <w:jc w:val="left"/>
      </w:pPr>
      <w:bookmarkStart w:id="10" w:name="selectedDocDateB"/>
      <w:bookmarkEnd w:id="10"/>
      <w:r>
        <w:rPr>
          <w:rFonts w:ascii="David" w:eastAsia="David" w:hAnsi="David" w:cs="David" w:hint="cs"/>
          <w:sz w:val="26"/>
          <w:szCs w:val="26"/>
          <w:rtl/>
        </w:rPr>
        <w:t>--------------------------------</w:t>
      </w:r>
    </w:p>
    <w:p w14:paraId="445C9DAC" w14:textId="77777777" w:rsidR="00E55D8E" w:rsidRDefault="00C73374">
      <w:pPr>
        <w:spacing w:before="0" w:line="360" w:lineRule="auto"/>
        <w:jc w:val="left"/>
      </w:pPr>
      <w:r>
        <w:rPr>
          <w:rFonts w:ascii="David" w:eastAsia="David" w:hAnsi="David" w:cs="David" w:hint="cs"/>
          <w:sz w:val="26"/>
          <w:szCs w:val="26"/>
          <w:rtl/>
        </w:rPr>
        <w:t>הוגשה ליו"ר הכנסת ו</w:t>
      </w:r>
      <w:r>
        <w:rPr>
          <w:rFonts w:ascii="David" w:eastAsia="David" w:hAnsi="David" w:cs="David" w:hint="cs"/>
          <w:sz w:val="26"/>
          <w:szCs w:val="26"/>
          <w:rtl/>
        </w:rPr>
        <w:t>הסגנים</w:t>
      </w:r>
    </w:p>
    <w:p w14:paraId="3019B743" w14:textId="77777777" w:rsidR="00E55D8E" w:rsidRDefault="00C73374">
      <w:pPr>
        <w:spacing w:before="0" w:line="360" w:lineRule="auto"/>
        <w:jc w:val="left"/>
      </w:pPr>
      <w:r>
        <w:rPr>
          <w:rFonts w:ascii="David" w:eastAsia="David" w:hAnsi="David" w:cs="David" w:hint="cs"/>
          <w:sz w:val="26"/>
          <w:szCs w:val="26"/>
          <w:rtl/>
        </w:rPr>
        <w:t>והונחה על שולחן הכנסת ביום</w:t>
      </w:r>
    </w:p>
    <w:p w14:paraId="65984EC5" w14:textId="77777777" w:rsidR="00E55D8E" w:rsidRDefault="00C73374">
      <w:pPr>
        <w:spacing w:before="0" w:line="360" w:lineRule="auto"/>
        <w:jc w:val="left"/>
      </w:pPr>
      <w:r>
        <w:rPr>
          <w:rFonts w:ascii="David" w:eastAsia="David" w:hAnsi="David" w:cs="David" w:hint="cs"/>
          <w:sz w:val="26"/>
          <w:szCs w:val="26"/>
          <w:rtl/>
        </w:rPr>
        <w:t xml:space="preserve">ט"ז בטבת התשפ"ו (05.01.2026) </w:t>
      </w:r>
    </w:p>
    <w:p w14:paraId="5ABBE174" w14:textId="77777777" w:rsidR="00E55D8E" w:rsidRDefault="00E55D8E">
      <w:pPr>
        <w:spacing w:before="0" w:line="276" w:lineRule="auto"/>
        <w:jc w:val="left"/>
      </w:pPr>
    </w:p>
    <w:sectPr w:rsidR="00E55D8E"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5EE2FD8E"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C73374">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774EBBC1" w14:textId="77777777" w:rsidR="00446073" w:rsidRPr="001B1C59" w:rsidRDefault="00446073" w:rsidP="00446073">
      <w:pPr>
        <w:pStyle w:val="a4"/>
        <w:rPr>
          <w:rtl/>
        </w:rPr>
      </w:pPr>
      <w:r w:rsidRPr="001B1C59">
        <w:rPr>
          <w:rStyle w:val="a6"/>
        </w:rPr>
        <w:footnoteRef/>
      </w:r>
      <w:r w:rsidRPr="001B1C59">
        <w:rPr>
          <w:rFonts w:hint="cs"/>
          <w:rtl/>
        </w:rPr>
        <w:t xml:space="preserve"> </w:t>
      </w:r>
      <w:r w:rsidRPr="00E42B79">
        <w:rPr>
          <w:rStyle w:val="Hyperlink"/>
          <w:rFonts w:hint="eastAsia"/>
          <w:color w:val="auto"/>
          <w:sz w:val="18"/>
          <w:u w:val="none"/>
          <w:rtl/>
        </w:rPr>
        <w:t>ס</w:t>
      </w:r>
      <w:r w:rsidRPr="00E42B79">
        <w:rPr>
          <w:rStyle w:val="Hyperlink"/>
          <w:color w:val="auto"/>
          <w:sz w:val="18"/>
          <w:u w:val="none"/>
          <w:rtl/>
        </w:rPr>
        <w:t xml:space="preserve">"ח התשמ"ו, </w:t>
      </w:r>
      <w:r w:rsidRPr="001B1C59">
        <w:rPr>
          <w:rFonts w:hint="eastAsia"/>
          <w:rtl/>
        </w:rPr>
        <w:t>עמ</w:t>
      </w:r>
      <w:r w:rsidRPr="001B1C59">
        <w:rPr>
          <w:rtl/>
        </w:rPr>
        <w:t>' 107.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22F94"/>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46073"/>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D2930"/>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A45"/>
    <w:rsid w:val="00A26BD6"/>
    <w:rsid w:val="00A443CF"/>
    <w:rsid w:val="00A6611D"/>
    <w:rsid w:val="00A82CB7"/>
    <w:rsid w:val="00A85E45"/>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73374"/>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55D8E"/>
    <w:rsid w:val="00E5695C"/>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99ED66D6-E296-40CD-846D-46D01FA9F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styleId="Hyperlink">
    <w:name w:val="Hyperlink"/>
    <w:basedOn w:val="a0"/>
    <w:uiPriority w:val="99"/>
    <w:semiHidden/>
    <w:unhideWhenUsed/>
    <w:rsid w:val="00A26A45"/>
    <w:rPr>
      <w:color w:val="0000FF" w:themeColor="hyperlink"/>
      <w:u w:val="single"/>
    </w:rPr>
  </w:style>
  <w:style w:type="character" w:customStyle="1" w:styleId="a5">
    <w:name w:val="טקסט הערת שוליים תו"/>
    <w:basedOn w:val="a0"/>
    <w:link w:val="a4"/>
    <w:semiHidden/>
    <w:rsid w:val="00A26A45"/>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290d5b49-c690-4c6f-bbb9-1e50dab33eee"/>
    <ds:schemaRef ds:uri="http://purl.org/dc/dcmitype/"/>
    <ds:schemaRef ds:uri="http://purl.org/dc/terms/"/>
    <ds:schemaRef ds:uri="http://www.w3.org/XML/1998/namespac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A50ACE3F-BFA5-476E-8019-AB27E7682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F9E1B5-EBFE-4431-8903-B24C1201C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640</Words>
  <Characters>3203</Characters>
  <Application>Microsoft Office Word</Application>
  <DocSecurity>0</DocSecurity>
  <Lines>26</Lines>
  <Paragraphs>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13</cp:revision>
  <cp:lastPrinted>2013-07-04T08:25:00Z</cp:lastPrinted>
  <dcterms:created xsi:type="dcterms:W3CDTF">2015-04-20T09:58:00Z</dcterms:created>
  <dcterms:modified xsi:type="dcterms:W3CDTF">2026-01-04T09:59:00Z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2238565</vt:r8>
  </property>
</Properties>
</file>