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Default="004033D8" w:rsidP="00E635A2">
      <w:pPr>
        <w:jc w:val="right"/>
        <w:rPr>
          <w:b/>
          <w:bCs/>
          <w:sz w:val="20"/>
          <w:szCs w:val="20"/>
          <w:rtl/>
        </w:rPr>
      </w:pPr>
      <w:r w:rsidRPr="00E635A2">
        <w:rPr>
          <w:rFonts w:hint="cs"/>
          <w:sz w:val="20"/>
          <w:szCs w:val="20"/>
          <w:rtl/>
        </w:rPr>
        <w:t xml:space="preserve">מספר פנימי: </w:t>
      </w:r>
      <w:bookmarkStart w:id="0" w:name="LGS_Internal_ID"/>
      <w:r>
        <w:rPr>
          <w:rFonts w:hint="cs"/>
          <w:sz w:val="20"/>
          <w:szCs w:val="20"/>
          <w:rtl/>
        </w:rPr>
        <w:t>2235679</w:t>
      </w:r>
      <w:bookmarkEnd w:id="0"/>
    </w:p>
    <w:p w14:paraId="3F3389C7" w14:textId="77777777" w:rsidR="00AF3150" w:rsidRDefault="00AF3150" w:rsidP="00E635A2">
      <w:pPr>
        <w:jc w:val="right"/>
        <w:rPr>
          <w:b/>
          <w:bCs/>
          <w:sz w:val="20"/>
          <w:szCs w:val="20"/>
          <w:rtl/>
        </w:rPr>
      </w:pPr>
    </w:p>
    <w:p w14:paraId="20ECADC3" w14:textId="77777777" w:rsidR="00AF3150" w:rsidRPr="00DB7060" w:rsidRDefault="00AF3150" w:rsidP="00AF3150">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32D2CA30" w14:textId="77777777" w:rsidR="00AF3150" w:rsidRPr="00F67051" w:rsidRDefault="00AF3150" w:rsidP="00AF3150">
      <w:pPr>
        <w:rPr>
          <w:b/>
          <w:bCs/>
          <w:sz w:val="26"/>
          <w:szCs w:val="26"/>
          <w:rtl/>
        </w:rPr>
      </w:pPr>
    </w:p>
    <w:p w14:paraId="254E295E" w14:textId="6A04BCC8" w:rsidR="00AF3150" w:rsidRPr="00CF1AA2" w:rsidRDefault="00AF3150" w:rsidP="00574226">
      <w:pPr>
        <w:pStyle w:val="David"/>
        <w:spacing w:before="102"/>
        <w:ind w:left="3544"/>
        <w:rPr>
          <w:b/>
          <w:bCs/>
          <w:sz w:val="16"/>
          <w:szCs w:val="16"/>
          <w:rtl/>
        </w:rPr>
      </w:pPr>
      <w:bookmarkStart w:id="2" w:name="LGS_Initiators_List"/>
      <w:r>
        <w:rPr>
          <w:b/>
          <w:bCs/>
          <w:rtl/>
        </w:rPr>
        <w:t>יוזמת:</w:t>
      </w:r>
      <w:r>
        <w:tab/>
      </w:r>
      <w:r>
        <w:rPr>
          <w:b/>
          <w:bCs/>
          <w:rtl/>
        </w:rPr>
        <w:t xml:space="preserve">      חברת הכנסת</w:t>
      </w:r>
      <w:bookmarkEnd w:id="2"/>
      <w:r w:rsidRPr="00F67051">
        <w:rPr>
          <w:b/>
          <w:bCs/>
        </w:rPr>
        <w:tab/>
      </w:r>
      <w:bookmarkStart w:id="3" w:name="LGS_PM_Names"/>
      <w:r>
        <w:rPr>
          <w:rFonts w:hint="cs"/>
          <w:b/>
          <w:bCs/>
          <w:rtl/>
        </w:rPr>
        <w:t>טלי גוטליב</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4295BB5D" w14:textId="77777777" w:rsidR="00AF3150" w:rsidRPr="00904591" w:rsidRDefault="00AF3150" w:rsidP="00AF3150">
      <w:pPr>
        <w:pStyle w:val="David"/>
        <w:ind w:left="3544"/>
        <w:jc w:val="center"/>
        <w:rPr>
          <w:sz w:val="4"/>
          <w:szCs w:val="4"/>
          <w:rtl/>
        </w:rPr>
      </w:pPr>
      <w:r>
        <w:t>______________________________________________</w:t>
      </w:r>
    </w:p>
    <w:p w14:paraId="0541ABD1" w14:textId="50311288" w:rsidR="00AF3150" w:rsidRPr="00E06736" w:rsidRDefault="00AF3150" w:rsidP="00574226">
      <w:pPr>
        <w:pStyle w:val="David"/>
        <w:spacing w:line="240" w:lineRule="auto"/>
        <w:ind w:left="6424" w:firstLine="56"/>
        <w:rPr>
          <w:rtl/>
        </w:rPr>
      </w:pPr>
      <w:bookmarkStart w:id="6" w:name="Private_Number"/>
      <w:r>
        <w:rPr>
          <w:rFonts w:hint="cs"/>
          <w:rtl/>
        </w:rPr>
        <w:t>פ/6425/25</w:t>
      </w:r>
      <w:bookmarkEnd w:id="6"/>
    </w:p>
    <w:p w14:paraId="436919E9" w14:textId="77777777" w:rsidR="00AF3150" w:rsidRDefault="00AF3150" w:rsidP="00AF3150">
      <w:pPr>
        <w:ind w:left="2880" w:firstLine="720"/>
        <w:rPr>
          <w:sz w:val="26"/>
          <w:szCs w:val="26"/>
          <w:rtl/>
        </w:rPr>
      </w:pPr>
    </w:p>
    <w:p w14:paraId="4099440D" w14:textId="77777777" w:rsidR="00AF3150" w:rsidRDefault="00AF3150" w:rsidP="00AF3150">
      <w:pPr>
        <w:pStyle w:val="HeadHatzaotHok"/>
        <w:rPr>
          <w:rtl/>
        </w:rPr>
      </w:pPr>
      <w:bookmarkStart w:id="7" w:name="LGS_Subject"/>
      <w:r>
        <w:rPr>
          <w:rFonts w:hint="cs"/>
          <w:rtl/>
        </w:rPr>
        <w:t>הצעת חוק בתי המשפט (תיקון – סייגים לעניין חברי הכנסת), התשפ"ו–2025</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AF3150" w:rsidRPr="00AE1E65" w14:paraId="5CD530AE" w14:textId="77777777" w:rsidTr="00574226">
        <w:trPr>
          <w:cantSplit/>
        </w:trPr>
        <w:tc>
          <w:tcPr>
            <w:tcW w:w="1871" w:type="dxa"/>
          </w:tcPr>
          <w:p w14:paraId="52D48D39" w14:textId="77777777" w:rsidR="00AF3150" w:rsidRPr="00AE1E65" w:rsidRDefault="00AF3150" w:rsidP="006D66AE">
            <w:pPr>
              <w:pStyle w:val="TableSideHeading"/>
              <w:rPr>
                <w:sz w:val="26"/>
                <w:rtl/>
              </w:rPr>
            </w:pPr>
            <w:r w:rsidRPr="00AE1E65">
              <w:rPr>
                <w:sz w:val="26"/>
                <w:rtl/>
              </w:rPr>
              <w:t>תיקון סעיף 68</w:t>
            </w:r>
          </w:p>
        </w:tc>
        <w:tc>
          <w:tcPr>
            <w:tcW w:w="624" w:type="dxa"/>
          </w:tcPr>
          <w:p w14:paraId="3F3AB021" w14:textId="77777777" w:rsidR="00AF3150" w:rsidRPr="00AE1E65" w:rsidRDefault="00AF3150" w:rsidP="006D66AE">
            <w:pPr>
              <w:pStyle w:val="TableText"/>
              <w:keepLines w:val="0"/>
              <w:rPr>
                <w:sz w:val="26"/>
              </w:rPr>
            </w:pPr>
            <w:r w:rsidRPr="00AE1E65">
              <w:rPr>
                <w:rFonts w:hint="cs"/>
                <w:sz w:val="26"/>
                <w:rtl/>
              </w:rPr>
              <w:t>1.</w:t>
            </w:r>
          </w:p>
        </w:tc>
        <w:tc>
          <w:tcPr>
            <w:tcW w:w="7143" w:type="dxa"/>
          </w:tcPr>
          <w:p w14:paraId="4983B575" w14:textId="77777777" w:rsidR="00AF3150" w:rsidRPr="00AE1E65" w:rsidRDefault="00AF3150" w:rsidP="00574226">
            <w:pPr>
              <w:pStyle w:val="TableBlock"/>
              <w:rPr>
                <w:sz w:val="26"/>
              </w:rPr>
            </w:pPr>
            <w:r w:rsidRPr="00AE1E65">
              <w:rPr>
                <w:rFonts w:hint="cs"/>
                <w:sz w:val="26"/>
                <w:rtl/>
              </w:rPr>
              <w:t>ב</w:t>
            </w:r>
            <w:r>
              <w:rPr>
                <w:sz w:val="26"/>
                <w:rtl/>
              </w:rPr>
              <w:t>חוק בתי המשפט</w:t>
            </w:r>
            <w:r w:rsidRPr="00AE1E65">
              <w:rPr>
                <w:sz w:val="26"/>
                <w:rtl/>
              </w:rPr>
              <w:t xml:space="preserve"> [נוסח משולב]</w:t>
            </w:r>
            <w:r w:rsidRPr="00AE1E65">
              <w:rPr>
                <w:rFonts w:hint="cs"/>
                <w:sz w:val="26"/>
                <w:rtl/>
              </w:rPr>
              <w:t>,</w:t>
            </w:r>
            <w:r w:rsidRPr="00AE1E65">
              <w:rPr>
                <w:sz w:val="26"/>
                <w:rtl/>
              </w:rPr>
              <w:t xml:space="preserve"> התשמ"ד</w:t>
            </w:r>
            <w:r w:rsidRPr="00AE1E65">
              <w:rPr>
                <w:rFonts w:hint="cs"/>
                <w:sz w:val="26"/>
                <w:rtl/>
              </w:rPr>
              <w:t>–</w:t>
            </w:r>
            <w:r w:rsidRPr="00AE1E65">
              <w:rPr>
                <w:sz w:val="26"/>
                <w:rtl/>
              </w:rPr>
              <w:t>1984</w:t>
            </w:r>
            <w:r w:rsidRPr="00574226">
              <w:rPr>
                <w:rStyle w:val="a5"/>
                <w:rFonts w:ascii="David" w:hAnsi="David"/>
                <w:sz w:val="26"/>
                <w:rtl/>
              </w:rPr>
              <w:footnoteReference w:id="2"/>
            </w:r>
            <w:r w:rsidRPr="00AE1E65">
              <w:rPr>
                <w:rFonts w:hint="cs"/>
                <w:sz w:val="26"/>
                <w:rtl/>
              </w:rPr>
              <w:t xml:space="preserve"> (להלן </w:t>
            </w:r>
            <w:r w:rsidRPr="00AE1E65">
              <w:rPr>
                <w:rFonts w:hint="eastAsia"/>
                <w:sz w:val="26"/>
                <w:rtl/>
              </w:rPr>
              <w:t>–</w:t>
            </w:r>
            <w:r w:rsidRPr="00AE1E65">
              <w:rPr>
                <w:rFonts w:hint="cs"/>
                <w:sz w:val="26"/>
                <w:rtl/>
              </w:rPr>
              <w:t xml:space="preserve"> החוק העיקרי), בסעיף 68, אחרי סעיף קטן (ד) יבוא:</w:t>
            </w:r>
          </w:p>
        </w:tc>
      </w:tr>
      <w:tr w:rsidR="00AF3150" w:rsidRPr="00AE1E65" w14:paraId="1E673119" w14:textId="77777777" w:rsidTr="00574226">
        <w:trPr>
          <w:cantSplit/>
        </w:trPr>
        <w:tc>
          <w:tcPr>
            <w:tcW w:w="1871" w:type="dxa"/>
          </w:tcPr>
          <w:p w14:paraId="79B9619E" w14:textId="77777777" w:rsidR="00AF3150" w:rsidRPr="00AE1E65" w:rsidRDefault="00AF3150" w:rsidP="006D66AE">
            <w:pPr>
              <w:pStyle w:val="TableSideHeading"/>
              <w:keepLines w:val="0"/>
              <w:rPr>
                <w:rFonts w:ascii="David" w:hAnsi="David"/>
                <w:sz w:val="26"/>
                <w:rtl/>
              </w:rPr>
            </w:pPr>
          </w:p>
        </w:tc>
        <w:tc>
          <w:tcPr>
            <w:tcW w:w="624" w:type="dxa"/>
          </w:tcPr>
          <w:p w14:paraId="57E2E581" w14:textId="77777777" w:rsidR="00AF3150" w:rsidRPr="00AE1E65" w:rsidRDefault="00AF3150" w:rsidP="006D66AE">
            <w:pPr>
              <w:pStyle w:val="TableText"/>
              <w:rPr>
                <w:sz w:val="26"/>
                <w:rtl/>
              </w:rPr>
            </w:pPr>
          </w:p>
        </w:tc>
        <w:tc>
          <w:tcPr>
            <w:tcW w:w="7143" w:type="dxa"/>
          </w:tcPr>
          <w:p w14:paraId="368B707D" w14:textId="77777777" w:rsidR="00AF3150" w:rsidRPr="00AE1E65" w:rsidRDefault="00AF3150" w:rsidP="00574226">
            <w:pPr>
              <w:pStyle w:val="TableBlock"/>
              <w:rPr>
                <w:sz w:val="26"/>
                <w:rtl/>
              </w:rPr>
            </w:pPr>
            <w:r w:rsidRPr="00AE1E65">
              <w:rPr>
                <w:rFonts w:hint="cs"/>
                <w:sz w:val="26"/>
                <w:rtl/>
              </w:rPr>
              <w:t>"(ד1)</w:t>
            </w:r>
            <w:r w:rsidRPr="00AE1E65">
              <w:rPr>
                <w:sz w:val="26"/>
                <w:rtl/>
              </w:rPr>
              <w:tab/>
            </w:r>
            <w:r w:rsidRPr="00AE1E65">
              <w:rPr>
                <w:rFonts w:hint="cs"/>
                <w:sz w:val="26"/>
                <w:rtl/>
              </w:rPr>
              <w:t xml:space="preserve">החליט בית משפט על עריכת דיון בדלתיים סגורות, לא תחול החלטתו על </w:t>
            </w:r>
            <w:r w:rsidRPr="00AE1E65">
              <w:rPr>
                <w:sz w:val="26"/>
                <w:rtl/>
              </w:rPr>
              <w:t xml:space="preserve">מי שחל עליו חוק חסינות חברי הכנסת, זכויותיהם וחובותיהם, </w:t>
            </w:r>
            <w:r w:rsidRPr="00AE1E65">
              <w:rPr>
                <w:rFonts w:hint="cs"/>
                <w:sz w:val="26"/>
                <w:rtl/>
              </w:rPr>
              <w:t>ה</w:t>
            </w:r>
            <w:r w:rsidRPr="00AE1E65">
              <w:rPr>
                <w:sz w:val="26"/>
                <w:rtl/>
              </w:rPr>
              <w:t>תשי"א–1951</w:t>
            </w:r>
            <w:r w:rsidRPr="00574226">
              <w:rPr>
                <w:rStyle w:val="a5"/>
                <w:rFonts w:ascii="David" w:hAnsi="David"/>
                <w:sz w:val="26"/>
                <w:rtl/>
              </w:rPr>
              <w:footnoteReference w:id="3"/>
            </w:r>
            <w:r w:rsidRPr="00AE1E65">
              <w:rPr>
                <w:rFonts w:hint="cs"/>
                <w:sz w:val="26"/>
                <w:rtl/>
              </w:rPr>
              <w:t xml:space="preserve"> (להלן </w:t>
            </w:r>
            <w:r w:rsidRPr="00AE1E65">
              <w:rPr>
                <w:rFonts w:hint="eastAsia"/>
                <w:sz w:val="26"/>
                <w:rtl/>
              </w:rPr>
              <w:t>–</w:t>
            </w:r>
            <w:r w:rsidRPr="00AE1E65">
              <w:rPr>
                <w:rFonts w:hint="cs"/>
                <w:sz w:val="26"/>
                <w:rtl/>
              </w:rPr>
              <w:t xml:space="preserve"> חוק חסינות חברי הכנסת)</w:t>
            </w:r>
            <w:r w:rsidRPr="00AE1E65">
              <w:rPr>
                <w:sz w:val="26"/>
                <w:rtl/>
              </w:rPr>
              <w:t xml:space="preserve">, למעט </w:t>
            </w:r>
            <w:r w:rsidRPr="00AE1E65">
              <w:rPr>
                <w:rFonts w:hint="cs"/>
                <w:sz w:val="26"/>
                <w:rtl/>
              </w:rPr>
              <w:t>מטעמים של ביטחון המדינה או של סוד צבאי."</w:t>
            </w:r>
          </w:p>
        </w:tc>
      </w:tr>
      <w:tr w:rsidR="00AF3150" w:rsidRPr="00AE1E65" w14:paraId="507E49C3" w14:textId="77777777" w:rsidTr="00574226">
        <w:trPr>
          <w:cantSplit/>
        </w:trPr>
        <w:tc>
          <w:tcPr>
            <w:tcW w:w="1871" w:type="dxa"/>
          </w:tcPr>
          <w:p w14:paraId="77D33CB5" w14:textId="77777777" w:rsidR="00AF3150" w:rsidRPr="00AE1E65" w:rsidRDefault="00AF3150" w:rsidP="006D66AE">
            <w:pPr>
              <w:pStyle w:val="TableSideHeading"/>
              <w:keepLines w:val="0"/>
              <w:rPr>
                <w:rFonts w:ascii="David" w:hAnsi="David"/>
                <w:sz w:val="26"/>
                <w:rtl/>
              </w:rPr>
            </w:pPr>
            <w:r w:rsidRPr="00AE1E65">
              <w:rPr>
                <w:rFonts w:ascii="David" w:hAnsi="David" w:hint="cs"/>
                <w:sz w:val="26"/>
                <w:rtl/>
              </w:rPr>
              <w:t>תיקון סעיף 72</w:t>
            </w:r>
          </w:p>
        </w:tc>
        <w:tc>
          <w:tcPr>
            <w:tcW w:w="624" w:type="dxa"/>
          </w:tcPr>
          <w:p w14:paraId="7DCCE788" w14:textId="77777777" w:rsidR="00AF3150" w:rsidRPr="00AE1E65" w:rsidRDefault="00AF3150" w:rsidP="006D66AE">
            <w:pPr>
              <w:pStyle w:val="TableText"/>
              <w:rPr>
                <w:sz w:val="26"/>
                <w:rtl/>
              </w:rPr>
            </w:pPr>
            <w:r w:rsidRPr="00AE1E65">
              <w:rPr>
                <w:rFonts w:hint="cs"/>
                <w:sz w:val="26"/>
                <w:rtl/>
              </w:rPr>
              <w:t>2.</w:t>
            </w:r>
          </w:p>
        </w:tc>
        <w:tc>
          <w:tcPr>
            <w:tcW w:w="7143" w:type="dxa"/>
          </w:tcPr>
          <w:p w14:paraId="38DB4F4F" w14:textId="77777777" w:rsidR="00AF3150" w:rsidRPr="00AE1E65" w:rsidRDefault="00AF3150" w:rsidP="00574226">
            <w:pPr>
              <w:pStyle w:val="TableBlock"/>
              <w:rPr>
                <w:sz w:val="26"/>
                <w:rtl/>
              </w:rPr>
            </w:pPr>
            <w:r w:rsidRPr="00AE1E65">
              <w:rPr>
                <w:rFonts w:hint="cs"/>
                <w:sz w:val="26"/>
                <w:rtl/>
              </w:rPr>
              <w:t>בסעיף 72 לחוק העיקרי, אחרי סעיף קטן (ג) יבוא:</w:t>
            </w:r>
          </w:p>
        </w:tc>
      </w:tr>
      <w:tr w:rsidR="00AF3150" w:rsidRPr="00AE1E65" w14:paraId="6FAEB16D" w14:textId="77777777" w:rsidTr="00574226">
        <w:trPr>
          <w:cantSplit/>
        </w:trPr>
        <w:tc>
          <w:tcPr>
            <w:tcW w:w="1871" w:type="dxa"/>
          </w:tcPr>
          <w:p w14:paraId="17E0A34C" w14:textId="77777777" w:rsidR="00AF3150" w:rsidRPr="00AE1E65" w:rsidRDefault="00AF3150" w:rsidP="006D66AE">
            <w:pPr>
              <w:pStyle w:val="TableSideHeading"/>
              <w:keepLines w:val="0"/>
              <w:rPr>
                <w:rFonts w:ascii="David" w:hAnsi="David"/>
                <w:sz w:val="26"/>
                <w:rtl/>
              </w:rPr>
            </w:pPr>
          </w:p>
        </w:tc>
        <w:tc>
          <w:tcPr>
            <w:tcW w:w="624" w:type="dxa"/>
          </w:tcPr>
          <w:p w14:paraId="1FE54BD7" w14:textId="77777777" w:rsidR="00AF3150" w:rsidRPr="00AE1E65" w:rsidRDefault="00AF3150" w:rsidP="006D66AE">
            <w:pPr>
              <w:pStyle w:val="TableText"/>
              <w:rPr>
                <w:sz w:val="26"/>
                <w:rtl/>
              </w:rPr>
            </w:pPr>
          </w:p>
        </w:tc>
        <w:tc>
          <w:tcPr>
            <w:tcW w:w="7143" w:type="dxa"/>
          </w:tcPr>
          <w:p w14:paraId="3A9B378B" w14:textId="24097254" w:rsidR="00AF3150" w:rsidRPr="00AE1E65" w:rsidRDefault="00AF3150" w:rsidP="00574226">
            <w:pPr>
              <w:pStyle w:val="TableBlock"/>
              <w:rPr>
                <w:sz w:val="26"/>
                <w:rtl/>
              </w:rPr>
            </w:pPr>
            <w:r w:rsidRPr="00AE1E65">
              <w:rPr>
                <w:rFonts w:hint="cs"/>
                <w:sz w:val="26"/>
                <w:rtl/>
              </w:rPr>
              <w:t>"(ד)</w:t>
            </w:r>
            <w:r w:rsidRPr="00AE1E65">
              <w:rPr>
                <w:sz w:val="26"/>
                <w:rtl/>
              </w:rPr>
              <w:tab/>
            </w:r>
            <w:r w:rsidRPr="00AE1E65">
              <w:rPr>
                <w:rFonts w:hint="cs"/>
                <w:sz w:val="26"/>
                <w:rtl/>
              </w:rPr>
              <w:t xml:space="preserve">סעיף זה לא יחול על </w:t>
            </w:r>
            <w:r w:rsidRPr="00AE1E65">
              <w:rPr>
                <w:sz w:val="26"/>
                <w:rtl/>
              </w:rPr>
              <w:t>מי שחל עליו חוק חסינות</w:t>
            </w:r>
            <w:r w:rsidR="00FC0301">
              <w:rPr>
                <w:rFonts w:hint="cs"/>
                <w:sz w:val="26"/>
                <w:rtl/>
              </w:rPr>
              <w:t xml:space="preserve"> חברי הכנסת."</w:t>
            </w:r>
          </w:p>
        </w:tc>
      </w:tr>
      <w:tr w:rsidR="00AF3150" w:rsidRPr="00AE1E65" w14:paraId="2235D78B" w14:textId="77777777" w:rsidTr="00574226">
        <w:trPr>
          <w:cantSplit/>
        </w:trPr>
        <w:tc>
          <w:tcPr>
            <w:tcW w:w="1871" w:type="dxa"/>
          </w:tcPr>
          <w:p w14:paraId="1BD98BF3" w14:textId="77777777" w:rsidR="00AF3150" w:rsidRPr="00AE1E65" w:rsidRDefault="00AF3150" w:rsidP="006D66AE">
            <w:pPr>
              <w:pStyle w:val="TableSideHeading"/>
              <w:keepLines w:val="0"/>
              <w:rPr>
                <w:rFonts w:ascii="David" w:hAnsi="David"/>
                <w:sz w:val="26"/>
                <w:rtl/>
              </w:rPr>
            </w:pPr>
            <w:r w:rsidRPr="00AE1E65">
              <w:rPr>
                <w:rFonts w:ascii="David" w:hAnsi="David" w:hint="cs"/>
                <w:sz w:val="26"/>
                <w:rtl/>
              </w:rPr>
              <w:t>תיקון סעיף 73</w:t>
            </w:r>
          </w:p>
        </w:tc>
        <w:tc>
          <w:tcPr>
            <w:tcW w:w="624" w:type="dxa"/>
          </w:tcPr>
          <w:p w14:paraId="03DAABBE" w14:textId="77777777" w:rsidR="00AF3150" w:rsidRPr="00AE1E65" w:rsidRDefault="00AF3150" w:rsidP="006D66AE">
            <w:pPr>
              <w:pStyle w:val="TableText"/>
              <w:rPr>
                <w:sz w:val="26"/>
                <w:rtl/>
              </w:rPr>
            </w:pPr>
            <w:r w:rsidRPr="00AE1E65">
              <w:rPr>
                <w:rFonts w:hint="cs"/>
                <w:sz w:val="26"/>
                <w:rtl/>
              </w:rPr>
              <w:t>3.</w:t>
            </w:r>
          </w:p>
        </w:tc>
        <w:tc>
          <w:tcPr>
            <w:tcW w:w="7143" w:type="dxa"/>
          </w:tcPr>
          <w:p w14:paraId="76FB4FEB" w14:textId="77777777" w:rsidR="00AF3150" w:rsidRPr="00AE1E65" w:rsidRDefault="00AF3150" w:rsidP="00574226">
            <w:pPr>
              <w:pStyle w:val="TableBlock"/>
              <w:rPr>
                <w:sz w:val="26"/>
                <w:rtl/>
              </w:rPr>
            </w:pPr>
            <w:r w:rsidRPr="00AE1E65">
              <w:rPr>
                <w:rFonts w:hint="cs"/>
                <w:sz w:val="26"/>
                <w:rtl/>
              </w:rPr>
              <w:t>בסעיף 73 לחוק העיקרי, אחרי סעיף קטן (ד) יבוא:</w:t>
            </w:r>
          </w:p>
        </w:tc>
      </w:tr>
      <w:tr w:rsidR="00AF3150" w:rsidRPr="00AE1E65" w14:paraId="13509644" w14:textId="77777777" w:rsidTr="00574226">
        <w:trPr>
          <w:cantSplit/>
        </w:trPr>
        <w:tc>
          <w:tcPr>
            <w:tcW w:w="1871" w:type="dxa"/>
          </w:tcPr>
          <w:p w14:paraId="069ABC00" w14:textId="77777777" w:rsidR="00AF3150" w:rsidRPr="00AE1E65" w:rsidRDefault="00AF3150" w:rsidP="006D66AE">
            <w:pPr>
              <w:pStyle w:val="TableSideHeading"/>
              <w:keepLines w:val="0"/>
              <w:rPr>
                <w:rFonts w:ascii="David" w:hAnsi="David"/>
                <w:sz w:val="26"/>
                <w:rtl/>
              </w:rPr>
            </w:pPr>
          </w:p>
        </w:tc>
        <w:tc>
          <w:tcPr>
            <w:tcW w:w="624" w:type="dxa"/>
          </w:tcPr>
          <w:p w14:paraId="792B10EE" w14:textId="77777777" w:rsidR="00AF3150" w:rsidRPr="00AE1E65" w:rsidRDefault="00AF3150" w:rsidP="006D66AE">
            <w:pPr>
              <w:pStyle w:val="TableText"/>
              <w:rPr>
                <w:sz w:val="26"/>
                <w:rtl/>
              </w:rPr>
            </w:pPr>
          </w:p>
        </w:tc>
        <w:tc>
          <w:tcPr>
            <w:tcW w:w="7143" w:type="dxa"/>
          </w:tcPr>
          <w:p w14:paraId="04357EDD" w14:textId="1D9DBBFC" w:rsidR="00AF3150" w:rsidRPr="00AE1E65" w:rsidRDefault="00AF3150" w:rsidP="00574226">
            <w:pPr>
              <w:pStyle w:val="TableBlock"/>
              <w:rPr>
                <w:sz w:val="26"/>
                <w:rtl/>
              </w:rPr>
            </w:pPr>
            <w:r w:rsidRPr="00AE1E65">
              <w:rPr>
                <w:rFonts w:hint="cs"/>
                <w:sz w:val="26"/>
                <w:rtl/>
              </w:rPr>
              <w:t>"(ה)</w:t>
            </w:r>
            <w:r w:rsidRPr="00AE1E65">
              <w:rPr>
                <w:sz w:val="26"/>
                <w:rtl/>
              </w:rPr>
              <w:tab/>
            </w:r>
            <w:r w:rsidRPr="00AE1E65">
              <w:rPr>
                <w:rFonts w:hint="cs"/>
                <w:sz w:val="26"/>
                <w:rtl/>
              </w:rPr>
              <w:t xml:space="preserve">סעיף זה לא יחול על </w:t>
            </w:r>
            <w:r w:rsidRPr="00AE1E65">
              <w:rPr>
                <w:sz w:val="26"/>
                <w:rtl/>
              </w:rPr>
              <w:t>מי שחל עליו חוק חסינות</w:t>
            </w:r>
            <w:r w:rsidRPr="00AE1E65">
              <w:rPr>
                <w:rFonts w:hint="cs"/>
                <w:sz w:val="26"/>
                <w:rtl/>
              </w:rPr>
              <w:t xml:space="preserve"> חברי הכנסת."</w:t>
            </w:r>
          </w:p>
        </w:tc>
      </w:tr>
    </w:tbl>
    <w:p w14:paraId="15A1681A" w14:textId="77777777" w:rsidR="00AF3150" w:rsidRDefault="00AF3150" w:rsidP="00AF3150">
      <w:pPr>
        <w:pStyle w:val="HeadDivreiHesber"/>
        <w:rPr>
          <w:rtl/>
        </w:rPr>
      </w:pPr>
      <w:r w:rsidRPr="0027450A">
        <w:rPr>
          <w:rFonts w:hint="cs"/>
          <w:rtl/>
        </w:rPr>
        <w:t>דברי הסבר</w:t>
      </w:r>
    </w:p>
    <w:p w14:paraId="6C23662A" w14:textId="32F4561C" w:rsidR="00AF3150" w:rsidRPr="00FC0301" w:rsidRDefault="00AF3150" w:rsidP="00FC0301">
      <w:pPr>
        <w:pStyle w:val="Hesber"/>
        <w:rPr>
          <w:rtl/>
        </w:rPr>
      </w:pPr>
      <w:r w:rsidRPr="00754EAF">
        <w:rPr>
          <w:rtl/>
        </w:rPr>
        <w:t>סעיף 1 לחוק חסינות חברי הכנסת, זכויותיהם וחובותיהם, התשי"א</w:t>
      </w:r>
      <w:r w:rsidR="00FC0301" w:rsidRPr="00754EAF">
        <w:rPr>
          <w:rtl/>
        </w:rPr>
        <w:t>–</w:t>
      </w:r>
      <w:r w:rsidRPr="00754EAF">
        <w:rPr>
          <w:rtl/>
        </w:rPr>
        <w:t>1951 (להלן – חוק החסינ</w:t>
      </w:r>
      <w:r w:rsidRPr="00FC0301">
        <w:rPr>
          <w:rtl/>
        </w:rPr>
        <w:t>ות), אשר נחקק מכוח חוק-יסוד: הכנסת</w:t>
      </w:r>
      <w:r w:rsidR="00574226">
        <w:rPr>
          <w:rFonts w:hint="cs"/>
          <w:rtl/>
        </w:rPr>
        <w:t>,</w:t>
      </w:r>
      <w:r w:rsidRPr="00FC0301">
        <w:rPr>
          <w:rtl/>
        </w:rPr>
        <w:t xml:space="preserve"> שלפיו לחברי הכנסת תהא חסינות אשר תיקבע בחוק, קובע בין השאר כי לחבר הכנסת תהא חסינות מפני כל פעולה משפטית במילוי תפקידו או למען מילוי תפקידו.</w:t>
      </w:r>
    </w:p>
    <w:p w14:paraId="2513465B" w14:textId="37B94F7E" w:rsidR="00AF3150" w:rsidRPr="00FC0301" w:rsidRDefault="00AF3150" w:rsidP="00FC0301">
      <w:pPr>
        <w:pStyle w:val="Hesber"/>
        <w:rPr>
          <w:rtl/>
        </w:rPr>
      </w:pPr>
      <w:r w:rsidRPr="00FC0301">
        <w:rPr>
          <w:rtl/>
        </w:rPr>
        <w:t>סעיף 9 לחוק החסינות קובע כי כל הוראה המגבילה את הגישה למקום שאינו רשות היחיד לא תחול על חבר הכנסת אלא מטעמים של ב</w:t>
      </w:r>
      <w:r w:rsidR="00142713">
        <w:rPr>
          <w:rFonts w:hint="cs"/>
          <w:rtl/>
        </w:rPr>
        <w:t>י</w:t>
      </w:r>
      <w:r w:rsidRPr="00FC0301">
        <w:rPr>
          <w:rtl/>
        </w:rPr>
        <w:t>טחון המדינה או סוד צבאי.</w:t>
      </w:r>
    </w:p>
    <w:p w14:paraId="6F7ED684" w14:textId="77777777" w:rsidR="00AF3150" w:rsidRPr="00FC0301" w:rsidRDefault="00AF3150" w:rsidP="00FC0301">
      <w:pPr>
        <w:pStyle w:val="Hesber"/>
        <w:rPr>
          <w:rtl/>
        </w:rPr>
      </w:pPr>
      <w:r w:rsidRPr="00FC0301">
        <w:rPr>
          <w:rtl/>
        </w:rPr>
        <w:t>החסינות הפרלמנטרית מעניקה זכות עודפת לחבר כנסת על פני כל אזרח אחר, על שום חשיבות עבודת חברי הכנסת וההכרה בזכותם ואף חובתם לפעול באופנים יוצאים מהשורה במסגרת עבודתם למען הציבור.</w:t>
      </w:r>
    </w:p>
    <w:p w14:paraId="6FF86E67" w14:textId="77777777" w:rsidR="00AF3150" w:rsidRPr="00FC0301" w:rsidRDefault="00AF3150" w:rsidP="00FC0301">
      <w:pPr>
        <w:pStyle w:val="Hesber"/>
        <w:rPr>
          <w:rtl/>
        </w:rPr>
      </w:pPr>
      <w:r w:rsidRPr="00FC0301">
        <w:rPr>
          <w:rtl/>
        </w:rPr>
        <w:t xml:space="preserve">אף שנדמה כי הוראות חוק החסינות ברורות לגמרי, המציאות לימדה כי בית המשפט אינו מכיר </w:t>
      </w:r>
      <w:r w:rsidRPr="00FC0301">
        <w:rPr>
          <w:rtl/>
        </w:rPr>
        <w:lastRenderedPageBreak/>
        <w:t>בעוצמת החסינות ובהיותה גוברת על כל חוק אחר.</w:t>
      </w:r>
    </w:p>
    <w:p w14:paraId="28B0475A" w14:textId="77777777" w:rsidR="00AF3150" w:rsidRPr="00FC0301" w:rsidRDefault="00AF3150" w:rsidP="00FC0301">
      <w:pPr>
        <w:pStyle w:val="Hesber"/>
        <w:rPr>
          <w:rtl/>
        </w:rPr>
      </w:pPr>
      <w:r w:rsidRPr="00FC0301">
        <w:rPr>
          <w:rtl/>
        </w:rPr>
        <w:t xml:space="preserve">לאחרונה התבטא בית המשפט העליון כי חסינותם של חברי הכנסת באולם בית המשפט הינה חסינות מדומיינת (כך מילותיו של השופט יצחק עמית) באופן שהדגים כי בית המשפט כלל אינו מבין מהי חסינות פרלמנטרית והיקף פרישתה, ואת חשיבותה האדירה לעבודתו של חבר הכנסת. </w:t>
      </w:r>
    </w:p>
    <w:p w14:paraId="0DAE0AC2" w14:textId="4D9FEBBF" w:rsidR="00AF3150" w:rsidRPr="00FC0301" w:rsidRDefault="00AF3150" w:rsidP="004D3DAB">
      <w:pPr>
        <w:pStyle w:val="Hesber"/>
        <w:rPr>
          <w:rtl/>
        </w:rPr>
      </w:pPr>
      <w:r w:rsidRPr="00FC0301">
        <w:rPr>
          <w:rtl/>
        </w:rPr>
        <w:t xml:space="preserve">בית המשפט רמס את הוראות חוק החסינות והורה לא פעם לאנשי משמר בתי המשפט להוציא בכוח חברת כנסת אשר פעלה במסגרת תפקידה ותוך חילול ורמיסת הוראות חוק החסינות (כך נעשה ביום </w:t>
      </w:r>
      <w:r w:rsidR="00574226">
        <w:rPr>
          <w:rFonts w:hint="cs"/>
          <w:rtl/>
        </w:rPr>
        <w:t>8 באפריל 2025</w:t>
      </w:r>
      <w:r w:rsidRPr="00FC0301">
        <w:rPr>
          <w:rtl/>
        </w:rPr>
        <w:t xml:space="preserve"> בבית המשפט העליון וביום</w:t>
      </w:r>
      <w:r w:rsidR="00574226">
        <w:rPr>
          <w:rFonts w:hint="cs"/>
          <w:rtl/>
        </w:rPr>
        <w:t xml:space="preserve"> 19 באוגוסט 2025</w:t>
      </w:r>
      <w:r w:rsidRPr="00FC0301">
        <w:rPr>
          <w:rtl/>
        </w:rPr>
        <w:t xml:space="preserve"> בבית המשפט המחוזי מרכז). הנהלת בתי המשפט הגדילה עשות ושלחה מכתב ובו הביעה את עמדתה כי חוק החסינות אינו גובר על הוראות חוק בתי המשפט</w:t>
      </w:r>
      <w:bookmarkStart w:id="8" w:name="_GoBack"/>
      <w:bookmarkEnd w:id="8"/>
      <w:r w:rsidRPr="00FC0301">
        <w:rPr>
          <w:rtl/>
        </w:rPr>
        <w:t>.</w:t>
      </w:r>
    </w:p>
    <w:p w14:paraId="68DF7DC1" w14:textId="5B26814F" w:rsidR="00AF3150" w:rsidRPr="00FC0301" w:rsidRDefault="00AF3150" w:rsidP="00FC0301">
      <w:pPr>
        <w:pStyle w:val="Hesber"/>
      </w:pPr>
      <w:r w:rsidRPr="00FC0301">
        <w:rPr>
          <w:rtl/>
        </w:rPr>
        <w:t>מכאן ההכרח בתיקון חוק בתי המשפט [נוסח משולב], התשמ"ד–1984, תוך הוספת סעיפים המבהירים ברורות כי סמכות בית המשפט בהתאם לסעיפים 68, 72 ו-73 לא תחול על מי שחל עליו חוק החסינות</w:t>
      </w:r>
      <w:r w:rsidR="00142713">
        <w:rPr>
          <w:rtl/>
        </w:rPr>
        <w:t>. סעיפים אלה עניינם</w:t>
      </w:r>
      <w:r w:rsidRPr="00FC0301">
        <w:rPr>
          <w:rtl/>
        </w:rPr>
        <w:t xml:space="preserve"> "פומביות הדיון" ונוכחות בדיון בדלתיים סגורות; "איסור הפרעה" באולם בית המשפט וסמוך למקום הדיון; ו"כפיית ציות ועונש בשל אי ציות" בקשר למי שהוזמן להעיד או נצטווה להמציא מסמך. התיקון מבהיר את הוראות סעיפים 1 ו-9 לחוק החסינות, אשר נדמה היה כי ברורים הם ומובהקים כאור השמש. </w:t>
      </w:r>
    </w:p>
    <w:p w14:paraId="60E847AD" w14:textId="77777777" w:rsidR="00AF3150" w:rsidRPr="00FC0301" w:rsidRDefault="00AF3150" w:rsidP="00FC0301">
      <w:pPr>
        <w:pStyle w:val="Hesber"/>
        <w:rPr>
          <w:rtl/>
        </w:rPr>
      </w:pPr>
    </w:p>
    <w:p w14:paraId="3739746E" w14:textId="77777777" w:rsidR="00AF3150" w:rsidRPr="00E635A2" w:rsidRDefault="00AF3150" w:rsidP="00E635A2">
      <w:pPr>
        <w:jc w:val="right"/>
        <w:rPr>
          <w:b/>
          <w:bCs/>
          <w:sz w:val="20"/>
          <w:szCs w:val="20"/>
        </w:rPr>
      </w:pPr>
    </w:p>
    <w:p w14:paraId="1F470D30" w14:textId="77777777" w:rsidR="003F156B" w:rsidRDefault="00142713">
      <w:pPr>
        <w:jc w:val="left"/>
      </w:pPr>
      <w:bookmarkStart w:id="9" w:name="selectedDocDateB"/>
      <w:bookmarkEnd w:id="9"/>
      <w:r>
        <w:rPr>
          <w:rFonts w:eastAsia="David" w:hint="cs"/>
          <w:sz w:val="26"/>
          <w:szCs w:val="26"/>
          <w:rtl/>
        </w:rPr>
        <w:t>--------------------------------</w:t>
      </w:r>
    </w:p>
    <w:p w14:paraId="03D1B419" w14:textId="77777777" w:rsidR="003F156B" w:rsidRDefault="00142713">
      <w:pPr>
        <w:jc w:val="left"/>
      </w:pPr>
      <w:r>
        <w:rPr>
          <w:rFonts w:eastAsia="David" w:hint="cs"/>
          <w:sz w:val="26"/>
          <w:szCs w:val="26"/>
          <w:rtl/>
        </w:rPr>
        <w:t>הוגשה ליו"ר הכנסת והסגנים</w:t>
      </w:r>
    </w:p>
    <w:p w14:paraId="1EF6C567" w14:textId="77777777" w:rsidR="003F156B" w:rsidRDefault="00142713">
      <w:pPr>
        <w:jc w:val="left"/>
      </w:pPr>
      <w:r>
        <w:rPr>
          <w:rFonts w:eastAsia="David" w:hint="cs"/>
          <w:sz w:val="26"/>
          <w:szCs w:val="26"/>
          <w:rtl/>
        </w:rPr>
        <w:t>והונחה על שולחן הכנסת ביום</w:t>
      </w:r>
    </w:p>
    <w:p w14:paraId="7BFFBB3C" w14:textId="77777777" w:rsidR="003F156B" w:rsidRDefault="00142713">
      <w:pPr>
        <w:jc w:val="left"/>
      </w:pPr>
      <w:r>
        <w:rPr>
          <w:rFonts w:eastAsia="David" w:hint="cs"/>
          <w:sz w:val="26"/>
          <w:szCs w:val="26"/>
          <w:rtl/>
        </w:rPr>
        <w:t xml:space="preserve">ט' בטבת התשפ"ו (29.12.2025) </w:t>
      </w:r>
    </w:p>
    <w:p w14:paraId="708E545B" w14:textId="77777777" w:rsidR="003F156B" w:rsidRDefault="003F156B">
      <w:pPr>
        <w:spacing w:line="276" w:lineRule="auto"/>
        <w:jc w:val="left"/>
      </w:pPr>
    </w:p>
    <w:sectPr w:rsidR="003F156B" w:rsidSect="0057422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EAB8BAF"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4D3DAB">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57422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A12ADA2" w14:textId="77777777" w:rsidR="00AF3150" w:rsidRDefault="00AF3150" w:rsidP="00AF3150">
      <w:pPr>
        <w:pStyle w:val="a4"/>
        <w:rPr>
          <w:rtl/>
        </w:rPr>
      </w:pPr>
      <w:r>
        <w:rPr>
          <w:rStyle w:val="a5"/>
        </w:rPr>
        <w:footnoteRef/>
      </w:r>
      <w:r>
        <w:rPr>
          <w:rtl/>
        </w:rPr>
        <w:t xml:space="preserve"> </w:t>
      </w:r>
      <w:r>
        <w:rPr>
          <w:rFonts w:hint="cs"/>
          <w:rtl/>
        </w:rPr>
        <w:t>ס"ח התשמ"ד, עמ' 198.</w:t>
      </w:r>
    </w:p>
  </w:footnote>
  <w:footnote w:id="3">
    <w:p w14:paraId="499C0E5F" w14:textId="77777777" w:rsidR="00AF3150" w:rsidRDefault="00AF3150" w:rsidP="00AF3150">
      <w:pPr>
        <w:pStyle w:val="a4"/>
      </w:pPr>
      <w:r>
        <w:rPr>
          <w:rStyle w:val="a5"/>
        </w:rPr>
        <w:footnoteRef/>
      </w:r>
      <w:r>
        <w:rPr>
          <w:rtl/>
        </w:rPr>
        <w:t xml:space="preserve"> </w:t>
      </w:r>
      <w:r>
        <w:rPr>
          <w:rFonts w:hint="cs"/>
          <w:rtl/>
        </w:rPr>
        <w:t>ס"ח התשי"א, עמ' 228.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42713"/>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763FB"/>
    <w:rsid w:val="00386E88"/>
    <w:rsid w:val="00396585"/>
    <w:rsid w:val="003B3B2D"/>
    <w:rsid w:val="003D6E38"/>
    <w:rsid w:val="003D74A0"/>
    <w:rsid w:val="003F156B"/>
    <w:rsid w:val="004033D8"/>
    <w:rsid w:val="004073F0"/>
    <w:rsid w:val="00412A7D"/>
    <w:rsid w:val="00416B4D"/>
    <w:rsid w:val="00417CFC"/>
    <w:rsid w:val="004A06DC"/>
    <w:rsid w:val="004B24ED"/>
    <w:rsid w:val="004B6625"/>
    <w:rsid w:val="004D2D82"/>
    <w:rsid w:val="004D3876"/>
    <w:rsid w:val="004D3DAB"/>
    <w:rsid w:val="004E4552"/>
    <w:rsid w:val="004E6CDF"/>
    <w:rsid w:val="00553C9D"/>
    <w:rsid w:val="00562A66"/>
    <w:rsid w:val="00574226"/>
    <w:rsid w:val="005B064E"/>
    <w:rsid w:val="005D51AE"/>
    <w:rsid w:val="0062674B"/>
    <w:rsid w:val="006363B2"/>
    <w:rsid w:val="00644940"/>
    <w:rsid w:val="006818A9"/>
    <w:rsid w:val="006A2D81"/>
    <w:rsid w:val="006C1D0D"/>
    <w:rsid w:val="0070601E"/>
    <w:rsid w:val="00712C72"/>
    <w:rsid w:val="00735FE9"/>
    <w:rsid w:val="00754EAF"/>
    <w:rsid w:val="00763CAA"/>
    <w:rsid w:val="00765F66"/>
    <w:rsid w:val="0078664F"/>
    <w:rsid w:val="00793BC8"/>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273B"/>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F3150"/>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2464A"/>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C03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158E7D1-9254-4270-941F-A16F7A84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22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7422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7422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7422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74226"/>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74226"/>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7422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74226"/>
    <w:rPr>
      <w:sz w:val="36"/>
      <w:szCs w:val="52"/>
    </w:rPr>
  </w:style>
  <w:style w:type="paragraph" w:customStyle="1" w:styleId="Cover3-Haknesset">
    <w:name w:val="Cover 3-Haknesset"/>
    <w:basedOn w:val="Cover1-Reshumot"/>
    <w:rsid w:val="00574226"/>
    <w:rPr>
      <w:b/>
      <w:bCs/>
      <w:spacing w:val="60"/>
    </w:rPr>
  </w:style>
  <w:style w:type="paragraph" w:customStyle="1" w:styleId="Cover4-Date">
    <w:name w:val="Cover 4-Date"/>
    <w:basedOn w:val="a"/>
    <w:rsid w:val="0057422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7422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7422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74226"/>
    <w:pPr>
      <w:spacing w:before="120" w:after="120"/>
    </w:pPr>
    <w:rPr>
      <w:color w:val="FF0000"/>
      <w:w w:val="80"/>
    </w:rPr>
  </w:style>
  <w:style w:type="paragraph" w:styleId="a3">
    <w:name w:val="endnote text"/>
    <w:basedOn w:val="a"/>
    <w:semiHidden/>
    <w:rsid w:val="00574226"/>
    <w:pPr>
      <w:ind w:left="227" w:hanging="227"/>
    </w:pPr>
    <w:rPr>
      <w:sz w:val="14"/>
      <w:szCs w:val="22"/>
    </w:rPr>
  </w:style>
  <w:style w:type="paragraph" w:customStyle="1" w:styleId="TableText">
    <w:name w:val="Table Text"/>
    <w:basedOn w:val="a"/>
    <w:rsid w:val="0057422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74226"/>
    <w:pPr>
      <w:outlineLvl w:val="2"/>
    </w:pPr>
  </w:style>
  <w:style w:type="paragraph" w:customStyle="1" w:styleId="TableBlock">
    <w:name w:val="Table Block"/>
    <w:basedOn w:val="TableText"/>
    <w:rsid w:val="00574226"/>
    <w:pPr>
      <w:jc w:val="both"/>
    </w:pPr>
  </w:style>
  <w:style w:type="paragraph" w:customStyle="1" w:styleId="TableHead">
    <w:name w:val="Table Head"/>
    <w:basedOn w:val="TableText"/>
    <w:rsid w:val="0057422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74226"/>
    <w:pPr>
      <w:outlineLvl w:val="9"/>
    </w:pPr>
  </w:style>
  <w:style w:type="paragraph" w:customStyle="1" w:styleId="Hesber">
    <w:name w:val="Hesber"/>
    <w:basedOn w:val="a"/>
    <w:rsid w:val="00574226"/>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574226"/>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574226"/>
    <w:rPr>
      <w:vertAlign w:val="superscript"/>
    </w:rPr>
  </w:style>
  <w:style w:type="paragraph" w:customStyle="1" w:styleId="HesberHeading">
    <w:name w:val="Hesber Heading"/>
    <w:basedOn w:val="Hesber"/>
    <w:rsid w:val="00574226"/>
    <w:pPr>
      <w:tabs>
        <w:tab w:val="left" w:pos="624"/>
        <w:tab w:val="left" w:pos="1247"/>
      </w:tabs>
    </w:pPr>
    <w:rPr>
      <w:b/>
      <w:bCs/>
    </w:rPr>
  </w:style>
  <w:style w:type="paragraph" w:customStyle="1" w:styleId="HesberWriters">
    <w:name w:val="Hesber Writers"/>
    <w:basedOn w:val="Hesber"/>
    <w:rsid w:val="00574226"/>
    <w:pPr>
      <w:spacing w:before="120" w:after="120"/>
      <w:ind w:left="1418"/>
      <w:jc w:val="right"/>
    </w:pPr>
    <w:rPr>
      <w:b/>
      <w:bCs/>
    </w:rPr>
  </w:style>
  <w:style w:type="paragraph" w:customStyle="1" w:styleId="Hesber1st">
    <w:name w:val="Hesber 1st"/>
    <w:basedOn w:val="Hesber"/>
    <w:rsid w:val="00574226"/>
    <w:pPr>
      <w:tabs>
        <w:tab w:val="left" w:pos="680"/>
        <w:tab w:val="left" w:pos="1020"/>
      </w:tabs>
      <w:ind w:firstLine="0"/>
    </w:pPr>
  </w:style>
  <w:style w:type="character" w:styleId="a6">
    <w:name w:val="endnote reference"/>
    <w:basedOn w:val="a0"/>
    <w:semiHidden/>
    <w:rsid w:val="00574226"/>
    <w:rPr>
      <w:vertAlign w:val="superscript"/>
    </w:rPr>
  </w:style>
  <w:style w:type="paragraph" w:customStyle="1" w:styleId="TableBlockOutdent">
    <w:name w:val="Table BlockOutdent"/>
    <w:basedOn w:val="TableBlock"/>
    <w:rsid w:val="00574226"/>
    <w:pPr>
      <w:ind w:left="624" w:hanging="624"/>
    </w:pPr>
  </w:style>
  <w:style w:type="paragraph" w:styleId="a7">
    <w:name w:val="header"/>
    <w:basedOn w:val="a"/>
    <w:rsid w:val="00574226"/>
    <w:pPr>
      <w:tabs>
        <w:tab w:val="center" w:pos="4153"/>
        <w:tab w:val="right" w:pos="8306"/>
      </w:tabs>
    </w:pPr>
  </w:style>
  <w:style w:type="paragraph" w:styleId="a8">
    <w:name w:val="footer"/>
    <w:basedOn w:val="a"/>
    <w:rsid w:val="00574226"/>
    <w:pPr>
      <w:tabs>
        <w:tab w:val="center" w:pos="4153"/>
        <w:tab w:val="right" w:pos="8306"/>
      </w:tabs>
    </w:pPr>
  </w:style>
  <w:style w:type="paragraph" w:customStyle="1" w:styleId="HeadDivreiHesber">
    <w:name w:val="Head DivreiHesber"/>
    <w:basedOn w:val="a"/>
    <w:rsid w:val="0057422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74226"/>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57422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574226"/>
    <w:rPr>
      <w:rFonts w:asciiTheme="majorHAnsi" w:eastAsiaTheme="majorEastAsia" w:hAnsiTheme="majorHAnsi" w:cs="David"/>
      <w:bCs/>
      <w:sz w:val="32"/>
      <w:szCs w:val="36"/>
    </w:rPr>
  </w:style>
  <w:style w:type="character" w:customStyle="1" w:styleId="20">
    <w:name w:val="כותרת 2 תו"/>
    <w:basedOn w:val="a0"/>
    <w:link w:val="2"/>
    <w:rsid w:val="00574226"/>
    <w:rPr>
      <w:rFonts w:asciiTheme="majorHAnsi" w:eastAsiaTheme="majorEastAsia" w:hAnsiTheme="majorHAnsi" w:cs="David"/>
      <w:bCs/>
      <w:sz w:val="26"/>
      <w:szCs w:val="36"/>
      <w:u w:val="single"/>
    </w:rPr>
  </w:style>
  <w:style w:type="character" w:customStyle="1" w:styleId="30">
    <w:name w:val="כותרת 3 תו"/>
    <w:basedOn w:val="a0"/>
    <w:link w:val="3"/>
    <w:rsid w:val="00574226"/>
    <w:rPr>
      <w:rFonts w:asciiTheme="majorHAnsi" w:eastAsiaTheme="majorEastAsia" w:hAnsiTheme="majorHAnsi" w:cs="David"/>
      <w:sz w:val="24"/>
      <w:szCs w:val="28"/>
      <w:u w:val="double"/>
    </w:rPr>
  </w:style>
  <w:style w:type="character" w:customStyle="1" w:styleId="40">
    <w:name w:val="כותרת 4 תו"/>
    <w:basedOn w:val="a0"/>
    <w:link w:val="4"/>
    <w:uiPriority w:val="9"/>
    <w:rsid w:val="0057422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74226"/>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574226"/>
    <w:pPr>
      <w:widowControl/>
      <w:spacing w:before="120" w:after="120"/>
      <w:outlineLvl w:val="9"/>
    </w:pPr>
    <w:rPr>
      <w:rtl/>
      <w:cs/>
    </w:rPr>
  </w:style>
  <w:style w:type="paragraph" w:styleId="TOC1">
    <w:name w:val="toc 1"/>
    <w:basedOn w:val="a"/>
    <w:next w:val="a"/>
    <w:autoRedefine/>
    <w:uiPriority w:val="39"/>
    <w:unhideWhenUsed/>
    <w:rsid w:val="00574226"/>
    <w:pPr>
      <w:tabs>
        <w:tab w:val="right" w:leader="dot" w:pos="9629"/>
      </w:tabs>
      <w:spacing w:after="100"/>
    </w:pPr>
    <w:rPr>
      <w:bCs/>
      <w:szCs w:val="22"/>
    </w:rPr>
  </w:style>
  <w:style w:type="paragraph" w:styleId="TOC2">
    <w:name w:val="toc 2"/>
    <w:basedOn w:val="a"/>
    <w:next w:val="a"/>
    <w:uiPriority w:val="39"/>
    <w:unhideWhenUsed/>
    <w:rsid w:val="00574226"/>
    <w:pPr>
      <w:tabs>
        <w:tab w:val="right" w:leader="dot" w:pos="9628"/>
      </w:tabs>
      <w:spacing w:after="100"/>
    </w:pPr>
    <w:rPr>
      <w:szCs w:val="22"/>
    </w:rPr>
  </w:style>
  <w:style w:type="character" w:styleId="Hyperlink">
    <w:name w:val="Hyperlink"/>
    <w:basedOn w:val="a0"/>
    <w:uiPriority w:val="99"/>
    <w:unhideWhenUsed/>
    <w:rsid w:val="00574226"/>
    <w:rPr>
      <w:color w:val="0000FF" w:themeColor="hyperlink"/>
      <w:u w:val="single"/>
    </w:rPr>
  </w:style>
  <w:style w:type="paragraph" w:styleId="TOC3">
    <w:name w:val="toc 3"/>
    <w:basedOn w:val="a"/>
    <w:next w:val="a"/>
    <w:uiPriority w:val="39"/>
    <w:unhideWhenUsed/>
    <w:rsid w:val="00574226"/>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7422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74226"/>
    <w:pPr>
      <w:tabs>
        <w:tab w:val="right" w:leader="dot" w:pos="9628"/>
      </w:tabs>
      <w:spacing w:after="100"/>
      <w:ind w:left="567"/>
    </w:pPr>
    <w:rPr>
      <w:szCs w:val="22"/>
    </w:rPr>
  </w:style>
  <w:style w:type="paragraph" w:styleId="TOC6">
    <w:name w:val="toc 6"/>
    <w:basedOn w:val="a"/>
    <w:next w:val="a"/>
    <w:autoRedefine/>
    <w:semiHidden/>
    <w:unhideWhenUsed/>
    <w:rsid w:val="00574226"/>
    <w:pPr>
      <w:spacing w:after="100"/>
      <w:ind w:left="850"/>
    </w:pPr>
  </w:style>
  <w:style w:type="paragraph" w:styleId="TOC7">
    <w:name w:val="toc 7"/>
    <w:basedOn w:val="a"/>
    <w:next w:val="a"/>
    <w:autoRedefine/>
    <w:semiHidden/>
    <w:unhideWhenUsed/>
    <w:rsid w:val="00574226"/>
    <w:pPr>
      <w:spacing w:after="100"/>
      <w:ind w:left="1020"/>
    </w:pPr>
  </w:style>
  <w:style w:type="paragraph" w:styleId="TOC8">
    <w:name w:val="toc 8"/>
    <w:basedOn w:val="a"/>
    <w:next w:val="a"/>
    <w:autoRedefine/>
    <w:semiHidden/>
    <w:unhideWhenUsed/>
    <w:rsid w:val="00574226"/>
    <w:pPr>
      <w:spacing w:after="100"/>
      <w:ind w:left="1190"/>
    </w:pPr>
  </w:style>
  <w:style w:type="paragraph" w:styleId="TOC9">
    <w:name w:val="toc 9"/>
    <w:basedOn w:val="a"/>
    <w:next w:val="a"/>
    <w:autoRedefine/>
    <w:semiHidden/>
    <w:unhideWhenUsed/>
    <w:rsid w:val="00574226"/>
    <w:pPr>
      <w:spacing w:after="100"/>
      <w:ind w:left="1360"/>
    </w:pPr>
  </w:style>
  <w:style w:type="paragraph" w:customStyle="1" w:styleId="TableHead2">
    <w:name w:val="Table Head2"/>
    <w:basedOn w:val="TableHead"/>
    <w:qFormat/>
    <w:rsid w:val="00574226"/>
    <w:pPr>
      <w:outlineLvl w:val="9"/>
    </w:pPr>
  </w:style>
  <w:style w:type="paragraph" w:customStyle="1" w:styleId="TableSideHeading2">
    <w:name w:val="Table SideHeading2"/>
    <w:basedOn w:val="TableSideHeading"/>
    <w:autoRedefine/>
    <w:qFormat/>
    <w:rsid w:val="00574226"/>
    <w:pPr>
      <w:keepLines w:val="0"/>
      <w:outlineLvl w:val="9"/>
    </w:pPr>
  </w:style>
  <w:style w:type="paragraph" w:customStyle="1" w:styleId="0">
    <w:name w:val="סגנון שורה ראשונה:  0  ס''מ"/>
    <w:basedOn w:val="2"/>
    <w:rsid w:val="00574226"/>
    <w:rPr>
      <w:rFonts w:eastAsia="Times New Roman"/>
    </w:rPr>
  </w:style>
  <w:style w:type="paragraph" w:styleId="ae">
    <w:name w:val="List Paragraph"/>
    <w:basedOn w:val="a"/>
    <w:uiPriority w:val="34"/>
    <w:qFormat/>
    <w:rsid w:val="00574226"/>
    <w:pPr>
      <w:widowControl/>
      <w:spacing w:line="259" w:lineRule="auto"/>
    </w:pPr>
    <w:rPr>
      <w:rFonts w:asciiTheme="minorHAnsi" w:hAnsiTheme="minorHAnsi"/>
      <w:sz w:val="22"/>
    </w:rPr>
  </w:style>
  <w:style w:type="table" w:styleId="af">
    <w:name w:val="Table Grid"/>
    <w:basedOn w:val="a1"/>
    <w:rsid w:val="0057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742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742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57422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74226"/>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24751-7F95-4ABB-B6D6-28666DFC9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290d5b49-c690-4c6f-bbb9-1e50dab33ee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540E33EF-3A7B-4133-B4D7-00320E7A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399</Words>
  <Characters>2276</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13</cp:revision>
  <cp:lastPrinted>2013-07-04T08:25:00Z</cp:lastPrinted>
  <dcterms:created xsi:type="dcterms:W3CDTF">2015-04-20T09:58:00Z</dcterms:created>
  <dcterms:modified xsi:type="dcterms:W3CDTF">2025-12-29T06:34:00Z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2235679</vt:r8>
  </property>
</Properties>
</file>