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187874D5" w:rsidR="008525E2" w:rsidRDefault="00220CAF" w:rsidP="00364969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להשתתפותם של העובדים ובעלי תפקיד בשירות הציבורי, בצעדים לייצוב המצב הפיסקלי במדינה במהלך השנים 2025 ו-2026 (הוראת שעה) (תיקון), </w:t>
      </w:r>
      <w:proofErr w:type="spellStart"/>
      <w:r>
        <w:rPr>
          <w:rStyle w:val="HeadHatzaotHok0"/>
          <w:rFonts w:hint="cs"/>
          <w:rtl/>
        </w:rPr>
        <w:t>התשפ"ה</w:t>
      </w:r>
      <w:proofErr w:type="spellEnd"/>
      <w:r w:rsidR="00364969">
        <w:rPr>
          <w:sz w:val="26"/>
          <w:rtl/>
        </w:rPr>
        <w:t>–</w:t>
      </w:r>
      <w:r>
        <w:rPr>
          <w:rStyle w:val="HeadHatzaotHok0"/>
          <w:rFonts w:hint="cs"/>
          <w:rtl/>
        </w:rPr>
        <w:t>2025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462A6D06" w14:textId="77777777" w:rsidR="00364969" w:rsidRDefault="00364969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7143"/>
      </w:tblGrid>
      <w:tr w:rsidR="00364969" w:rsidRPr="00BB14B4" w14:paraId="68E8BC27" w14:textId="77777777" w:rsidTr="00364969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80F746" w14:textId="77777777" w:rsidR="00364969" w:rsidRPr="00BB14B4" w:rsidRDefault="00364969" w:rsidP="00CC42C5">
            <w:pPr>
              <w:pStyle w:val="TableSideHeading"/>
              <w:rPr>
                <w:rFonts w:ascii="David" w:hAnsi="David"/>
                <w:sz w:val="26"/>
                <w:rtl/>
              </w:rPr>
            </w:pPr>
            <w:r w:rsidRPr="00BB14B4">
              <w:rPr>
                <w:rFonts w:ascii="David" w:hAnsi="David"/>
                <w:sz w:val="26"/>
                <w:rtl/>
              </w:rPr>
              <w:t>תיקון סעיף 2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9B1CFC" w14:textId="77777777" w:rsidR="00364969" w:rsidRPr="00BB14B4" w:rsidRDefault="00364969" w:rsidP="00CC42C5">
            <w:pPr>
              <w:pStyle w:val="TableText"/>
              <w:rPr>
                <w:rFonts w:ascii="David" w:hAnsi="David"/>
                <w:sz w:val="26"/>
                <w:rtl/>
              </w:rPr>
            </w:pPr>
            <w:r w:rsidRPr="00BB14B4">
              <w:rPr>
                <w:rFonts w:ascii="David" w:hAnsi="David"/>
                <w:sz w:val="26"/>
                <w:rtl/>
              </w:rPr>
              <w:t>1.</w:t>
            </w:r>
            <w:r w:rsidRPr="00BB14B4">
              <w:rPr>
                <w:rFonts w:ascii="David" w:hAnsi="David"/>
                <w:sz w:val="26"/>
                <w:rtl/>
              </w:rPr>
              <w:tab/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B3C064" w14:textId="77777777" w:rsidR="00364969" w:rsidRPr="00BB14B4" w:rsidRDefault="00364969" w:rsidP="00364969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BB14B4">
              <w:rPr>
                <w:rFonts w:ascii="David" w:hAnsi="David"/>
                <w:sz w:val="26"/>
                <w:rtl/>
              </w:rPr>
              <w:t xml:space="preserve">בחוק להשתתפותם של העובדים ובעלי תפקיד בשירות הציבורי, בצעדים לייצוב המצב הפיסקלי במדינה במהלך השנים 2025 ו־2026 (הוראת שעה), </w:t>
            </w:r>
            <w:proofErr w:type="spellStart"/>
            <w:r w:rsidRPr="00BB14B4">
              <w:rPr>
                <w:rFonts w:ascii="David" w:hAnsi="David"/>
                <w:sz w:val="26"/>
                <w:rtl/>
              </w:rPr>
              <w:t>התשפ"ה</w:t>
            </w:r>
            <w:proofErr w:type="spellEnd"/>
            <w:r>
              <w:rPr>
                <w:rFonts w:ascii="David" w:hAnsi="David"/>
                <w:sz w:val="26"/>
                <w:rtl/>
              </w:rPr>
              <w:t>–</w:t>
            </w:r>
            <w:r w:rsidRPr="00BB14B4">
              <w:rPr>
                <w:rFonts w:ascii="David" w:hAnsi="David"/>
                <w:sz w:val="26"/>
                <w:rtl/>
              </w:rPr>
              <w:t>2025‏</w:t>
            </w:r>
            <w:r w:rsidRPr="00364969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BB14B4">
              <w:rPr>
                <w:rFonts w:ascii="David" w:hAnsi="David"/>
                <w:sz w:val="26"/>
                <w:rtl/>
              </w:rPr>
              <w:t xml:space="preserve">, בסעיף 2, במקום "ב' בניסן </w:t>
            </w:r>
            <w:proofErr w:type="spellStart"/>
            <w:r w:rsidRPr="00BB14B4">
              <w:rPr>
                <w:rFonts w:ascii="David" w:hAnsi="David"/>
                <w:sz w:val="26"/>
                <w:rtl/>
              </w:rPr>
              <w:t>התשפ"ה</w:t>
            </w:r>
            <w:proofErr w:type="spellEnd"/>
            <w:r w:rsidRPr="00BB14B4">
              <w:rPr>
                <w:rFonts w:ascii="David" w:hAnsi="David"/>
                <w:sz w:val="26"/>
                <w:rtl/>
              </w:rPr>
              <w:t xml:space="preserve"> (31 במרץ 2025)" יבוא "ד' בתמוז </w:t>
            </w:r>
            <w:proofErr w:type="spellStart"/>
            <w:r w:rsidRPr="00BB14B4">
              <w:rPr>
                <w:rFonts w:ascii="David" w:hAnsi="David"/>
                <w:sz w:val="26"/>
                <w:rtl/>
              </w:rPr>
              <w:t>התשפ"ה</w:t>
            </w:r>
            <w:proofErr w:type="spellEnd"/>
            <w:r w:rsidRPr="00BB14B4">
              <w:rPr>
                <w:rFonts w:ascii="David" w:hAnsi="David"/>
                <w:sz w:val="26"/>
                <w:rtl/>
              </w:rPr>
              <w:t xml:space="preserve"> (30 ביוני 2025)".</w:t>
            </w:r>
          </w:p>
        </w:tc>
      </w:tr>
    </w:tbl>
    <w:p w14:paraId="507A27C7" w14:textId="77777777" w:rsidR="00364969" w:rsidRPr="00364969" w:rsidRDefault="00364969" w:rsidP="008525E2">
      <w:pPr>
        <w:jc w:val="center"/>
        <w:rPr>
          <w:rFonts w:hint="cs"/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rPr>
          <w:sz w:val="26"/>
          <w:szCs w:val="26"/>
          <w:rtl/>
        </w:rPr>
      </w:pPr>
    </w:p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560B">
        <w:trPr>
          <w:trHeight w:val="477"/>
        </w:trPr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8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ministerName"/>
            <w:r>
              <w:rPr>
                <w:rFonts w:hint="cs"/>
                <w:sz w:val="26"/>
                <w:szCs w:val="26"/>
                <w:rtl/>
              </w:rPr>
              <w:t>בצלאל סמוטריץ'</w:t>
            </w:r>
            <w:bookmarkStart w:id="9" w:name="ministerDescription"/>
            <w:r>
              <w:rPr>
                <w:rFonts w:hint="cs"/>
                <w:sz w:val="26"/>
                <w:szCs w:val="26"/>
                <w:rtl/>
              </w:rPr>
              <w:t xml:space="preserve"> שר האוצר</w:t>
            </w:r>
            <w:bookmarkEnd w:id="8"/>
            <w:bookmarkEnd w:id="9"/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10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10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364969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AAC49" w14:textId="77777777" w:rsidR="00F81885" w:rsidRDefault="00F81885" w:rsidP="00B416AF">
      <w:pPr>
        <w:pStyle w:val="HeadHatzaotHok"/>
      </w:pPr>
      <w:r>
        <w:separator/>
      </w:r>
    </w:p>
  </w:endnote>
  <w:endnote w:type="continuationSeparator" w:id="0">
    <w:p w14:paraId="42103CE1" w14:textId="77777777" w:rsidR="00F81885" w:rsidRDefault="00F81885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A5304" w14:textId="77777777" w:rsidR="00F81885" w:rsidRDefault="00F81885" w:rsidP="00364969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7F56DDAE" w14:textId="77777777" w:rsidR="00F81885" w:rsidRPr="00696C5E" w:rsidRDefault="00F81885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29B2987A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כ"א באייר התשפ"ה (19 במאי 2025)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1863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י"ד באייר התשפ"ה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12 במאי 2025</w:t>
      </w:r>
      <w:bookmarkEnd w:id="5"/>
      <w:r w:rsidRPr="00827E61">
        <w:rPr>
          <w:rFonts w:hint="cs"/>
          <w:rtl/>
        </w:rPr>
        <w:t>), עמ'</w:t>
      </w:r>
      <w:r w:rsidR="00364969">
        <w:rPr>
          <w:rFonts w:hint="cs"/>
          <w:rtl/>
        </w:rPr>
        <w:t xml:space="preserve"> 760.</w:t>
      </w:r>
      <w:bookmarkStart w:id="6" w:name="_GoBack"/>
      <w:bookmarkEnd w:id="6"/>
    </w:p>
  </w:footnote>
  <w:footnote w:id="2">
    <w:p w14:paraId="43871FE0" w14:textId="77777777" w:rsidR="00364969" w:rsidRDefault="00364969" w:rsidP="0036496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התשפ"ה</w:t>
      </w:r>
      <w:proofErr w:type="spellEnd"/>
      <w:r>
        <w:rPr>
          <w:rtl/>
        </w:rPr>
        <w:t>, עמ' 414.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31786"/>
    <w:rsid w:val="0034385F"/>
    <w:rsid w:val="00352E82"/>
    <w:rsid w:val="00364969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6F560B"/>
    <w:rsid w:val="007066D5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8F5468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81885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69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4969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364969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364969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364969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64969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36496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64969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364969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364969"/>
    <w:rPr>
      <w:sz w:val="36"/>
      <w:szCs w:val="52"/>
    </w:rPr>
  </w:style>
  <w:style w:type="paragraph" w:customStyle="1" w:styleId="Cover3-Haknesset">
    <w:name w:val="Cover 3-Haknesset"/>
    <w:basedOn w:val="Cover1-Reshumot"/>
    <w:rsid w:val="00364969"/>
    <w:rPr>
      <w:b/>
      <w:bCs/>
      <w:spacing w:val="60"/>
    </w:rPr>
  </w:style>
  <w:style w:type="paragraph" w:customStyle="1" w:styleId="Cover4-Date">
    <w:name w:val="Cover 4-Date"/>
    <w:basedOn w:val="a"/>
    <w:rsid w:val="0036496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364969"/>
    <w:rPr>
      <w:vertAlign w:val="superscript"/>
    </w:rPr>
  </w:style>
  <w:style w:type="paragraph" w:customStyle="1" w:styleId="Ragil">
    <w:name w:val="Ragil"/>
    <w:basedOn w:val="a"/>
    <w:rsid w:val="00364969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364969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364969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364969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364969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364969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364969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364969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364969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364969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364969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364969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364969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364969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364969"/>
    <w:rPr>
      <w:color w:val="0563C1" w:themeColor="hyperlink"/>
      <w:u w:val="single"/>
    </w:rPr>
  </w:style>
  <w:style w:type="character" w:styleId="ac">
    <w:name w:val="page number"/>
    <w:basedOn w:val="a0"/>
    <w:rsid w:val="00364969"/>
  </w:style>
  <w:style w:type="paragraph" w:customStyle="1" w:styleId="TableText">
    <w:name w:val="Table Text"/>
    <w:basedOn w:val="a"/>
    <w:rsid w:val="00364969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364969"/>
    <w:pPr>
      <w:jc w:val="both"/>
    </w:pPr>
  </w:style>
  <w:style w:type="paragraph" w:customStyle="1" w:styleId="TableBlockOutdent">
    <w:name w:val="Table BlockOutdent"/>
    <w:basedOn w:val="TableBlock"/>
    <w:rsid w:val="00364969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364969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364969"/>
    <w:pPr>
      <w:outlineLvl w:val="2"/>
    </w:pPr>
  </w:style>
  <w:style w:type="paragraph" w:customStyle="1" w:styleId="TableInnerSideHeading">
    <w:name w:val="Table InnerSideHeading"/>
    <w:basedOn w:val="TableSideHeading"/>
    <w:rsid w:val="00364969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364969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364969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364969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364969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364969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364969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364969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364969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364969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364969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364969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364969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364969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364969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364969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364969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364969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364969"/>
    <w:rPr>
      <w:rFonts w:eastAsia="Times New Roman"/>
    </w:rPr>
  </w:style>
  <w:style w:type="paragraph" w:styleId="af1">
    <w:name w:val="List Paragraph"/>
    <w:basedOn w:val="a"/>
    <w:uiPriority w:val="34"/>
    <w:qFormat/>
    <w:rsid w:val="00364969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36496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64969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364969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364969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364969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D3E59-1685-4866-88AE-10917921A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4AC59-7FF3-4EBD-9033-7274AE0BD6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86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10</cp:revision>
  <cp:lastPrinted>1900-12-31T21:00:00Z</cp:lastPrinted>
  <dcterms:created xsi:type="dcterms:W3CDTF">2015-06-14T12:44:00Z</dcterms:created>
  <dcterms:modified xsi:type="dcterms:W3CDTF">2025-05-20T05:20:00Z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2231474</vt:r8>
  </property>
  <property fmtid="{D5CDD505-2E9C-101B-9397-08002B2CF9AE}" pid="21" name="SanhedrinDocumentType">
    <vt:r8>42</vt:r8>
  </property>
</Properties>
</file>