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4F55C3DA" w:rsidR="008525E2" w:rsidRDefault="00220CAF" w:rsidP="00FA05EE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הסכמים קיבוציים (תיקון מס' 11 </w:t>
      </w:r>
      <w:r w:rsidR="00FA05EE">
        <w:rPr>
          <w:sz w:val="26"/>
          <w:rtl/>
        </w:rPr>
        <w:t>–</w:t>
      </w:r>
      <w:r>
        <w:rPr>
          <w:rStyle w:val="HeadHatzaotHok0"/>
          <w:rFonts w:hint="cs"/>
          <w:rtl/>
        </w:rPr>
        <w:t xml:space="preserve"> הוראת שעה </w:t>
      </w:r>
      <w:r w:rsidR="00FA05EE">
        <w:rPr>
          <w:sz w:val="26"/>
          <w:rtl/>
        </w:rPr>
        <w:t>–</w:t>
      </w:r>
      <w:r>
        <w:rPr>
          <w:rStyle w:val="HeadHatzaotHok0"/>
          <w:rFonts w:hint="cs"/>
          <w:rtl/>
        </w:rPr>
        <w:t xml:space="preserve"> חרבות ברזל) (הוראות מיוחדות לעניין הרחבת הסכם קיבוצי כללי שנעשה בשל פעולות האיבה או פעולות המלחמה), </w:t>
      </w:r>
      <w:proofErr w:type="spellStart"/>
      <w:r>
        <w:rPr>
          <w:rStyle w:val="HeadHatzaotHok0"/>
          <w:rFonts w:hint="cs"/>
          <w:rtl/>
        </w:rPr>
        <w:t>התשפ"ד</w:t>
      </w:r>
      <w:proofErr w:type="spellEnd"/>
      <w:r w:rsidR="00FA05EE">
        <w:rPr>
          <w:sz w:val="26"/>
          <w:rtl/>
        </w:rPr>
        <w:t>–</w:t>
      </w:r>
      <w:r>
        <w:rPr>
          <w:rStyle w:val="HeadHatzaotHok0"/>
          <w:rFonts w:hint="cs"/>
          <w:rtl/>
        </w:rPr>
        <w:t>2024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52B92E32" w14:textId="77777777" w:rsidR="00FA05EE" w:rsidRDefault="00FA05EE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624"/>
        <w:gridCol w:w="624"/>
        <w:gridCol w:w="624"/>
        <w:gridCol w:w="624"/>
        <w:gridCol w:w="624"/>
        <w:gridCol w:w="624"/>
        <w:gridCol w:w="4023"/>
      </w:tblGrid>
      <w:tr w:rsidR="00FA05EE" w:rsidRPr="0011143F" w14:paraId="6C76A397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54D187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חוק הסכמים קיבוציים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הוראת שעה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חרבות ברזל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F71224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1.</w:t>
            </w: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7FD0B6" w14:textId="745D56E1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בתקופה </w:t>
            </w:r>
            <w:r>
              <w:rPr>
                <w:rFonts w:ascii="David" w:hAnsi="David" w:hint="cs"/>
                <w:sz w:val="26"/>
                <w:rtl/>
              </w:rPr>
              <w:t xml:space="preserve">של שישה </w:t>
            </w:r>
            <w:bookmarkStart w:id="7" w:name="_GoBack"/>
            <w:r>
              <w:rPr>
                <w:rFonts w:ascii="David" w:hAnsi="David" w:hint="cs"/>
                <w:sz w:val="26"/>
                <w:rtl/>
              </w:rPr>
              <w:t xml:space="preserve">חודשים </w:t>
            </w:r>
            <w:r w:rsidRPr="0011143F">
              <w:rPr>
                <w:rFonts w:ascii="David" w:hAnsi="David"/>
                <w:sz w:val="26"/>
                <w:rtl/>
              </w:rPr>
              <w:t xml:space="preserve">מיום </w:t>
            </w:r>
            <w:bookmarkEnd w:id="7"/>
            <w:r w:rsidRPr="0011143F">
              <w:rPr>
                <w:rFonts w:ascii="David" w:hAnsi="David"/>
                <w:sz w:val="26"/>
                <w:rtl/>
              </w:rPr>
              <w:t>תחילתו של חוק זה</w:t>
            </w:r>
            <w:r>
              <w:rPr>
                <w:rFonts w:ascii="David" w:hAnsi="David" w:hint="cs"/>
                <w:sz w:val="26"/>
                <w:rtl/>
              </w:rPr>
              <w:t xml:space="preserve"> (בחוק זה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תקופת הוראת השעה)</w:t>
            </w:r>
            <w:r w:rsidRPr="0011143F">
              <w:rPr>
                <w:rFonts w:ascii="David" w:hAnsi="David"/>
                <w:sz w:val="26"/>
                <w:rtl/>
              </w:rPr>
              <w:t xml:space="preserve">, יקראו את חוק הסכמים קיבוציים, </w:t>
            </w:r>
            <w:proofErr w:type="spellStart"/>
            <w:r w:rsidRPr="0011143F">
              <w:rPr>
                <w:rFonts w:ascii="David" w:hAnsi="David"/>
                <w:sz w:val="26"/>
                <w:rtl/>
              </w:rPr>
              <w:t>התשי"ז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>1957‏</w:t>
            </w:r>
            <w:r w:rsidRPr="00FA05EE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ascii="David" w:hAnsi="David"/>
                <w:sz w:val="26"/>
                <w:vertAlign w:val="subscript"/>
                <w:rtl/>
              </w:rPr>
              <w:t xml:space="preserve"> </w:t>
            </w:r>
            <w:r w:rsidRPr="0011143F">
              <w:rPr>
                <w:rFonts w:ascii="David" w:hAnsi="David"/>
                <w:sz w:val="26"/>
                <w:rtl/>
              </w:rPr>
              <w:t xml:space="preserve">(להלן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החוק העיקרי), כך</w:t>
            </w:r>
            <w:r>
              <w:rPr>
                <w:rFonts w:ascii="David" w:hAnsi="David" w:hint="cs"/>
                <w:sz w:val="26"/>
                <w:rtl/>
              </w:rPr>
              <w:t xml:space="preserve"> שאחרי סעיף 26 יבוא:</w:t>
            </w:r>
          </w:p>
        </w:tc>
      </w:tr>
      <w:tr w:rsidR="00FA05EE" w:rsidRPr="0011143F" w14:paraId="0AEB450F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6ED104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55555B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1872" w:type="dxa"/>
            <w:gridSpan w:val="3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0B841CD" w14:textId="77777777" w:rsidR="00FA05EE" w:rsidRPr="0011143F" w:rsidRDefault="00FA05EE" w:rsidP="00506321">
            <w:pPr>
              <w:pStyle w:val="TableInnerSideHeading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"הוראות מיוחדות לעניין </w:t>
            </w:r>
            <w:r>
              <w:rPr>
                <w:rFonts w:ascii="David" w:hAnsi="David" w:hint="cs"/>
                <w:sz w:val="26"/>
                <w:rtl/>
              </w:rPr>
              <w:t>הרחבת</w:t>
            </w:r>
            <w:r w:rsidRPr="0011143F">
              <w:rPr>
                <w:rFonts w:ascii="David" w:hAnsi="David"/>
                <w:sz w:val="26"/>
                <w:rtl/>
              </w:rPr>
              <w:t xml:space="preserve"> הסכם קיבוצי כללי שנעשה בשל פעולות האיבה או פעולות המלחמה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הוראת שעה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חרבות ברזל 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C122BA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26א.</w:t>
            </w: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5DF777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(א)</w:t>
            </w:r>
            <w:r w:rsidRPr="0011143F">
              <w:rPr>
                <w:rFonts w:ascii="David" w:hAnsi="David"/>
                <w:sz w:val="26"/>
                <w:rtl/>
              </w:rPr>
              <w:tab/>
              <w:t xml:space="preserve">בסעיף זה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</w:p>
        </w:tc>
      </w:tr>
      <w:tr w:rsidR="00FA05EE" w:rsidRPr="0011143F" w14:paraId="2F42E66A" w14:textId="77777777" w:rsidTr="00FA05EE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7EC50618" w14:textId="77777777" w:rsidR="00FA05EE" w:rsidRDefault="00FA05EE" w:rsidP="00506321">
            <w:pPr>
              <w:pStyle w:val="TableSideHeading"/>
            </w:pPr>
          </w:p>
        </w:tc>
        <w:tc>
          <w:tcPr>
            <w:tcW w:w="624" w:type="dxa"/>
          </w:tcPr>
          <w:p w14:paraId="6787C904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5F3799DC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73166CFA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3E5FADC7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779A87FA" w14:textId="77777777" w:rsidR="00FA05EE" w:rsidRDefault="00FA05EE" w:rsidP="00506321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7E5F761B" w14:textId="77777777" w:rsidR="00FA05EE" w:rsidRPr="0011143F" w:rsidRDefault="00FA05EE" w:rsidP="00FA05EE">
            <w:pPr>
              <w:pStyle w:val="TableBlockOutdent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"ההכרזה על מצב מיוחד בעורף"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ההכרזה על מצב מיוחד בעורף </w:t>
            </w:r>
            <w:r w:rsidRPr="007546C5">
              <w:rPr>
                <w:rFonts w:ascii="David" w:hAnsi="David"/>
                <w:sz w:val="26"/>
                <w:rtl/>
              </w:rPr>
              <w:t xml:space="preserve">כהגדרתו בחוק ההתגוננות האזרחית, </w:t>
            </w:r>
            <w:proofErr w:type="spellStart"/>
            <w:r w:rsidRPr="007546C5">
              <w:rPr>
                <w:rFonts w:ascii="David" w:hAnsi="David"/>
                <w:sz w:val="26"/>
                <w:rtl/>
              </w:rPr>
              <w:t>התשי"א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>–</w:t>
            </w:r>
            <w:r w:rsidRPr="007546C5">
              <w:rPr>
                <w:rFonts w:ascii="David" w:hAnsi="David"/>
                <w:sz w:val="26"/>
                <w:rtl/>
              </w:rPr>
              <w:t>1951</w:t>
            </w:r>
            <w:r w:rsidRPr="00FA05EE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ascii="David" w:hAnsi="David" w:hint="cs"/>
                <w:sz w:val="26"/>
                <w:rtl/>
              </w:rPr>
              <w:t xml:space="preserve">, </w:t>
            </w:r>
            <w:r w:rsidRPr="0011143F">
              <w:rPr>
                <w:rFonts w:ascii="David" w:hAnsi="David"/>
                <w:sz w:val="26"/>
                <w:rtl/>
              </w:rPr>
              <w:t xml:space="preserve">מיום כ"ב בתשרי </w:t>
            </w:r>
            <w:proofErr w:type="spellStart"/>
            <w:r w:rsidRPr="0011143F">
              <w:rPr>
                <w:rFonts w:ascii="David" w:hAnsi="David"/>
                <w:sz w:val="26"/>
                <w:rtl/>
              </w:rPr>
              <w:t>התשפ"ד</w:t>
            </w:r>
            <w:proofErr w:type="spellEnd"/>
            <w:r w:rsidRPr="0011143F">
              <w:rPr>
                <w:rFonts w:ascii="David" w:hAnsi="David"/>
                <w:sz w:val="26"/>
                <w:rtl/>
              </w:rPr>
              <w:t xml:space="preserve"> (7 באוקטובר 2023); </w:t>
            </w:r>
          </w:p>
        </w:tc>
      </w:tr>
      <w:tr w:rsidR="00FA05EE" w:rsidRPr="0011143F" w14:paraId="7C8878D3" w14:textId="77777777" w:rsidTr="00FA05EE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348E4D0C" w14:textId="77777777" w:rsidR="00FA05EE" w:rsidRDefault="00FA05EE" w:rsidP="00506321">
            <w:pPr>
              <w:pStyle w:val="TableSideHeading"/>
            </w:pPr>
          </w:p>
        </w:tc>
        <w:tc>
          <w:tcPr>
            <w:tcW w:w="624" w:type="dxa"/>
          </w:tcPr>
          <w:p w14:paraId="522E8559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5DBE85D1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71207EA3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06A719A5" w14:textId="77777777" w:rsidR="00FA05EE" w:rsidRDefault="00FA05EE" w:rsidP="00506321">
            <w:pPr>
              <w:pStyle w:val="TableText"/>
            </w:pPr>
          </w:p>
        </w:tc>
        <w:tc>
          <w:tcPr>
            <w:tcW w:w="624" w:type="dxa"/>
          </w:tcPr>
          <w:p w14:paraId="538F8E1B" w14:textId="77777777" w:rsidR="00FA05EE" w:rsidRDefault="00FA05EE" w:rsidP="00506321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454B805E" w14:textId="77777777" w:rsidR="00FA05EE" w:rsidRPr="0011143F" w:rsidRDefault="00FA05EE" w:rsidP="00FA05EE">
            <w:pPr>
              <w:pStyle w:val="TableBlockOutdent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"הסכם קיבוצי כללי שנעשה בשל פעולות האיבה או פעולות המלחמה"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הסכם קיבוצי כללי שהעניינים המוסדרים בו, כאמור בסעיף 1, </w:t>
            </w:r>
            <w:r>
              <w:rPr>
                <w:rFonts w:ascii="David" w:hAnsi="David" w:hint="cs"/>
                <w:sz w:val="26"/>
                <w:rtl/>
              </w:rPr>
              <w:t>נובעים</w:t>
            </w: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>בעיקרם מ</w:t>
            </w:r>
            <w:r w:rsidRPr="0011143F">
              <w:rPr>
                <w:rFonts w:ascii="David" w:hAnsi="David"/>
                <w:sz w:val="26"/>
                <w:rtl/>
              </w:rPr>
              <w:t xml:space="preserve">פעולות האיבה או פעולות המלחמה;  </w:t>
            </w:r>
          </w:p>
        </w:tc>
      </w:tr>
      <w:tr w:rsidR="00FA05EE" w:rsidRPr="0011143F" w14:paraId="2B1D96AF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903F53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DA129E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090B79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09CCCA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024531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251A2E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6A2516" w14:textId="77777777" w:rsidR="00FA05EE" w:rsidRPr="0011143F" w:rsidRDefault="00FA05EE" w:rsidP="00FA05EE">
            <w:pPr>
              <w:pStyle w:val="TableBlockOutdent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"פעולות האיבה או פעולות המלחמה"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פעולות האיבה או פעולות המלחמה שאירעו בתקופה שמיום ההכרזה על מצב מיוחד בעורף עד תום תקופת תוקפה של ההכרזה האמורה או עד תום הפעולות הצבאיות המשמעותיות, לפי המאוחר; </w:t>
            </w:r>
          </w:p>
        </w:tc>
      </w:tr>
      <w:tr w:rsidR="00FA05EE" w:rsidRPr="0011143F" w14:paraId="0D3D8CCA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2A7B50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C96754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28DF55C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0A76DA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7E7E63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C352BE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49EE07" w14:textId="77777777" w:rsidR="00FA05EE" w:rsidRPr="0011143F" w:rsidRDefault="00FA05EE" w:rsidP="00FA05EE">
            <w:pPr>
              <w:pStyle w:val="TableBlockOutdent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"הפעולות הצבאיות המשמעותיות" </w:t>
            </w:r>
            <w:r>
              <w:rPr>
                <w:rFonts w:ascii="David" w:hAnsi="David"/>
                <w:sz w:val="26"/>
                <w:rtl/>
              </w:rPr>
              <w:t>–</w:t>
            </w:r>
            <w:r w:rsidRPr="0011143F">
              <w:rPr>
                <w:rFonts w:ascii="David" w:hAnsi="David"/>
                <w:sz w:val="26"/>
                <w:rtl/>
              </w:rPr>
              <w:t xml:space="preserve"> הפעולות הצבאיות המשמעותיות שעליהן החליטה ועדת השרים לענייני ביטחון לאומי לפי סעיף 40 </w:t>
            </w:r>
            <w:proofErr w:type="spellStart"/>
            <w:r w:rsidRPr="0011143F">
              <w:rPr>
                <w:rFonts w:ascii="David" w:hAnsi="David"/>
                <w:sz w:val="26"/>
                <w:rtl/>
              </w:rPr>
              <w:t>לחוק־יסוד</w:t>
            </w:r>
            <w:proofErr w:type="spellEnd"/>
            <w:r w:rsidRPr="0011143F">
              <w:rPr>
                <w:rFonts w:ascii="David" w:hAnsi="David"/>
                <w:sz w:val="26"/>
                <w:rtl/>
              </w:rPr>
              <w:t>: הממשלה</w:t>
            </w:r>
            <w:r w:rsidRPr="00FA05EE">
              <w:rPr>
                <w:rStyle w:val="a8"/>
                <w:rFonts w:ascii="David" w:hAnsi="David"/>
                <w:sz w:val="26"/>
                <w:rtl/>
              </w:rPr>
              <w:footnoteReference w:id="4"/>
            </w:r>
            <w:r w:rsidRPr="0011143F">
              <w:rPr>
                <w:rFonts w:ascii="David" w:hAnsi="David"/>
                <w:sz w:val="26"/>
                <w:rtl/>
              </w:rPr>
              <w:t xml:space="preserve">, והודיעה לגביהן לוועדת החוץ והביטחון של הכנסת ביום כ"ג בתשרי </w:t>
            </w:r>
            <w:proofErr w:type="spellStart"/>
            <w:r w:rsidRPr="0011143F">
              <w:rPr>
                <w:rFonts w:ascii="David" w:hAnsi="David"/>
                <w:sz w:val="26"/>
                <w:rtl/>
              </w:rPr>
              <w:t>התשפ"ד</w:t>
            </w:r>
            <w:proofErr w:type="spellEnd"/>
            <w:r w:rsidRPr="0011143F">
              <w:rPr>
                <w:rFonts w:ascii="David" w:hAnsi="David"/>
                <w:sz w:val="26"/>
                <w:rtl/>
              </w:rPr>
              <w:t xml:space="preserve"> (8 באוקטובר 2023).</w:t>
            </w:r>
          </w:p>
        </w:tc>
      </w:tr>
      <w:tr w:rsidR="00FA05EE" w:rsidRPr="0011143F" w14:paraId="49221C61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4ED9CF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06850F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2B6665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03F148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4C20AA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8DD480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1E1BED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(ב)</w:t>
            </w:r>
            <w:r w:rsidRPr="0011143F">
              <w:rPr>
                <w:rFonts w:ascii="David" w:hAnsi="David"/>
                <w:sz w:val="26"/>
                <w:rtl/>
              </w:rPr>
              <w:tab/>
              <w:t xml:space="preserve">על אף האמור בהוראות לפי סעיפים 26 ו־34, שוכנע שר העבודה כי </w:t>
            </w:r>
            <w:r>
              <w:rPr>
                <w:rFonts w:ascii="David" w:hAnsi="David" w:hint="cs"/>
                <w:sz w:val="26"/>
                <w:rtl/>
              </w:rPr>
              <w:t xml:space="preserve">הסכם קיבוצי כללי הוא </w:t>
            </w:r>
            <w:r w:rsidRPr="0011143F">
              <w:rPr>
                <w:rFonts w:ascii="David" w:hAnsi="David"/>
                <w:sz w:val="26"/>
                <w:rtl/>
              </w:rPr>
              <w:t xml:space="preserve">הסכם קיבוצי כללי שנעשה </w:t>
            </w:r>
            <w:r w:rsidRPr="00626BB3">
              <w:rPr>
                <w:rFonts w:ascii="David" w:hAnsi="David"/>
                <w:sz w:val="26"/>
                <w:rtl/>
              </w:rPr>
              <w:t>בשל פעולות האיבה או פעולות המלחמה</w:t>
            </w:r>
            <w:r w:rsidRPr="00626BB3">
              <w:rPr>
                <w:rFonts w:ascii="David" w:eastAsia="MS Mincho" w:hAnsi="David" w:cs="Hadasa Roso SL"/>
                <w:snapToGrid/>
                <w:spacing w:val="1"/>
                <w:sz w:val="26"/>
                <w:szCs w:val="17"/>
                <w:rtl/>
              </w:rPr>
              <w:t xml:space="preserve"> </w:t>
            </w:r>
            <w:r w:rsidRPr="00626BB3">
              <w:rPr>
                <w:rFonts w:ascii="David" w:hAnsi="David" w:hint="cs"/>
                <w:sz w:val="26"/>
                <w:rtl/>
              </w:rPr>
              <w:t xml:space="preserve">ויש </w:t>
            </w:r>
            <w:r w:rsidRPr="00626BB3">
              <w:rPr>
                <w:rFonts w:ascii="David" w:hAnsi="David"/>
                <w:sz w:val="26"/>
                <w:rtl/>
              </w:rPr>
              <w:t xml:space="preserve">דחיפות </w:t>
            </w:r>
            <w:r w:rsidRPr="00626BB3">
              <w:rPr>
                <w:rFonts w:ascii="David" w:hAnsi="David" w:hint="eastAsia"/>
                <w:sz w:val="26"/>
                <w:rtl/>
              </w:rPr>
              <w:t>לתת</w:t>
            </w:r>
            <w:r w:rsidRPr="00626BB3">
              <w:rPr>
                <w:rFonts w:ascii="David" w:hAnsi="David"/>
                <w:sz w:val="26"/>
                <w:rtl/>
              </w:rPr>
              <w:t xml:space="preserve"> צו הרחבה לגבי</w:t>
            </w:r>
            <w:r w:rsidRPr="00626BB3">
              <w:rPr>
                <w:rFonts w:ascii="David" w:hAnsi="David" w:hint="cs"/>
                <w:sz w:val="26"/>
                <w:rtl/>
              </w:rPr>
              <w:t>ו</w:t>
            </w:r>
            <w:r w:rsidRPr="00626BB3">
              <w:rPr>
                <w:rFonts w:ascii="David" w:hAnsi="David"/>
                <w:sz w:val="26"/>
                <w:rtl/>
              </w:rPr>
              <w:t>, יחולו הוראות אלה:</w:t>
            </w: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</w:p>
        </w:tc>
      </w:tr>
      <w:tr w:rsidR="00FA05EE" w:rsidRPr="0011143F" w14:paraId="48CC5867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A78171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1D9B7B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E25F79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75A216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D81856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2A55E9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2EAE19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0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D9E8FF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(1)</w:t>
            </w:r>
            <w:r w:rsidRPr="0011143F">
              <w:rPr>
                <w:rFonts w:ascii="David" w:hAnsi="David"/>
                <w:sz w:val="26"/>
                <w:rtl/>
              </w:rPr>
              <w:tab/>
              <w:t xml:space="preserve">הודעת שר העבודה על כוונתו לתת צו הרחבה לגבי ההסכם </w:t>
            </w:r>
            <w:r>
              <w:rPr>
                <w:rFonts w:ascii="David" w:hAnsi="David" w:hint="cs"/>
                <w:sz w:val="26"/>
                <w:rtl/>
              </w:rPr>
              <w:t xml:space="preserve">(בסעיף זה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הודעה) </w:t>
            </w:r>
            <w:r w:rsidRPr="0011143F">
              <w:rPr>
                <w:rFonts w:ascii="David" w:hAnsi="David"/>
                <w:sz w:val="26"/>
                <w:rtl/>
              </w:rPr>
              <w:t xml:space="preserve">תפורסם ברשומות; בהודעה יצוין כי ההסכם הוא הסכם קיבוצי כללי שנעשה בשל פעולות </w:t>
            </w:r>
            <w:r w:rsidRPr="00626BB3">
              <w:rPr>
                <w:rFonts w:ascii="David" w:hAnsi="David"/>
                <w:sz w:val="26"/>
                <w:rtl/>
              </w:rPr>
              <w:t xml:space="preserve">האיבה או פעולות המלחמה, וכי שר העבודה שוכנע כי </w:t>
            </w:r>
            <w:r w:rsidRPr="00626BB3">
              <w:rPr>
                <w:rFonts w:ascii="David" w:hAnsi="David" w:hint="cs"/>
                <w:sz w:val="26"/>
                <w:rtl/>
              </w:rPr>
              <w:t>יש</w:t>
            </w:r>
            <w:r w:rsidRPr="00626BB3">
              <w:rPr>
                <w:rFonts w:ascii="David" w:hAnsi="David"/>
                <w:sz w:val="26"/>
                <w:rtl/>
              </w:rPr>
              <w:t xml:space="preserve"> דחיפות </w:t>
            </w:r>
            <w:r w:rsidRPr="001027C8">
              <w:rPr>
                <w:rFonts w:ascii="David" w:hAnsi="David" w:hint="eastAsia"/>
                <w:sz w:val="26"/>
                <w:rtl/>
              </w:rPr>
              <w:t>להרחיב</w:t>
            </w:r>
            <w:r w:rsidRPr="001027C8">
              <w:rPr>
                <w:rFonts w:ascii="David" w:hAnsi="David"/>
                <w:sz w:val="26"/>
                <w:rtl/>
              </w:rPr>
              <w:t xml:space="preserve"> </w:t>
            </w:r>
            <w:r w:rsidRPr="001027C8">
              <w:rPr>
                <w:rFonts w:ascii="David" w:hAnsi="David" w:hint="eastAsia"/>
                <w:sz w:val="26"/>
                <w:rtl/>
              </w:rPr>
              <w:t>את</w:t>
            </w:r>
            <w:r w:rsidRPr="00626BB3">
              <w:rPr>
                <w:rFonts w:ascii="David" w:hAnsi="David" w:hint="cs"/>
                <w:sz w:val="26"/>
                <w:rtl/>
              </w:rPr>
              <w:t xml:space="preserve"> היקף תחולתו, וכן </w:t>
            </w:r>
            <w:r w:rsidRPr="00626BB3">
              <w:rPr>
                <w:rFonts w:ascii="David" w:hAnsi="David"/>
                <w:sz w:val="26"/>
                <w:rtl/>
              </w:rPr>
              <w:t>יצוין</w:t>
            </w:r>
            <w:r w:rsidRPr="0011143F">
              <w:rPr>
                <w:rFonts w:ascii="David" w:hAnsi="David"/>
                <w:sz w:val="26"/>
                <w:rtl/>
              </w:rPr>
              <w:t xml:space="preserve"> המועד האחרון להגשת ערר על מתן צו ההרחבה כאמור בפסקה (2); </w:t>
            </w:r>
          </w:p>
        </w:tc>
      </w:tr>
      <w:tr w:rsidR="00FA05EE" w:rsidRPr="0011143F" w14:paraId="409C7BF9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68321F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57ACC5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8BF5C9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60C8ED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09330C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F80C16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F4485C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0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88DD3D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(2)</w:t>
            </w:r>
            <w:r w:rsidRPr="0011143F">
              <w:rPr>
                <w:rFonts w:ascii="David" w:hAnsi="David"/>
                <w:sz w:val="26"/>
                <w:rtl/>
              </w:rPr>
              <w:tab/>
              <w:t xml:space="preserve">ערר </w:t>
            </w:r>
            <w:r>
              <w:rPr>
                <w:rFonts w:ascii="David" w:hAnsi="David" w:hint="cs"/>
                <w:sz w:val="26"/>
                <w:rtl/>
              </w:rPr>
              <w:t>כמשמעותו</w:t>
            </w: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>ב</w:t>
            </w:r>
            <w:r w:rsidRPr="0011143F">
              <w:rPr>
                <w:rFonts w:ascii="David" w:hAnsi="David"/>
                <w:sz w:val="26"/>
                <w:rtl/>
              </w:rPr>
              <w:t xml:space="preserve">סעיף 26 על מתן צו </w:t>
            </w:r>
            <w:r>
              <w:rPr>
                <w:rFonts w:ascii="David" w:hAnsi="David" w:hint="cs"/>
                <w:sz w:val="26"/>
                <w:rtl/>
              </w:rPr>
              <w:t xml:space="preserve">ההרחבה </w:t>
            </w:r>
            <w:r w:rsidRPr="0011143F">
              <w:rPr>
                <w:rFonts w:ascii="David" w:hAnsi="David"/>
                <w:sz w:val="26"/>
                <w:rtl/>
              </w:rPr>
              <w:t xml:space="preserve">יוגש </w:t>
            </w:r>
            <w:r>
              <w:rPr>
                <w:rFonts w:ascii="David" w:hAnsi="David" w:hint="cs"/>
                <w:sz w:val="26"/>
                <w:rtl/>
              </w:rPr>
              <w:t xml:space="preserve">לשר העבודה </w:t>
            </w:r>
            <w:r w:rsidRPr="0011143F">
              <w:rPr>
                <w:rFonts w:ascii="David" w:hAnsi="David"/>
                <w:sz w:val="26"/>
                <w:rtl/>
              </w:rPr>
              <w:t xml:space="preserve">באופן מקוון לא יאוחר מארבעה ימים </w:t>
            </w:r>
            <w:r>
              <w:rPr>
                <w:rFonts w:ascii="David" w:hAnsi="David" w:hint="cs"/>
                <w:sz w:val="26"/>
                <w:rtl/>
              </w:rPr>
              <w:t>מיום</w:t>
            </w:r>
            <w:r w:rsidRPr="0011143F">
              <w:rPr>
                <w:rFonts w:ascii="David" w:hAnsi="David"/>
                <w:sz w:val="26"/>
                <w:rtl/>
              </w:rPr>
              <w:t xml:space="preserve"> פרסום </w:t>
            </w:r>
            <w:r>
              <w:rPr>
                <w:rFonts w:ascii="David" w:hAnsi="David" w:hint="cs"/>
                <w:sz w:val="26"/>
                <w:rtl/>
              </w:rPr>
              <w:t xml:space="preserve">ההודעה של </w:t>
            </w:r>
            <w:r w:rsidRPr="0011143F">
              <w:rPr>
                <w:rFonts w:ascii="David" w:hAnsi="David"/>
                <w:sz w:val="26"/>
                <w:rtl/>
              </w:rPr>
              <w:t>שר העבודה לפי פסקה (1) ברשומות או במועד מאוחר יותר ש</w:t>
            </w:r>
            <w:r>
              <w:rPr>
                <w:rFonts w:ascii="David" w:hAnsi="David" w:hint="cs"/>
                <w:sz w:val="26"/>
                <w:rtl/>
              </w:rPr>
              <w:t>ציין</w:t>
            </w:r>
            <w:r w:rsidRPr="0011143F">
              <w:rPr>
                <w:rFonts w:ascii="David" w:hAnsi="David"/>
                <w:sz w:val="26"/>
                <w:rtl/>
              </w:rPr>
              <w:t xml:space="preserve"> שר העבודה</w:t>
            </w:r>
            <w:r>
              <w:rPr>
                <w:rFonts w:ascii="David" w:hAnsi="David" w:hint="cs"/>
                <w:sz w:val="26"/>
                <w:rtl/>
              </w:rPr>
              <w:t xml:space="preserve"> בהודעה</w:t>
            </w:r>
            <w:r w:rsidRPr="0011143F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FA05EE" w:rsidRPr="0011143F" w14:paraId="52BAC24B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4CE163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6F7C50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00F1BD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46B00E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DD0578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279427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66B618E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0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8A3FB5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(3)</w:t>
            </w:r>
            <w:r w:rsidRPr="0011143F">
              <w:rPr>
                <w:rFonts w:ascii="David" w:hAnsi="David"/>
                <w:sz w:val="26"/>
                <w:rtl/>
              </w:rPr>
              <w:tab/>
              <w:t xml:space="preserve">שר העבודה רשאי לתת את צו ההרחבה אף אם טרם חלף חודש מיום פרסום ההודעה ברשומות, ובלבד שחלפו שבעה ימים לפחות מהיום האמור.  </w:t>
            </w:r>
          </w:p>
        </w:tc>
      </w:tr>
      <w:tr w:rsidR="00FA05EE" w:rsidRPr="0011143F" w14:paraId="608F849D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BC9249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44D410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881F9C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318D8C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100095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F35456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F7128D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(ג)</w:t>
            </w:r>
            <w:r w:rsidRPr="0011143F">
              <w:rPr>
                <w:rFonts w:ascii="David" w:hAnsi="David"/>
                <w:sz w:val="26"/>
                <w:rtl/>
              </w:rPr>
              <w:tab/>
              <w:t>על אף האמור בהוראות לפי סעיפים 10 ו־34 לעניין הגשת הסכם קיבוצי לרישום, פורסמה הודע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 xml:space="preserve">של </w:t>
            </w:r>
            <w:r w:rsidRPr="0011143F">
              <w:rPr>
                <w:rFonts w:ascii="David" w:hAnsi="David"/>
                <w:sz w:val="26"/>
                <w:rtl/>
              </w:rPr>
              <w:t xml:space="preserve">שר העבודה על כוונתו לתת צו הרחבה לפי סעיף קטן (ב)(1), יחולו הוראות אלה: </w:t>
            </w:r>
          </w:p>
        </w:tc>
      </w:tr>
      <w:tr w:rsidR="00FA05EE" w:rsidRPr="0011143F" w14:paraId="028FC59F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DF6043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07CD364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C67047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CE428A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DB6D97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08224F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18EC1D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0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27164F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(1)</w:t>
            </w:r>
            <w:r w:rsidRPr="0011143F">
              <w:rPr>
                <w:rFonts w:ascii="David" w:hAnsi="David"/>
                <w:sz w:val="26"/>
                <w:rtl/>
              </w:rPr>
              <w:tab/>
              <w:t>טענ</w:t>
            </w:r>
            <w:r>
              <w:rPr>
                <w:rFonts w:ascii="David" w:hAnsi="David" w:hint="cs"/>
                <w:sz w:val="26"/>
                <w:rtl/>
              </w:rPr>
              <w:t xml:space="preserve">ת </w:t>
            </w:r>
            <w:r w:rsidRPr="0011143F">
              <w:rPr>
                <w:rFonts w:ascii="David" w:hAnsi="David"/>
                <w:sz w:val="26"/>
                <w:rtl/>
              </w:rPr>
              <w:t xml:space="preserve">כשרות של ארגון עובדים לפי סעיף 6, הנוגעת </w:t>
            </w:r>
            <w:r w:rsidRPr="00ED1CF7">
              <w:rPr>
                <w:rtl/>
              </w:rPr>
              <w:t xml:space="preserve">להסכם </w:t>
            </w:r>
            <w:r w:rsidRPr="00ED1CF7">
              <w:rPr>
                <w:rFonts w:hint="cs"/>
                <w:rtl/>
              </w:rPr>
              <w:t>ה</w:t>
            </w:r>
            <w:r w:rsidRPr="00ED1CF7">
              <w:rPr>
                <w:rtl/>
              </w:rPr>
              <w:t>קיבוצי</w:t>
            </w:r>
            <w:r w:rsidRPr="00ED1CF7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>ה</w:t>
            </w:r>
            <w:r w:rsidRPr="00ED1CF7">
              <w:rPr>
                <w:rFonts w:ascii="David" w:hAnsi="David"/>
                <w:sz w:val="26"/>
                <w:rtl/>
              </w:rPr>
              <w:t>כללי שנעשה בשל פעולות האיבה או פעולות המלחמה</w:t>
            </w:r>
            <w:r w:rsidRPr="0011143F">
              <w:rPr>
                <w:rFonts w:ascii="David" w:hAnsi="David"/>
                <w:sz w:val="26"/>
                <w:rtl/>
              </w:rPr>
              <w:t>, תוגש לא יאוחר מהמועד להגשת ערר לפי סעיף קטן (ב</w:t>
            </w:r>
            <w:r w:rsidRPr="00991279">
              <w:rPr>
                <w:rFonts w:ascii="David" w:hAnsi="David"/>
                <w:sz w:val="26"/>
                <w:rtl/>
              </w:rPr>
              <w:t>)(2)</w:t>
            </w:r>
            <w:r w:rsidRPr="00991279">
              <w:rPr>
                <w:rFonts w:ascii="David" w:hAnsi="David" w:hint="cs"/>
                <w:sz w:val="26"/>
                <w:rtl/>
              </w:rPr>
              <w:t xml:space="preserve"> ו</w:t>
            </w:r>
            <w:r w:rsidRPr="00991279">
              <w:rPr>
                <w:rFonts w:ascii="David" w:hAnsi="David" w:hint="eastAsia"/>
                <w:sz w:val="26"/>
                <w:rtl/>
              </w:rPr>
              <w:t>תוכרע</w:t>
            </w:r>
            <w:r w:rsidRPr="00991279">
              <w:rPr>
                <w:rFonts w:ascii="David" w:hAnsi="David"/>
                <w:sz w:val="26"/>
                <w:rtl/>
              </w:rPr>
              <w:t xml:space="preserve"> לפני</w:t>
            </w:r>
            <w:r>
              <w:rPr>
                <w:rFonts w:ascii="David" w:hAnsi="David" w:hint="cs"/>
                <w:sz w:val="26"/>
                <w:rtl/>
              </w:rPr>
              <w:t xml:space="preserve"> מתן צו הרחבה כאמור</w:t>
            </w:r>
            <w:r w:rsidRPr="0011143F">
              <w:rPr>
                <w:rFonts w:ascii="David" w:hAnsi="David"/>
                <w:sz w:val="26"/>
                <w:rtl/>
              </w:rPr>
              <w:t>;</w:t>
            </w:r>
          </w:p>
        </w:tc>
      </w:tr>
      <w:tr w:rsidR="00FA05EE" w:rsidRPr="0011143F" w14:paraId="3607D5B4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9D0E0C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30BF6D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2C73A4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5D3984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7435C0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3ED474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69277B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40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1C5C26" w14:textId="77777777" w:rsidR="00FA05EE" w:rsidRPr="0011143F" w:rsidRDefault="00FA05EE" w:rsidP="00FA05EE">
            <w:pPr>
              <w:pStyle w:val="TableBlock"/>
              <w:rPr>
                <w:rtl/>
              </w:rPr>
            </w:pPr>
            <w:r w:rsidRPr="0011143F">
              <w:rPr>
                <w:rtl/>
              </w:rPr>
              <w:t>(2)</w:t>
            </w:r>
            <w:r w:rsidRPr="0011143F">
              <w:rPr>
                <w:rtl/>
              </w:rPr>
              <w:tab/>
            </w:r>
            <w:r>
              <w:rPr>
                <w:rFonts w:hint="cs"/>
                <w:rtl/>
              </w:rPr>
              <w:t>רישום</w:t>
            </w:r>
            <w:r w:rsidRPr="0011143F">
              <w:rPr>
                <w:rtl/>
              </w:rPr>
              <w:t xml:space="preserve"> ההסכם</w:t>
            </w:r>
            <w:r>
              <w:rPr>
                <w:rFonts w:hint="cs"/>
                <w:snapToGrid/>
                <w:rtl/>
              </w:rPr>
              <w:t xml:space="preserve"> הקיבוצי</w:t>
            </w:r>
            <w:r w:rsidRPr="00690C1F">
              <w:rPr>
                <w:rFonts w:hint="cs"/>
                <w:snapToGrid/>
                <w:rtl/>
              </w:rPr>
              <w:t xml:space="preserve"> </w:t>
            </w:r>
            <w:r w:rsidRPr="00690C1F">
              <w:rPr>
                <w:rFonts w:hint="cs"/>
                <w:rtl/>
              </w:rPr>
              <w:t>ה</w:t>
            </w:r>
            <w:r w:rsidRPr="00690C1F">
              <w:rPr>
                <w:rtl/>
              </w:rPr>
              <w:t>כללי שנעשה בשל פעולו</w:t>
            </w:r>
            <w:r w:rsidRPr="00312605">
              <w:rPr>
                <w:rtl/>
              </w:rPr>
              <w:t>ת האיבה או פעולות המלחמה</w:t>
            </w:r>
            <w:r w:rsidRPr="00312605">
              <w:rPr>
                <w:rFonts w:hint="cs"/>
                <w:rtl/>
              </w:rPr>
              <w:t xml:space="preserve"> ייעשה</w:t>
            </w:r>
            <w:r w:rsidRPr="00312605">
              <w:rPr>
                <w:rtl/>
              </w:rPr>
              <w:t xml:space="preserve"> ב</w:t>
            </w:r>
            <w:r w:rsidRPr="0011143F">
              <w:rPr>
                <w:rtl/>
              </w:rPr>
              <w:t>מועד שלא יאוחר מהמועד שבו ניתן צו הרחבה לגביו, אם ניתן."</w:t>
            </w:r>
          </w:p>
        </w:tc>
      </w:tr>
      <w:tr w:rsidR="00FA05EE" w:rsidRPr="0011143F" w14:paraId="6A7FF380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9E3833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 xml:space="preserve">תחולה 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DEE641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2.</w:t>
            </w: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340A67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626BB3">
              <w:rPr>
                <w:rFonts w:ascii="David" w:hAnsi="David"/>
                <w:sz w:val="26"/>
                <w:rtl/>
              </w:rPr>
              <w:t>הוראות סעי</w:t>
            </w:r>
            <w:r w:rsidRPr="00626BB3">
              <w:rPr>
                <w:rFonts w:ascii="David" w:hAnsi="David" w:hint="eastAsia"/>
                <w:sz w:val="26"/>
                <w:rtl/>
              </w:rPr>
              <w:t>ף</w:t>
            </w:r>
            <w:r w:rsidRPr="00626BB3">
              <w:rPr>
                <w:rFonts w:ascii="David" w:hAnsi="David"/>
                <w:sz w:val="26"/>
                <w:rtl/>
              </w:rPr>
              <w:t xml:space="preserve"> 26א לחוק העיקרי כנוסח</w:t>
            </w:r>
            <w:r w:rsidRPr="00626BB3">
              <w:rPr>
                <w:rFonts w:ascii="David" w:hAnsi="David" w:hint="eastAsia"/>
                <w:sz w:val="26"/>
                <w:rtl/>
              </w:rPr>
              <w:t>ו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בתקופת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הוראת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השעה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יחולו</w:t>
            </w:r>
            <w:r w:rsidRPr="00626BB3">
              <w:rPr>
                <w:rFonts w:ascii="David" w:hAnsi="David"/>
                <w:sz w:val="26"/>
                <w:rtl/>
              </w:rPr>
              <w:t xml:space="preserve">, בשינויים שלהלן, על הסכם קיבוצי כללי </w:t>
            </w:r>
            <w:r w:rsidRPr="00626BB3">
              <w:rPr>
                <w:rFonts w:ascii="David" w:hAnsi="David" w:hint="eastAsia"/>
                <w:sz w:val="26"/>
                <w:rtl/>
              </w:rPr>
              <w:t>שהעניינים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המוסדרים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בו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כאמור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בסעיף</w:t>
            </w:r>
            <w:r w:rsidRPr="00626BB3">
              <w:rPr>
                <w:rFonts w:ascii="David" w:hAnsi="David"/>
                <w:sz w:val="26"/>
                <w:rtl/>
              </w:rPr>
              <w:t xml:space="preserve"> 1 </w:t>
            </w:r>
            <w:r w:rsidRPr="00626BB3">
              <w:rPr>
                <w:rFonts w:ascii="David" w:hAnsi="David" w:hint="eastAsia"/>
                <w:sz w:val="26"/>
                <w:rtl/>
              </w:rPr>
              <w:t>לחוק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העיקרי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נובעים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בעיקרם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מפעולות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האיבה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או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פעולות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המלחמה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כהגדרתן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בסעיף</w:t>
            </w:r>
            <w:r w:rsidRPr="00626BB3">
              <w:rPr>
                <w:rFonts w:ascii="David" w:hAnsi="David"/>
                <w:sz w:val="26"/>
                <w:rtl/>
              </w:rPr>
              <w:t xml:space="preserve"> 26א </w:t>
            </w:r>
            <w:r w:rsidRPr="00626BB3">
              <w:rPr>
                <w:rFonts w:ascii="David" w:hAnsi="David" w:hint="eastAsia"/>
                <w:sz w:val="26"/>
                <w:rtl/>
              </w:rPr>
              <w:t>האמור</w:t>
            </w:r>
            <w:r w:rsidRPr="00626BB3">
              <w:rPr>
                <w:rFonts w:ascii="David" w:hAnsi="David"/>
                <w:sz w:val="26"/>
                <w:rtl/>
              </w:rPr>
              <w:t xml:space="preserve">, </w:t>
            </w:r>
            <w:r w:rsidRPr="00626BB3">
              <w:rPr>
                <w:rFonts w:ascii="David" w:hAnsi="David" w:hint="eastAsia"/>
                <w:sz w:val="26"/>
                <w:rtl/>
              </w:rPr>
              <w:t>שפורסמה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לגביו</w:t>
            </w:r>
            <w:r w:rsidRPr="00626BB3">
              <w:rPr>
                <w:rFonts w:ascii="David" w:hAnsi="David"/>
                <w:sz w:val="26"/>
                <w:rtl/>
              </w:rPr>
              <w:t xml:space="preserve"> הודעת שר העבודה בדבר כוונתו לתת צו הרחבה לפני תחילתו של חוק זה:</w:t>
            </w:r>
          </w:p>
        </w:tc>
      </w:tr>
      <w:tr w:rsidR="00FA05EE" w:rsidRPr="0011143F" w14:paraId="114BA66C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AD5D6D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E5F5F7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19D6A2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  <w:r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 xml:space="preserve">הוראות פסקה (1) שבסעיף 26א(ב) האמור 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לא יחולו; השר יפרסם הודעה ברשומות כי ההסכם הוא </w:t>
            </w:r>
            <w:r w:rsidRPr="00F14585">
              <w:rPr>
                <w:rFonts w:ascii="David" w:hAnsi="David"/>
                <w:sz w:val="26"/>
                <w:rtl/>
              </w:rPr>
              <w:t xml:space="preserve">הסכם קיבוצי כללי שנעשה בשל פעולות האיבה או פעולות המלחמה, </w:t>
            </w:r>
            <w:r w:rsidRPr="00626BB3">
              <w:rPr>
                <w:rFonts w:ascii="David" w:hAnsi="David"/>
                <w:sz w:val="26"/>
                <w:rtl/>
              </w:rPr>
              <w:t xml:space="preserve">וכי </w:t>
            </w:r>
            <w:r w:rsidRPr="00626BB3">
              <w:rPr>
                <w:rFonts w:ascii="David" w:hAnsi="David" w:hint="cs"/>
                <w:sz w:val="26"/>
                <w:rtl/>
              </w:rPr>
              <w:t>הוא</w:t>
            </w:r>
            <w:r w:rsidRPr="00626BB3">
              <w:rPr>
                <w:rFonts w:ascii="David" w:hAnsi="David"/>
                <w:sz w:val="26"/>
                <w:rtl/>
              </w:rPr>
              <w:t xml:space="preserve"> שוכנע כי </w:t>
            </w:r>
            <w:r w:rsidRPr="00626BB3">
              <w:rPr>
                <w:rFonts w:ascii="David" w:hAnsi="David" w:hint="cs"/>
                <w:sz w:val="26"/>
                <w:rtl/>
              </w:rPr>
              <w:t>יש</w:t>
            </w:r>
            <w:r w:rsidRPr="00626BB3">
              <w:rPr>
                <w:rFonts w:ascii="David" w:hAnsi="David"/>
                <w:sz w:val="26"/>
                <w:rtl/>
              </w:rPr>
              <w:t xml:space="preserve"> דחיפות </w:t>
            </w:r>
            <w:r w:rsidRPr="00626BB3">
              <w:rPr>
                <w:rFonts w:ascii="David" w:hAnsi="David" w:hint="eastAsia"/>
                <w:sz w:val="26"/>
                <w:rtl/>
              </w:rPr>
              <w:t>להרחיב</w:t>
            </w:r>
            <w:r w:rsidRPr="00626BB3">
              <w:rPr>
                <w:rFonts w:ascii="David" w:hAnsi="David"/>
                <w:sz w:val="26"/>
                <w:rtl/>
              </w:rPr>
              <w:t xml:space="preserve"> </w:t>
            </w:r>
            <w:r w:rsidRPr="00626BB3">
              <w:rPr>
                <w:rFonts w:ascii="David" w:hAnsi="David" w:hint="eastAsia"/>
                <w:sz w:val="26"/>
                <w:rtl/>
              </w:rPr>
              <w:t>את</w:t>
            </w:r>
            <w:r w:rsidRPr="00626BB3">
              <w:rPr>
                <w:rFonts w:ascii="David" w:hAnsi="David"/>
                <w:sz w:val="26"/>
                <w:rtl/>
              </w:rPr>
              <w:t xml:space="preserve"> היקף תחולתו;</w:t>
            </w:r>
          </w:p>
        </w:tc>
      </w:tr>
      <w:tr w:rsidR="00FA05EE" w:rsidRPr="0011143F" w14:paraId="59178285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3C3F1A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4D85F7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190D14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</w:t>
            </w:r>
            <w:r>
              <w:rPr>
                <w:rFonts w:ascii="David" w:hAnsi="David" w:hint="cs"/>
                <w:sz w:val="26"/>
                <w:rtl/>
              </w:rPr>
              <w:t>2</w:t>
            </w:r>
            <w:r w:rsidRPr="0011143F">
              <w:rPr>
                <w:rFonts w:ascii="David" w:hAnsi="David"/>
                <w:sz w:val="26"/>
                <w:rtl/>
              </w:rPr>
              <w:t>)</w:t>
            </w:r>
            <w:r w:rsidRPr="0011143F">
              <w:rPr>
                <w:rFonts w:ascii="David" w:hAnsi="David"/>
                <w:sz w:val="26"/>
                <w:rtl/>
              </w:rPr>
              <w:tab/>
              <w:t>טענ</w:t>
            </w:r>
            <w:r>
              <w:rPr>
                <w:rFonts w:ascii="David" w:hAnsi="David" w:hint="cs"/>
                <w:sz w:val="26"/>
                <w:rtl/>
              </w:rPr>
              <w:t xml:space="preserve">ת </w:t>
            </w:r>
            <w:r w:rsidRPr="0011143F">
              <w:rPr>
                <w:rFonts w:ascii="David" w:hAnsi="David"/>
                <w:sz w:val="26"/>
                <w:rtl/>
              </w:rPr>
              <w:t>כשרות של ארגון עובדים לפי סעיף 6 לחוק העיקרי, הנוגעת להסכם</w:t>
            </w:r>
            <w:r>
              <w:rPr>
                <w:rFonts w:ascii="David" w:hAnsi="David" w:hint="cs"/>
                <w:sz w:val="26"/>
                <w:rtl/>
              </w:rPr>
              <w:t>, שביום תחילתו של חוק זה טרם חלף המועד להגשתה לפי סעיף 10 לחוק העיקרי</w:t>
            </w:r>
            <w:r w:rsidRPr="0011143F">
              <w:rPr>
                <w:rFonts w:ascii="David" w:hAnsi="David"/>
                <w:sz w:val="26"/>
                <w:rtl/>
              </w:rPr>
              <w:t>, תוגש לא יאוחר מהמועד להגשת ערר לפי פסקה (</w:t>
            </w:r>
            <w:r>
              <w:rPr>
                <w:rFonts w:ascii="David" w:hAnsi="David" w:hint="cs"/>
                <w:sz w:val="26"/>
                <w:rtl/>
              </w:rPr>
              <w:t>3</w:t>
            </w:r>
            <w:r w:rsidRPr="0011143F">
              <w:rPr>
                <w:rFonts w:ascii="David" w:hAnsi="David"/>
                <w:sz w:val="26"/>
                <w:rtl/>
              </w:rPr>
              <w:t xml:space="preserve">); </w:t>
            </w:r>
          </w:p>
        </w:tc>
      </w:tr>
      <w:tr w:rsidR="00FA05EE" w:rsidRPr="0011143F" w14:paraId="4E8F56DC" w14:textId="77777777" w:rsidTr="00FA05EE">
        <w:trPr>
          <w:cantSplit/>
        </w:trPr>
        <w:tc>
          <w:tcPr>
            <w:tcW w:w="1870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F70261" w14:textId="77777777" w:rsidR="00FA05EE" w:rsidRPr="0011143F" w:rsidRDefault="00FA05EE" w:rsidP="00506321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02329D1" w14:textId="77777777" w:rsidR="00FA05EE" w:rsidRPr="0011143F" w:rsidRDefault="00FA05EE" w:rsidP="00506321">
            <w:pPr>
              <w:pStyle w:val="TableText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080408" w14:textId="77777777" w:rsidR="00FA05EE" w:rsidRPr="0011143F" w:rsidRDefault="00FA05EE" w:rsidP="00FA05EE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11143F">
              <w:rPr>
                <w:rFonts w:ascii="David" w:hAnsi="David"/>
                <w:sz w:val="26"/>
                <w:rtl/>
              </w:rPr>
              <w:t>(</w:t>
            </w:r>
            <w:r>
              <w:rPr>
                <w:rFonts w:ascii="David" w:hAnsi="David" w:hint="cs"/>
                <w:sz w:val="26"/>
                <w:rtl/>
              </w:rPr>
              <w:t>3</w:t>
            </w:r>
            <w:r w:rsidRPr="0011143F">
              <w:rPr>
                <w:rFonts w:ascii="David" w:hAnsi="David"/>
                <w:sz w:val="26"/>
                <w:rtl/>
              </w:rPr>
              <w:t>)</w:t>
            </w:r>
            <w:r w:rsidRPr="0011143F">
              <w:rPr>
                <w:rFonts w:ascii="David" w:hAnsi="David"/>
                <w:sz w:val="26"/>
                <w:rtl/>
              </w:rPr>
              <w:tab/>
              <w:t xml:space="preserve">התקופה שמיום פרסום </w:t>
            </w:r>
            <w:r>
              <w:rPr>
                <w:rFonts w:ascii="David" w:hAnsi="David" w:hint="cs"/>
                <w:sz w:val="26"/>
                <w:rtl/>
              </w:rPr>
              <w:t xml:space="preserve">ההודעה של </w:t>
            </w:r>
            <w:r w:rsidRPr="0011143F">
              <w:rPr>
                <w:rFonts w:ascii="David" w:hAnsi="David"/>
                <w:sz w:val="26"/>
                <w:rtl/>
              </w:rPr>
              <w:t xml:space="preserve">שר העבודה בדבר כוונתו לתת צו הרחבה לגבי </w:t>
            </w:r>
            <w:r w:rsidRPr="00626BB3">
              <w:rPr>
                <w:rFonts w:ascii="David" w:hAnsi="David"/>
                <w:sz w:val="26"/>
                <w:rtl/>
              </w:rPr>
              <w:t xml:space="preserve">ההסכם עד יום </w:t>
            </w:r>
            <w:r w:rsidRPr="00626BB3">
              <w:rPr>
                <w:rFonts w:ascii="David" w:hAnsi="David" w:hint="eastAsia"/>
                <w:sz w:val="26"/>
                <w:rtl/>
              </w:rPr>
              <w:t>תחילתו</w:t>
            </w:r>
            <w:r w:rsidRPr="00626BB3">
              <w:rPr>
                <w:rFonts w:ascii="David" w:hAnsi="David"/>
                <w:sz w:val="26"/>
                <w:rtl/>
              </w:rPr>
              <w:t xml:space="preserve"> של חוק </w:t>
            </w:r>
            <w:r w:rsidRPr="00626BB3">
              <w:rPr>
                <w:rFonts w:ascii="David" w:hAnsi="David" w:hint="eastAsia"/>
                <w:sz w:val="26"/>
                <w:rtl/>
              </w:rPr>
              <w:t>זה</w:t>
            </w:r>
            <w:r w:rsidRPr="00626BB3">
              <w:rPr>
                <w:rFonts w:ascii="David" w:hAnsi="David"/>
                <w:sz w:val="26"/>
                <w:rtl/>
              </w:rPr>
              <w:t xml:space="preserve"> תבוא במניין</w:t>
            </w:r>
            <w:r w:rsidRPr="0011143F">
              <w:rPr>
                <w:rFonts w:ascii="David" w:hAnsi="David"/>
                <w:sz w:val="26"/>
                <w:rtl/>
              </w:rPr>
              <w:t xml:space="preserve"> הימים למתן הצו כאמור בסעיף 26א(ב)(3) לחוק העיקרי כנוסחו </w:t>
            </w:r>
            <w:r>
              <w:rPr>
                <w:rFonts w:ascii="David" w:hAnsi="David" w:hint="cs"/>
                <w:sz w:val="26"/>
                <w:rtl/>
              </w:rPr>
              <w:t>בתקופת הוראת השעה</w:t>
            </w:r>
            <w:r w:rsidRPr="0011143F">
              <w:rPr>
                <w:rFonts w:ascii="David" w:hAnsi="David"/>
                <w:sz w:val="26"/>
                <w:rtl/>
              </w:rPr>
              <w:t xml:space="preserve">, אולם </w:t>
            </w:r>
            <w:r>
              <w:rPr>
                <w:rFonts w:ascii="David" w:hAnsi="David" w:hint="cs"/>
                <w:sz w:val="26"/>
                <w:rtl/>
              </w:rPr>
              <w:t>ערר</w:t>
            </w:r>
            <w:r w:rsidRPr="0011143F">
              <w:rPr>
                <w:rFonts w:ascii="David" w:hAnsi="David"/>
                <w:sz w:val="26"/>
                <w:rtl/>
              </w:rPr>
              <w:t xml:space="preserve"> על מתן צו ההרחבה </w:t>
            </w:r>
            <w:r>
              <w:rPr>
                <w:rFonts w:ascii="David" w:hAnsi="David" w:hint="cs"/>
                <w:sz w:val="26"/>
                <w:rtl/>
              </w:rPr>
              <w:t>יוגש</w:t>
            </w:r>
            <w:r w:rsidRPr="0011143F">
              <w:rPr>
                <w:rFonts w:ascii="David" w:hAnsi="David"/>
                <w:sz w:val="26"/>
                <w:rtl/>
              </w:rPr>
              <w:t xml:space="preserve"> עד תום </w:t>
            </w:r>
            <w:r>
              <w:rPr>
                <w:rFonts w:ascii="David" w:hAnsi="David" w:hint="cs"/>
                <w:sz w:val="26"/>
                <w:rtl/>
              </w:rPr>
              <w:t>שלושה ימים</w:t>
            </w: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  <w:r w:rsidRPr="009522D2">
              <w:rPr>
                <w:rFonts w:ascii="David" w:hAnsi="David"/>
                <w:sz w:val="26"/>
                <w:rtl/>
              </w:rPr>
              <w:t>מיום תחיל</w:t>
            </w:r>
            <w:r>
              <w:rPr>
                <w:rFonts w:ascii="David" w:hAnsi="David" w:hint="cs"/>
                <w:sz w:val="26"/>
                <w:rtl/>
              </w:rPr>
              <w:t>תו של חוק זה</w:t>
            </w:r>
            <w:r w:rsidRPr="009522D2">
              <w:rPr>
                <w:rFonts w:ascii="David" w:hAnsi="David"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 xml:space="preserve">(בפסקה זו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המועד להגשת ערר) </w:t>
            </w:r>
            <w:r w:rsidRPr="009522D2">
              <w:rPr>
                <w:rFonts w:ascii="David" w:hAnsi="David"/>
                <w:sz w:val="26"/>
                <w:rtl/>
              </w:rPr>
              <w:t xml:space="preserve">ולא יינתן צו הרחבה אלא לאחר </w:t>
            </w:r>
            <w:r>
              <w:rPr>
                <w:rFonts w:ascii="David" w:hAnsi="David" w:hint="cs"/>
                <w:sz w:val="26"/>
                <w:rtl/>
              </w:rPr>
              <w:t xml:space="preserve">המועד להגשת ערר, ואם הוגש ערר כאמור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לאחר החלטה בו</w:t>
            </w:r>
            <w:r w:rsidRPr="009522D2">
              <w:rPr>
                <w:rFonts w:ascii="David" w:hAnsi="David"/>
                <w:sz w:val="26"/>
                <w:rtl/>
              </w:rPr>
              <w:t>.</w:t>
            </w:r>
            <w:r w:rsidRPr="0011143F">
              <w:rPr>
                <w:rFonts w:ascii="David" w:hAnsi="David"/>
                <w:sz w:val="26"/>
                <w:rtl/>
              </w:rPr>
              <w:t xml:space="preserve"> 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8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0695BF7B" w:rsidR="008525E2" w:rsidRPr="00D466D4" w:rsidRDefault="00FA05EE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יואב בן צור</w:t>
            </w:r>
          </w:p>
          <w:p w14:paraId="11F1CEB8" w14:textId="565608A5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FA05EE">
              <w:rPr>
                <w:rFonts w:hint="cs"/>
                <w:sz w:val="26"/>
                <w:szCs w:val="26"/>
                <w:rtl/>
              </w:rPr>
              <w:t>עבודה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9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FA05EE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892F" w14:textId="77777777" w:rsidR="00DD65EA" w:rsidRDefault="00DD65EA" w:rsidP="00B416AF">
      <w:pPr>
        <w:pStyle w:val="HeadHatzaotHok"/>
      </w:pPr>
      <w:r>
        <w:separator/>
      </w:r>
    </w:p>
  </w:endnote>
  <w:endnote w:type="continuationSeparator" w:id="0">
    <w:p w14:paraId="5B7FFB01" w14:textId="77777777" w:rsidR="00DD65EA" w:rsidRDefault="00DD65EA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C31D" w14:textId="77777777" w:rsidR="00DD65EA" w:rsidRDefault="00DD65EA" w:rsidP="00FA05EE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71FE330" w14:textId="77777777" w:rsidR="00DD65EA" w:rsidRPr="00696C5E" w:rsidRDefault="00DD65EA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7501EDF4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י"ט באדר א' </w:t>
      </w:r>
      <w:proofErr w:type="spellStart"/>
      <w:r>
        <w:rPr>
          <w:rFonts w:hint="cs"/>
          <w:rtl/>
        </w:rPr>
        <w:t>התשפ"ד</w:t>
      </w:r>
      <w:proofErr w:type="spellEnd"/>
      <w:r>
        <w:rPr>
          <w:rFonts w:hint="cs"/>
          <w:rtl/>
        </w:rPr>
        <w:t xml:space="preserve"> (28 בפברואר 2024)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1723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י"ז באדר א' </w:t>
      </w:r>
      <w:proofErr w:type="spellStart"/>
      <w:r>
        <w:rPr>
          <w:rFonts w:hint="cs"/>
          <w:rtl/>
        </w:rPr>
        <w:t>התשפ"ד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26 בפברואר 2024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6" w:name="PageNumFirstCall"/>
      <w:r>
        <w:rPr>
          <w:rFonts w:hint="cs"/>
          <w:rtl/>
        </w:rPr>
        <w:t>674</w:t>
      </w:r>
      <w:bookmarkEnd w:id="6"/>
      <w:r w:rsidR="0031473A">
        <w:t>.</w:t>
      </w:r>
    </w:p>
  </w:footnote>
  <w:footnote w:id="2">
    <w:p w14:paraId="6C04195A" w14:textId="77777777" w:rsidR="00FA05EE" w:rsidRDefault="00FA05EE" w:rsidP="00FA05EE">
      <w:pPr>
        <w:pStyle w:val="a9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tl/>
        </w:rPr>
        <w:t xml:space="preserve">ס"ח </w:t>
      </w:r>
      <w:proofErr w:type="spellStart"/>
      <w:r>
        <w:rPr>
          <w:rtl/>
        </w:rPr>
        <w:t>התשי"ז</w:t>
      </w:r>
      <w:proofErr w:type="spellEnd"/>
      <w:r>
        <w:rPr>
          <w:rtl/>
        </w:rPr>
        <w:t xml:space="preserve">, עמ' 63; </w:t>
      </w:r>
      <w:proofErr w:type="spellStart"/>
      <w:r>
        <w:rPr>
          <w:rtl/>
        </w:rPr>
        <w:t>התשפ"ד</w:t>
      </w:r>
      <w:proofErr w:type="spellEnd"/>
      <w:r>
        <w:rPr>
          <w:rtl/>
        </w:rPr>
        <w:t>, עמ' 152.</w:t>
      </w:r>
    </w:p>
  </w:footnote>
  <w:footnote w:id="3">
    <w:p w14:paraId="744D7A98" w14:textId="77777777" w:rsidR="00FA05EE" w:rsidRDefault="00FA05EE" w:rsidP="00FA05EE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התשי"א</w:t>
      </w:r>
      <w:proofErr w:type="spellEnd"/>
      <w:r>
        <w:rPr>
          <w:rFonts w:hint="cs"/>
          <w:rtl/>
        </w:rPr>
        <w:t>, עמ' 78.</w:t>
      </w:r>
    </w:p>
  </w:footnote>
  <w:footnote w:id="4">
    <w:p w14:paraId="5B64FE72" w14:textId="77777777" w:rsidR="00FA05EE" w:rsidRPr="0011143F" w:rsidRDefault="00FA05EE" w:rsidP="00FA05EE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 w:rsidRPr="0011143F">
        <w:rPr>
          <w:rtl/>
        </w:rPr>
        <w:t xml:space="preserve">ס"ח </w:t>
      </w:r>
      <w:proofErr w:type="spellStart"/>
      <w:r w:rsidRPr="0011143F">
        <w:rPr>
          <w:rtl/>
        </w:rPr>
        <w:t>התשס"א</w:t>
      </w:r>
      <w:proofErr w:type="spellEnd"/>
      <w:r w:rsidRPr="0011143F">
        <w:rPr>
          <w:rtl/>
        </w:rPr>
        <w:t>, עמ' 158.</w:t>
      </w:r>
    </w:p>
    <w:p w14:paraId="4C82448A" w14:textId="77777777" w:rsidR="00FA05EE" w:rsidRDefault="00FA05EE" w:rsidP="00FA05EE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3" w14:textId="0B214FF3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2667FB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D36B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667FB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83D06"/>
    <w:rsid w:val="00BA09A3"/>
    <w:rsid w:val="00BA2FCA"/>
    <w:rsid w:val="00BD0880"/>
    <w:rsid w:val="00BE3AE8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B21EB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93ADC"/>
    <w:rsid w:val="00FA05EE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EE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5EE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FA05EE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FA05EE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FA05EE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A05EE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FA05EE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FA05EE"/>
    <w:rPr>
      <w:sz w:val="36"/>
      <w:szCs w:val="52"/>
    </w:rPr>
  </w:style>
  <w:style w:type="paragraph" w:customStyle="1" w:styleId="Cover3-Haknesset">
    <w:name w:val="Cover 3-Haknesset"/>
    <w:basedOn w:val="Cover1-Reshumot"/>
    <w:rsid w:val="00FA05EE"/>
    <w:rPr>
      <w:b/>
      <w:bCs/>
      <w:spacing w:val="60"/>
    </w:rPr>
  </w:style>
  <w:style w:type="paragraph" w:customStyle="1" w:styleId="Cover4-Date">
    <w:name w:val="Cover 4-Date"/>
    <w:basedOn w:val="a"/>
    <w:rsid w:val="00FA05E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FA05EE"/>
    <w:rPr>
      <w:vertAlign w:val="superscript"/>
    </w:rPr>
  </w:style>
  <w:style w:type="paragraph" w:customStyle="1" w:styleId="Ragil">
    <w:name w:val="Ragil"/>
    <w:basedOn w:val="a"/>
    <w:rsid w:val="00FA05EE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FA05EE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FA05EE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FA05EE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FA05EE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FA05EE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FA05EE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FA05EE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FA05EE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FA05EE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FA05EE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FA05EE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FA05EE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FA05EE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FA05EE"/>
    <w:rPr>
      <w:color w:val="0563C1" w:themeColor="hyperlink"/>
      <w:u w:val="single"/>
    </w:rPr>
  </w:style>
  <w:style w:type="character" w:styleId="ac">
    <w:name w:val="page number"/>
    <w:basedOn w:val="a0"/>
    <w:rsid w:val="00FA05EE"/>
  </w:style>
  <w:style w:type="paragraph" w:customStyle="1" w:styleId="TableText">
    <w:name w:val="Table Text"/>
    <w:basedOn w:val="a"/>
    <w:rsid w:val="00FA05EE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FA05EE"/>
    <w:pPr>
      <w:jc w:val="both"/>
    </w:pPr>
  </w:style>
  <w:style w:type="paragraph" w:customStyle="1" w:styleId="TableBlockOutdent">
    <w:name w:val="Table BlockOutdent"/>
    <w:basedOn w:val="TableBlock"/>
    <w:rsid w:val="00FA05EE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FA05EE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FA05EE"/>
    <w:pPr>
      <w:outlineLvl w:val="2"/>
    </w:pPr>
  </w:style>
  <w:style w:type="paragraph" w:customStyle="1" w:styleId="TableInnerSideHeading">
    <w:name w:val="Table InnerSideHeading"/>
    <w:basedOn w:val="TableSideHeading"/>
    <w:rsid w:val="00FA05EE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FA05EE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FA05EE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FA05EE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FA05EE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FA05EE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FA05EE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FA05EE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FA05EE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FA05EE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FA05EE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FA05EE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FA05EE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FA05EE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FA05EE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FA05EE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FA05EE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FA05EE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FA05EE"/>
    <w:rPr>
      <w:rFonts w:eastAsia="Times New Roman"/>
    </w:rPr>
  </w:style>
  <w:style w:type="paragraph" w:styleId="af1">
    <w:name w:val="List Paragraph"/>
    <w:basedOn w:val="a"/>
    <w:uiPriority w:val="34"/>
    <w:qFormat/>
    <w:rsid w:val="00FA05EE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FA05E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FA05EE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FA05EE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FA05EE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FA05EE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F6C63-26EC-44C5-AF93-C0A3210CE281}"/>
</file>

<file path=customXml/itemProps4.xml><?xml version="1.0" encoding="utf-8"?>
<ds:datastoreItem xmlns:ds="http://schemas.openxmlformats.org/officeDocument/2006/customXml" ds:itemID="{9AAD3E59-1685-4866-88AE-10917921A27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657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1900-12-31T21:00:00Z</cp:lastPrinted>
  <dcterms:created xsi:type="dcterms:W3CDTF">2015-06-14T12:44:00Z</dcterms:created>
  <dcterms:modified xsi:type="dcterms:W3CDTF">2024-02-29T07:01:00Z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2215701</vt:r8>
  </property>
  <property fmtid="{D5CDD505-2E9C-101B-9397-08002B2CF9AE}" pid="21" name="SanhedrinDocumentType">
    <vt:r8>42</vt:r8>
  </property>
</Properties>
</file>