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jc w:val="center"/>
        <w:rPr>
          <w:b/>
          <w:bCs/>
          <w:sz w:val="28"/>
          <w:szCs w:val="28"/>
          <w:rtl/>
        </w:rPr>
      </w:pPr>
      <w:r>
        <w:rPr>
          <w:noProof/>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jc w:val="center"/>
        <w:rPr>
          <w:b/>
          <w:bCs/>
          <w:sz w:val="28"/>
          <w:szCs w:val="28"/>
          <w:rtl/>
        </w:rPr>
      </w:pPr>
    </w:p>
    <w:p w14:paraId="11F1CEA8" w14:textId="78FA1F12" w:rsidR="008525E2" w:rsidRDefault="00220CAF" w:rsidP="00274CC1">
      <w:pPr>
        <w:jc w:val="center"/>
        <w:rPr>
          <w:b/>
          <w:bCs/>
          <w:sz w:val="28"/>
          <w:szCs w:val="28"/>
          <w:rtl/>
        </w:rPr>
      </w:pPr>
      <w:bookmarkStart w:id="0" w:name="LGSName"/>
      <w:r>
        <w:rPr>
          <w:rStyle w:val="HeadHatzaotHok0"/>
          <w:rFonts w:hint="cs"/>
          <w:rtl/>
        </w:rPr>
        <w:t>חוק העברת מידע לצורך זיהוי או אימות זהות של אדם לרבות גופה, ואיתור נעדר או שבוי, הנדרשים בשל פעולות האיבה או פעולות המלחמה (הוראות שעה – חרבות ברזל), התשפ"ד</w:t>
      </w:r>
      <w:r w:rsidR="00274CC1">
        <w:rPr>
          <w:rStyle w:val="HeadHatzaotHok0"/>
          <w:rFonts w:hint="eastAsia"/>
          <w:rtl/>
        </w:rPr>
        <w:t>–</w:t>
      </w:r>
      <w:r>
        <w:rPr>
          <w:rStyle w:val="HeadHatzaotHok0"/>
          <w:rFonts w:hint="cs"/>
          <w:rtl/>
        </w:rPr>
        <w:t>2023</w:t>
      </w:r>
      <w:bookmarkEnd w:id="0"/>
      <w:r w:rsidR="008525E2">
        <w:rPr>
          <w:rStyle w:val="a9"/>
          <w:b/>
          <w:bCs/>
          <w:sz w:val="28"/>
          <w:szCs w:val="28"/>
          <w:rtl/>
        </w:rPr>
        <w:footnoteReference w:customMarkFollows="1" w:id="1"/>
        <w:t>*</w:t>
      </w:r>
    </w:p>
    <w:p w14:paraId="11F1CEA9" w14:textId="77777777" w:rsidR="008525E2" w:rsidRDefault="008525E2" w:rsidP="008525E2">
      <w:pPr>
        <w:rPr>
          <w:sz w:val="26"/>
          <w:szCs w:val="26"/>
          <w:rtl/>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3"/>
      </w:tblGrid>
      <w:tr w:rsidR="00274CC1" w:rsidRPr="0037250A" w14:paraId="5E2F14CD" w14:textId="77777777" w:rsidTr="00E22EE1">
        <w:trPr>
          <w:cantSplit/>
        </w:trPr>
        <w:tc>
          <w:tcPr>
            <w:tcW w:w="1869" w:type="dxa"/>
            <w:tcMar>
              <w:top w:w="91" w:type="dxa"/>
              <w:left w:w="0" w:type="dxa"/>
              <w:bottom w:w="91" w:type="dxa"/>
              <w:right w:w="0" w:type="dxa"/>
            </w:tcMar>
          </w:tcPr>
          <w:p w14:paraId="14864D0C" w14:textId="34EB680B" w:rsidR="00274CC1" w:rsidRPr="0037250A" w:rsidRDefault="00274CC1" w:rsidP="001E0F7C">
            <w:pPr>
              <w:pStyle w:val="TableSideHeading"/>
              <w:rPr>
                <w:rFonts w:ascii="David" w:hAnsi="David"/>
                <w:sz w:val="26"/>
                <w:rtl/>
              </w:rPr>
            </w:pPr>
            <w:r w:rsidRPr="0037250A">
              <w:rPr>
                <w:rFonts w:ascii="David" w:hAnsi="David"/>
                <w:sz w:val="26"/>
                <w:rtl/>
              </w:rPr>
              <w:t xml:space="preserve">תיקון חוק הכללת אמצעי זיהוי ביומטריים ונתוני זיהוי ביומטריים במסמכי זיהוי ובמאגר מידע </w:t>
            </w:r>
            <w:r>
              <w:rPr>
                <w:rFonts w:ascii="David" w:hAnsi="David"/>
                <w:sz w:val="26"/>
                <w:rtl/>
              </w:rPr>
              <w:t>–</w:t>
            </w:r>
            <w:r w:rsidRPr="0037250A">
              <w:rPr>
                <w:rFonts w:ascii="David" w:hAnsi="David"/>
                <w:sz w:val="26"/>
                <w:rtl/>
              </w:rPr>
              <w:t xml:space="preserve"> </w:t>
            </w:r>
            <w:r w:rsidRPr="00E951AA">
              <w:rPr>
                <w:rFonts w:ascii="David" w:hAnsi="David"/>
                <w:sz w:val="26"/>
                <w:rtl/>
              </w:rPr>
              <w:t>הוראת שעה</w:t>
            </w:r>
            <w:r w:rsidR="00E951AA">
              <w:rPr>
                <w:rFonts w:ascii="David" w:hAnsi="David" w:hint="cs"/>
                <w:sz w:val="26"/>
                <w:rtl/>
              </w:rPr>
              <w:t xml:space="preserve"> </w:t>
            </w:r>
            <w:r w:rsidR="00E951AA">
              <w:rPr>
                <w:rFonts w:ascii="David" w:hAnsi="David"/>
                <w:sz w:val="26"/>
                <w:rtl/>
              </w:rPr>
              <w:t>–</w:t>
            </w:r>
            <w:r w:rsidR="00E951AA">
              <w:rPr>
                <w:rFonts w:ascii="David" w:hAnsi="David" w:hint="cs"/>
                <w:sz w:val="26"/>
                <w:rtl/>
              </w:rPr>
              <w:t xml:space="preserve"> מס' 3</w:t>
            </w:r>
          </w:p>
        </w:tc>
        <w:tc>
          <w:tcPr>
            <w:tcW w:w="624" w:type="dxa"/>
            <w:tcMar>
              <w:top w:w="91" w:type="dxa"/>
              <w:left w:w="0" w:type="dxa"/>
              <w:bottom w:w="91" w:type="dxa"/>
              <w:right w:w="0" w:type="dxa"/>
            </w:tcMar>
          </w:tcPr>
          <w:p w14:paraId="7F4674C9" w14:textId="77777777" w:rsidR="00274CC1" w:rsidRPr="0037250A" w:rsidRDefault="00274CC1" w:rsidP="001E0F7C">
            <w:pPr>
              <w:pStyle w:val="TableText"/>
              <w:rPr>
                <w:rFonts w:ascii="David" w:hAnsi="David"/>
                <w:sz w:val="26"/>
                <w:rtl/>
              </w:rPr>
            </w:pPr>
            <w:r w:rsidRPr="0037250A">
              <w:rPr>
                <w:rFonts w:ascii="David" w:hAnsi="David"/>
                <w:sz w:val="26"/>
                <w:rtl/>
              </w:rPr>
              <w:t>1.</w:t>
            </w:r>
          </w:p>
        </w:tc>
        <w:tc>
          <w:tcPr>
            <w:tcW w:w="7143" w:type="dxa"/>
            <w:gridSpan w:val="6"/>
            <w:tcMar>
              <w:top w:w="91" w:type="dxa"/>
              <w:left w:w="0" w:type="dxa"/>
              <w:bottom w:w="91" w:type="dxa"/>
              <w:right w:w="0" w:type="dxa"/>
            </w:tcMar>
          </w:tcPr>
          <w:p w14:paraId="4CFB4266" w14:textId="77777777" w:rsidR="00274CC1" w:rsidRPr="0037250A" w:rsidRDefault="00274CC1" w:rsidP="00E22EE1">
            <w:pPr>
              <w:pStyle w:val="TableBlock"/>
              <w:rPr>
                <w:rFonts w:ascii="David" w:hAnsi="David"/>
                <w:sz w:val="26"/>
                <w:rtl/>
              </w:rPr>
            </w:pPr>
            <w:r w:rsidRPr="0037250A">
              <w:rPr>
                <w:rFonts w:ascii="David" w:hAnsi="David"/>
                <w:sz w:val="26"/>
                <w:rtl/>
              </w:rPr>
              <w:t>בתקופת תוקפו של סעיף זה, כאמור בסעיף 4, יקראו את חוק הכללת אמצעי זיהוי ביומטריים ונתוני זיהוי ביומטריים במסמכי זיהוי ובמאגר מידע, התש"ע</w:t>
            </w:r>
            <w:r>
              <w:rPr>
                <w:rFonts w:ascii="David" w:hAnsi="David"/>
                <w:sz w:val="26"/>
                <w:rtl/>
              </w:rPr>
              <w:t>–</w:t>
            </w:r>
            <w:r w:rsidRPr="0037250A">
              <w:rPr>
                <w:rFonts w:ascii="David" w:hAnsi="David"/>
                <w:sz w:val="26"/>
                <w:rtl/>
              </w:rPr>
              <w:t>2009‏</w:t>
            </w:r>
            <w:r w:rsidRPr="00E22EE1">
              <w:rPr>
                <w:rStyle w:val="a9"/>
                <w:rFonts w:ascii="David" w:hAnsi="David"/>
                <w:sz w:val="26"/>
                <w:rtl/>
              </w:rPr>
              <w:footnoteReference w:id="2"/>
            </w:r>
            <w:r w:rsidRPr="0037250A">
              <w:rPr>
                <w:rFonts w:ascii="David" w:hAnsi="David"/>
                <w:sz w:val="26"/>
                <w:rtl/>
              </w:rPr>
              <w:t>, כך:</w:t>
            </w:r>
          </w:p>
        </w:tc>
      </w:tr>
      <w:tr w:rsidR="00274CC1" w:rsidRPr="0037250A" w14:paraId="34B02CCE" w14:textId="77777777" w:rsidTr="00E22EE1">
        <w:trPr>
          <w:cantSplit/>
        </w:trPr>
        <w:tc>
          <w:tcPr>
            <w:tcW w:w="1869" w:type="dxa"/>
            <w:tcMar>
              <w:top w:w="91" w:type="dxa"/>
              <w:left w:w="0" w:type="dxa"/>
              <w:bottom w:w="91" w:type="dxa"/>
              <w:right w:w="0" w:type="dxa"/>
            </w:tcMar>
          </w:tcPr>
          <w:p w14:paraId="4F3DDCD4"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34DA17C"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2438DE2D"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 xml:space="preserve">בסעיף 2 </w:t>
            </w:r>
            <w:r>
              <w:rPr>
                <w:rFonts w:ascii="David" w:hAnsi="David"/>
                <w:sz w:val="26"/>
                <w:rtl/>
              </w:rPr>
              <w:t>–</w:t>
            </w:r>
          </w:p>
        </w:tc>
      </w:tr>
      <w:tr w:rsidR="00274CC1" w14:paraId="6A242525" w14:textId="77777777" w:rsidTr="00E22EE1">
        <w:tblPrEx>
          <w:tblLook w:val="01E0" w:firstRow="1" w:lastRow="1" w:firstColumn="1" w:lastColumn="1" w:noHBand="0" w:noVBand="0"/>
        </w:tblPrEx>
        <w:trPr>
          <w:cantSplit/>
        </w:trPr>
        <w:tc>
          <w:tcPr>
            <w:tcW w:w="1869" w:type="dxa"/>
          </w:tcPr>
          <w:p w14:paraId="65B3A71C" w14:textId="77777777" w:rsidR="00274CC1" w:rsidRDefault="00274CC1" w:rsidP="001E0F7C">
            <w:pPr>
              <w:pStyle w:val="TableSideHeading"/>
            </w:pPr>
          </w:p>
        </w:tc>
        <w:tc>
          <w:tcPr>
            <w:tcW w:w="624" w:type="dxa"/>
          </w:tcPr>
          <w:p w14:paraId="381ED9EE" w14:textId="77777777" w:rsidR="00274CC1" w:rsidRDefault="00274CC1" w:rsidP="001E0F7C">
            <w:pPr>
              <w:pStyle w:val="TableText"/>
            </w:pPr>
          </w:p>
        </w:tc>
        <w:tc>
          <w:tcPr>
            <w:tcW w:w="624" w:type="dxa"/>
          </w:tcPr>
          <w:p w14:paraId="129B4380" w14:textId="77777777" w:rsidR="00274CC1" w:rsidRDefault="00274CC1" w:rsidP="001E0F7C">
            <w:pPr>
              <w:pStyle w:val="TableText"/>
            </w:pPr>
          </w:p>
        </w:tc>
        <w:tc>
          <w:tcPr>
            <w:tcW w:w="6519" w:type="dxa"/>
            <w:gridSpan w:val="5"/>
          </w:tcPr>
          <w:p w14:paraId="69793647" w14:textId="77777777" w:rsidR="00274CC1" w:rsidRDefault="00274CC1" w:rsidP="00E22EE1">
            <w:pPr>
              <w:pStyle w:val="TableBlock"/>
            </w:pPr>
            <w:r>
              <w:rPr>
                <w:rFonts w:hint="cs"/>
                <w:rtl/>
              </w:rPr>
              <w:t>(א)</w:t>
            </w:r>
            <w:r>
              <w:rPr>
                <w:rtl/>
              </w:rPr>
              <w:tab/>
            </w:r>
            <w:r>
              <w:rPr>
                <w:rFonts w:hint="cs"/>
                <w:rtl/>
              </w:rPr>
              <w:t>לפני ההגדרה "אמצעי זיהוי ביומטריים" יבוא:</w:t>
            </w:r>
          </w:p>
        </w:tc>
      </w:tr>
      <w:tr w:rsidR="00274CC1" w14:paraId="6242AEAE" w14:textId="77777777" w:rsidTr="00E22EE1">
        <w:tblPrEx>
          <w:tblLook w:val="01E0" w:firstRow="1" w:lastRow="1" w:firstColumn="1" w:lastColumn="1" w:noHBand="0" w:noVBand="0"/>
        </w:tblPrEx>
        <w:trPr>
          <w:cantSplit/>
        </w:trPr>
        <w:tc>
          <w:tcPr>
            <w:tcW w:w="1869" w:type="dxa"/>
          </w:tcPr>
          <w:p w14:paraId="07B1F71A" w14:textId="77777777" w:rsidR="00274CC1" w:rsidRDefault="00274CC1" w:rsidP="001E0F7C">
            <w:pPr>
              <w:pStyle w:val="TableSideHeading"/>
            </w:pPr>
          </w:p>
        </w:tc>
        <w:tc>
          <w:tcPr>
            <w:tcW w:w="624" w:type="dxa"/>
          </w:tcPr>
          <w:p w14:paraId="5161612F" w14:textId="77777777" w:rsidR="00274CC1" w:rsidRDefault="00274CC1" w:rsidP="001E0F7C">
            <w:pPr>
              <w:pStyle w:val="TableText"/>
            </w:pPr>
          </w:p>
        </w:tc>
        <w:tc>
          <w:tcPr>
            <w:tcW w:w="624" w:type="dxa"/>
          </w:tcPr>
          <w:p w14:paraId="1FDA1F85" w14:textId="77777777" w:rsidR="00274CC1" w:rsidRDefault="00274CC1" w:rsidP="001E0F7C">
            <w:pPr>
              <w:pStyle w:val="TableText"/>
            </w:pPr>
          </w:p>
        </w:tc>
        <w:tc>
          <w:tcPr>
            <w:tcW w:w="624" w:type="dxa"/>
          </w:tcPr>
          <w:p w14:paraId="0DF7E3D2" w14:textId="77777777" w:rsidR="00274CC1" w:rsidRDefault="00274CC1" w:rsidP="001E0F7C">
            <w:pPr>
              <w:pStyle w:val="TableText"/>
            </w:pPr>
          </w:p>
        </w:tc>
        <w:tc>
          <w:tcPr>
            <w:tcW w:w="5895" w:type="dxa"/>
            <w:gridSpan w:val="4"/>
          </w:tcPr>
          <w:p w14:paraId="79EBB319" w14:textId="0EF53C53" w:rsidR="00274CC1" w:rsidRDefault="006E08DB" w:rsidP="00E22EE1">
            <w:pPr>
              <w:pStyle w:val="TableBlockOutdent"/>
            </w:pPr>
            <w:r>
              <w:rPr>
                <w:rFonts w:hint="cs"/>
                <w:rtl/>
              </w:rPr>
              <w:t>"</w:t>
            </w:r>
            <w:r w:rsidR="00274CC1">
              <w:rPr>
                <w:rFonts w:hint="cs"/>
                <w:rtl/>
              </w:rPr>
              <w:t>"אירוע אזרחי רב־</w:t>
            </w:r>
            <w:r w:rsidR="00274CC1" w:rsidRPr="001B1F19">
              <w:rPr>
                <w:rFonts w:hint="cs"/>
                <w:rtl/>
              </w:rPr>
              <w:t xml:space="preserve">נפגעים" </w:t>
            </w:r>
            <w:r w:rsidR="00274CC1" w:rsidRPr="001B1F19">
              <w:rPr>
                <w:sz w:val="26"/>
                <w:rtl/>
              </w:rPr>
              <w:t>–</w:t>
            </w:r>
            <w:r w:rsidR="00274CC1" w:rsidRPr="001B1F19">
              <w:rPr>
                <w:rFonts w:hint="cs"/>
                <w:rtl/>
              </w:rPr>
              <w:t xml:space="preserve"> אירוע חירום אזרחי כהגדרתו בסעיף 90א לפקודת המשטרה [נוסח חדש], התשל"א</w:t>
            </w:r>
            <w:r w:rsidR="00274CC1" w:rsidRPr="001B1F19">
              <w:rPr>
                <w:sz w:val="26"/>
                <w:rtl/>
              </w:rPr>
              <w:t>–</w:t>
            </w:r>
            <w:r w:rsidR="00274CC1" w:rsidRPr="001B1F19">
              <w:rPr>
                <w:rFonts w:hint="cs"/>
                <w:rtl/>
              </w:rPr>
              <w:t xml:space="preserve">1971, שהשר הכריז עליו כאירוע </w:t>
            </w:r>
            <w:r w:rsidR="00274CC1">
              <w:rPr>
                <w:rFonts w:hint="cs"/>
                <w:rtl/>
              </w:rPr>
              <w:t xml:space="preserve">אזרחי </w:t>
            </w:r>
            <w:r w:rsidR="00274CC1" w:rsidRPr="001B1F19">
              <w:rPr>
                <w:rFonts w:hint="cs"/>
                <w:rtl/>
              </w:rPr>
              <w:t>רב־נפגעים בשל צורך ב</w:t>
            </w:r>
            <w:r w:rsidR="00274CC1" w:rsidRPr="001B1F19">
              <w:rPr>
                <w:rtl/>
              </w:rPr>
              <w:t>אימות או בירור זהותו של אדם, לרבות גופה, שזהותו אינה ידועה או מוטלת בספק, ולצורך איתור נעדר</w:t>
            </w:r>
            <w:r w:rsidR="00274CC1" w:rsidRPr="001B1F19">
              <w:rPr>
                <w:rFonts w:hint="cs"/>
                <w:rtl/>
              </w:rPr>
              <w:t>;";</w:t>
            </w:r>
          </w:p>
        </w:tc>
      </w:tr>
      <w:tr w:rsidR="00274CC1" w:rsidRPr="0037250A" w14:paraId="1797AEEE" w14:textId="77777777" w:rsidTr="00E22EE1">
        <w:trPr>
          <w:cantSplit/>
        </w:trPr>
        <w:tc>
          <w:tcPr>
            <w:tcW w:w="1869" w:type="dxa"/>
            <w:tcMar>
              <w:top w:w="91" w:type="dxa"/>
              <w:left w:w="0" w:type="dxa"/>
              <w:bottom w:w="91" w:type="dxa"/>
              <w:right w:w="0" w:type="dxa"/>
            </w:tcMar>
          </w:tcPr>
          <w:p w14:paraId="333438EE"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578D5A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7A87328"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54568E23"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ב</w:t>
            </w:r>
            <w:r w:rsidRPr="0037250A">
              <w:rPr>
                <w:rFonts w:ascii="David" w:hAnsi="David"/>
                <w:sz w:val="26"/>
                <w:rtl/>
              </w:rPr>
              <w:t>)</w:t>
            </w:r>
            <w:r w:rsidRPr="0037250A">
              <w:rPr>
                <w:rFonts w:ascii="David" w:hAnsi="David"/>
                <w:sz w:val="26"/>
                <w:rtl/>
              </w:rPr>
              <w:tab/>
              <w:t>אחרי ההגדרה "הנחיות הרשות" יבוא:</w:t>
            </w:r>
          </w:p>
        </w:tc>
      </w:tr>
      <w:tr w:rsidR="00274CC1" w:rsidRPr="0037250A" w14:paraId="785C0118" w14:textId="77777777" w:rsidTr="00E22EE1">
        <w:trPr>
          <w:cantSplit/>
        </w:trPr>
        <w:tc>
          <w:tcPr>
            <w:tcW w:w="1869" w:type="dxa"/>
            <w:tcMar>
              <w:top w:w="91" w:type="dxa"/>
              <w:left w:w="0" w:type="dxa"/>
              <w:bottom w:w="91" w:type="dxa"/>
              <w:right w:w="0" w:type="dxa"/>
            </w:tcMar>
          </w:tcPr>
          <w:p w14:paraId="311EAE9D"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011D81D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40A256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4492779" w14:textId="77777777" w:rsidR="00274CC1" w:rsidRPr="0037250A" w:rsidRDefault="00274CC1" w:rsidP="001E0F7C">
            <w:pPr>
              <w:pStyle w:val="TableText"/>
              <w:jc w:val="both"/>
              <w:rPr>
                <w:rFonts w:ascii="David" w:hAnsi="David"/>
                <w:sz w:val="26"/>
                <w:rtl/>
              </w:rPr>
            </w:pPr>
          </w:p>
        </w:tc>
        <w:tc>
          <w:tcPr>
            <w:tcW w:w="5895" w:type="dxa"/>
            <w:gridSpan w:val="4"/>
            <w:tcMar>
              <w:top w:w="91" w:type="dxa"/>
              <w:left w:w="0" w:type="dxa"/>
              <w:bottom w:w="91" w:type="dxa"/>
              <w:right w:w="0" w:type="dxa"/>
            </w:tcMar>
          </w:tcPr>
          <w:p w14:paraId="357C3076" w14:textId="218620C4" w:rsidR="00274CC1" w:rsidRPr="0037250A" w:rsidRDefault="00274CC1" w:rsidP="006E08DB">
            <w:pPr>
              <w:pStyle w:val="TableBlockOutdent"/>
              <w:rPr>
                <w:rFonts w:ascii="David" w:hAnsi="David"/>
                <w:sz w:val="26"/>
                <w:rtl/>
              </w:rPr>
            </w:pPr>
            <w:r w:rsidRPr="0037250A">
              <w:rPr>
                <w:rFonts w:ascii="David" w:hAnsi="David"/>
                <w:sz w:val="26"/>
                <w:rtl/>
              </w:rPr>
              <w:t xml:space="preserve">""ההכרזה על מצב מיוחד בעורף" </w:t>
            </w:r>
            <w:r>
              <w:rPr>
                <w:rFonts w:ascii="David" w:hAnsi="David"/>
                <w:sz w:val="26"/>
                <w:rtl/>
              </w:rPr>
              <w:t>–</w:t>
            </w:r>
            <w:r w:rsidRPr="0037250A">
              <w:rPr>
                <w:rFonts w:ascii="David" w:hAnsi="David"/>
                <w:sz w:val="26"/>
                <w:rtl/>
              </w:rPr>
              <w:t xml:space="preserve"> ההכרזה על מצב מיוחד בעורף כהגדרתו בחוק ההתגוננות האזרחית, התשי"א</w:t>
            </w:r>
            <w:r>
              <w:rPr>
                <w:rFonts w:ascii="David" w:hAnsi="David"/>
                <w:sz w:val="26"/>
                <w:rtl/>
              </w:rPr>
              <w:t>–</w:t>
            </w:r>
            <w:r w:rsidRPr="0037250A">
              <w:rPr>
                <w:rFonts w:ascii="David" w:hAnsi="David"/>
                <w:sz w:val="26"/>
                <w:rtl/>
              </w:rPr>
              <w:t>1951‏, מיום כ"ב בתשרי התשפ"ד (7 באוקטובר 2023);";</w:t>
            </w:r>
          </w:p>
        </w:tc>
      </w:tr>
      <w:tr w:rsidR="00274CC1" w:rsidRPr="0037250A" w14:paraId="76C87089" w14:textId="77777777" w:rsidTr="00E22EE1">
        <w:trPr>
          <w:cantSplit/>
        </w:trPr>
        <w:tc>
          <w:tcPr>
            <w:tcW w:w="1869" w:type="dxa"/>
            <w:tcMar>
              <w:top w:w="91" w:type="dxa"/>
              <w:left w:w="0" w:type="dxa"/>
              <w:bottom w:w="91" w:type="dxa"/>
              <w:right w:w="0" w:type="dxa"/>
            </w:tcMar>
          </w:tcPr>
          <w:p w14:paraId="7CA2FAF0"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381C7E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4DE55A9"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10891A73"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ג</w:t>
            </w:r>
            <w:r w:rsidRPr="0037250A">
              <w:rPr>
                <w:rFonts w:ascii="David" w:hAnsi="David"/>
                <w:sz w:val="26"/>
                <w:rtl/>
              </w:rPr>
              <w:t>)</w:t>
            </w:r>
            <w:r w:rsidRPr="0037250A">
              <w:rPr>
                <w:rFonts w:ascii="David" w:hAnsi="David"/>
                <w:sz w:val="26"/>
                <w:rtl/>
              </w:rPr>
              <w:tab/>
              <w:t>אחרי ההגדרה "נתוני זיהוי ביומטריים" יבוא:</w:t>
            </w:r>
          </w:p>
        </w:tc>
      </w:tr>
      <w:tr w:rsidR="00274CC1" w:rsidRPr="0037250A" w14:paraId="476A2246" w14:textId="77777777" w:rsidTr="00E22EE1">
        <w:trPr>
          <w:cantSplit/>
        </w:trPr>
        <w:tc>
          <w:tcPr>
            <w:tcW w:w="1869" w:type="dxa"/>
            <w:tcMar>
              <w:top w:w="91" w:type="dxa"/>
              <w:left w:w="0" w:type="dxa"/>
              <w:bottom w:w="91" w:type="dxa"/>
              <w:right w:w="0" w:type="dxa"/>
            </w:tcMar>
          </w:tcPr>
          <w:p w14:paraId="029231E8"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D9147C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97A92FB"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E6565D3" w14:textId="77777777" w:rsidR="00274CC1" w:rsidRPr="0037250A" w:rsidRDefault="00274CC1" w:rsidP="001E0F7C">
            <w:pPr>
              <w:pStyle w:val="TableText"/>
              <w:jc w:val="both"/>
              <w:rPr>
                <w:rFonts w:ascii="David" w:hAnsi="David"/>
                <w:sz w:val="26"/>
                <w:rtl/>
              </w:rPr>
            </w:pPr>
          </w:p>
        </w:tc>
        <w:tc>
          <w:tcPr>
            <w:tcW w:w="5895" w:type="dxa"/>
            <w:gridSpan w:val="4"/>
            <w:tcMar>
              <w:top w:w="91" w:type="dxa"/>
              <w:left w:w="0" w:type="dxa"/>
              <w:bottom w:w="91" w:type="dxa"/>
              <w:right w:w="0" w:type="dxa"/>
            </w:tcMar>
          </w:tcPr>
          <w:p w14:paraId="530023CC" w14:textId="2146A71F" w:rsidR="00274CC1" w:rsidRPr="0037250A" w:rsidRDefault="00274CC1" w:rsidP="00E22EE1">
            <w:pPr>
              <w:pStyle w:val="TableBlockOutdent"/>
              <w:rPr>
                <w:rFonts w:ascii="David" w:hAnsi="David"/>
                <w:sz w:val="26"/>
                <w:rtl/>
              </w:rPr>
            </w:pPr>
            <w:r w:rsidRPr="0037250A">
              <w:rPr>
                <w:rFonts w:ascii="David" w:hAnsi="David"/>
                <w:sz w:val="26"/>
                <w:rtl/>
              </w:rPr>
              <w:t xml:space="preserve">""פעולות האיבה או פעולות המלחמה" </w:t>
            </w:r>
            <w:r>
              <w:rPr>
                <w:rFonts w:ascii="David" w:hAnsi="David"/>
                <w:sz w:val="26"/>
                <w:rtl/>
              </w:rPr>
              <w:t>–</w:t>
            </w:r>
            <w:r w:rsidRPr="0037250A">
              <w:rPr>
                <w:rFonts w:ascii="David" w:hAnsi="David"/>
                <w:sz w:val="26"/>
                <w:rtl/>
              </w:rPr>
              <w:t xml:space="preserve"> פעולות האיבה או פעולות המלחמה, שאירעו בתקופה שמיום כ"ב בתשרי התשפ"ד (7 באוקטובר</w:t>
            </w:r>
            <w:r>
              <w:rPr>
                <w:rFonts w:ascii="David" w:hAnsi="David" w:hint="cs"/>
                <w:sz w:val="26"/>
                <w:rtl/>
              </w:rPr>
              <w:t xml:space="preserve"> </w:t>
            </w:r>
            <w:r>
              <w:rPr>
                <w:rFonts w:ascii="David" w:hAnsi="David"/>
                <w:sz w:val="26"/>
              </w:rPr>
              <w:t>2023</w:t>
            </w:r>
            <w:r w:rsidR="006E08DB">
              <w:rPr>
                <w:rFonts w:ascii="David" w:hAnsi="David" w:hint="cs"/>
                <w:sz w:val="26"/>
                <w:rtl/>
              </w:rPr>
              <w:t>)</w:t>
            </w:r>
            <w:r w:rsidRPr="0037250A">
              <w:rPr>
                <w:rFonts w:ascii="David" w:hAnsi="David"/>
                <w:sz w:val="26"/>
                <w:rtl/>
              </w:rPr>
              <w:t xml:space="preserve"> עד תום תקופת תוקפה של ההכרזה על מצב מיוחד בעורף או עד תום הפעולות הצבאיות המשמעותיות, לפי המאוחר;</w:t>
            </w:r>
          </w:p>
        </w:tc>
      </w:tr>
      <w:tr w:rsidR="00274CC1" w:rsidRPr="0037250A" w14:paraId="5A1A2096" w14:textId="77777777" w:rsidTr="00E22EE1">
        <w:trPr>
          <w:cantSplit/>
        </w:trPr>
        <w:tc>
          <w:tcPr>
            <w:tcW w:w="1869" w:type="dxa"/>
            <w:tcMar>
              <w:top w:w="91" w:type="dxa"/>
              <w:left w:w="0" w:type="dxa"/>
              <w:bottom w:w="91" w:type="dxa"/>
              <w:right w:w="0" w:type="dxa"/>
            </w:tcMar>
          </w:tcPr>
          <w:p w14:paraId="4DB1B71D"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5CAABA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B27F08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64309C4" w14:textId="77777777" w:rsidR="00274CC1" w:rsidRPr="0037250A" w:rsidRDefault="00274CC1" w:rsidP="001E0F7C">
            <w:pPr>
              <w:pStyle w:val="TableText"/>
              <w:jc w:val="both"/>
              <w:rPr>
                <w:rFonts w:ascii="David" w:hAnsi="David"/>
                <w:sz w:val="26"/>
                <w:rtl/>
              </w:rPr>
            </w:pPr>
          </w:p>
        </w:tc>
        <w:tc>
          <w:tcPr>
            <w:tcW w:w="5895" w:type="dxa"/>
            <w:gridSpan w:val="4"/>
            <w:tcMar>
              <w:top w:w="91" w:type="dxa"/>
              <w:left w:w="0" w:type="dxa"/>
              <w:bottom w:w="91" w:type="dxa"/>
              <w:right w:w="0" w:type="dxa"/>
            </w:tcMar>
          </w:tcPr>
          <w:p w14:paraId="54DA69D0"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"הפעולות הצבאיות המשמעותיות" </w:t>
            </w:r>
            <w:r>
              <w:rPr>
                <w:rFonts w:ascii="David" w:hAnsi="David"/>
                <w:sz w:val="26"/>
                <w:rtl/>
              </w:rPr>
              <w:t>–</w:t>
            </w:r>
            <w:r w:rsidRPr="0037250A">
              <w:rPr>
                <w:rFonts w:ascii="David" w:hAnsi="David"/>
                <w:sz w:val="26"/>
                <w:rtl/>
              </w:rPr>
              <w:t xml:space="preserve"> הפעולות הצבאיות המשמעותיות שעליהן החליטה ועדת השרים לענייני ביטחון לאומי לפי סעיף 40 לחוק־יסוד: הממשלה</w:t>
            </w:r>
            <w:r w:rsidRPr="00E22EE1">
              <w:rPr>
                <w:rStyle w:val="a9"/>
                <w:rFonts w:ascii="David" w:hAnsi="David"/>
                <w:sz w:val="26"/>
                <w:rtl/>
              </w:rPr>
              <w:footnoteReference w:id="3"/>
            </w:r>
            <w:r w:rsidRPr="0037250A">
              <w:rPr>
                <w:rFonts w:ascii="David" w:hAnsi="David"/>
                <w:sz w:val="26"/>
                <w:rtl/>
              </w:rPr>
              <w:t>, והודיעה לגביהן לוועדת החוץ והביטחון של הכנסת ביום כ"</w:t>
            </w:r>
            <w:r>
              <w:rPr>
                <w:rFonts w:ascii="David" w:hAnsi="David" w:hint="cs"/>
                <w:sz w:val="26"/>
                <w:rtl/>
              </w:rPr>
              <w:t>ג</w:t>
            </w:r>
            <w:r w:rsidRPr="0037250A">
              <w:rPr>
                <w:rFonts w:ascii="David" w:hAnsi="David"/>
                <w:sz w:val="26"/>
                <w:rtl/>
              </w:rPr>
              <w:t xml:space="preserve"> בתשרי התשפ"ד (</w:t>
            </w:r>
            <w:r>
              <w:rPr>
                <w:rFonts w:ascii="David" w:hAnsi="David"/>
                <w:sz w:val="26"/>
              </w:rPr>
              <w:t>8</w:t>
            </w:r>
            <w:r w:rsidRPr="0037250A">
              <w:rPr>
                <w:rFonts w:ascii="David" w:hAnsi="David"/>
                <w:sz w:val="26"/>
                <w:rtl/>
              </w:rPr>
              <w:t xml:space="preserve"> באוקטובר 2023);";</w:t>
            </w:r>
          </w:p>
        </w:tc>
      </w:tr>
      <w:tr w:rsidR="00274CC1" w:rsidRPr="0037250A" w14:paraId="7AD22872" w14:textId="77777777" w:rsidTr="00E22EE1">
        <w:trPr>
          <w:cantSplit/>
        </w:trPr>
        <w:tc>
          <w:tcPr>
            <w:tcW w:w="1869" w:type="dxa"/>
            <w:tcMar>
              <w:top w:w="91" w:type="dxa"/>
              <w:left w:w="0" w:type="dxa"/>
              <w:bottom w:w="91" w:type="dxa"/>
              <w:right w:w="0" w:type="dxa"/>
            </w:tcMar>
          </w:tcPr>
          <w:p w14:paraId="3760F408"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D7EB312"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20A87D0D" w14:textId="77777777" w:rsidR="00274CC1" w:rsidRPr="0037250A" w:rsidRDefault="00274CC1" w:rsidP="00E22EE1">
            <w:pPr>
              <w:pStyle w:val="TableBlock"/>
              <w:rPr>
                <w:rFonts w:ascii="David" w:hAnsi="David"/>
                <w:sz w:val="26"/>
                <w:rtl/>
              </w:rPr>
            </w:pPr>
            <w:r w:rsidRPr="0037250A">
              <w:rPr>
                <w:rFonts w:ascii="David" w:hAnsi="David"/>
                <w:sz w:val="26"/>
                <w:rtl/>
              </w:rPr>
              <w:t>(2)</w:t>
            </w:r>
            <w:r w:rsidRPr="0037250A">
              <w:rPr>
                <w:rFonts w:ascii="David" w:hAnsi="David"/>
                <w:sz w:val="26"/>
                <w:rtl/>
              </w:rPr>
              <w:tab/>
              <w:t>אחרי סעיף 10א יבוא:</w:t>
            </w:r>
          </w:p>
        </w:tc>
      </w:tr>
      <w:tr w:rsidR="00274CC1" w:rsidRPr="0037250A" w14:paraId="706D0FD9" w14:textId="77777777" w:rsidTr="00E22EE1">
        <w:trPr>
          <w:cantSplit/>
        </w:trPr>
        <w:tc>
          <w:tcPr>
            <w:tcW w:w="1869" w:type="dxa"/>
            <w:tcMar>
              <w:top w:w="91" w:type="dxa"/>
              <w:left w:w="0" w:type="dxa"/>
              <w:bottom w:w="91" w:type="dxa"/>
              <w:right w:w="0" w:type="dxa"/>
            </w:tcMar>
          </w:tcPr>
          <w:p w14:paraId="6B669D9D"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AB98825" w14:textId="77777777" w:rsidR="00274CC1" w:rsidRPr="0037250A" w:rsidRDefault="00274CC1" w:rsidP="001E0F7C">
            <w:pPr>
              <w:pStyle w:val="TableText"/>
              <w:jc w:val="both"/>
              <w:rPr>
                <w:rFonts w:ascii="David" w:hAnsi="David"/>
                <w:sz w:val="26"/>
                <w:rtl/>
              </w:rPr>
            </w:pPr>
          </w:p>
        </w:tc>
        <w:tc>
          <w:tcPr>
            <w:tcW w:w="1872" w:type="dxa"/>
            <w:gridSpan w:val="3"/>
            <w:tcMar>
              <w:top w:w="91" w:type="dxa"/>
              <w:left w:w="0" w:type="dxa"/>
              <w:bottom w:w="91" w:type="dxa"/>
              <w:right w:w="0" w:type="dxa"/>
            </w:tcMar>
          </w:tcPr>
          <w:p w14:paraId="1AA8D3E0" w14:textId="77777777" w:rsidR="00274CC1" w:rsidRPr="0037250A" w:rsidRDefault="00274CC1" w:rsidP="001E0F7C">
            <w:pPr>
              <w:pStyle w:val="TableInnerSideHeading"/>
              <w:rPr>
                <w:rFonts w:ascii="David" w:hAnsi="David"/>
                <w:sz w:val="26"/>
                <w:rtl/>
              </w:rPr>
            </w:pPr>
            <w:r w:rsidRPr="0037250A">
              <w:rPr>
                <w:rFonts w:ascii="David" w:hAnsi="David"/>
                <w:sz w:val="26"/>
                <w:rtl/>
              </w:rPr>
              <w:t xml:space="preserve">"הוראות לעניין תמונות טביעות אצבעות </w:t>
            </w:r>
            <w:r>
              <w:rPr>
                <w:rFonts w:ascii="David" w:hAnsi="David"/>
                <w:sz w:val="26"/>
                <w:rtl/>
              </w:rPr>
              <w:t>–</w:t>
            </w:r>
            <w:r w:rsidRPr="0037250A">
              <w:rPr>
                <w:rFonts w:ascii="David" w:hAnsi="David"/>
                <w:sz w:val="26"/>
                <w:rtl/>
              </w:rPr>
              <w:t xml:space="preserve"> הוראת שעה </w:t>
            </w:r>
            <w:r>
              <w:rPr>
                <w:rFonts w:ascii="David" w:hAnsi="David"/>
                <w:sz w:val="26"/>
                <w:rtl/>
              </w:rPr>
              <w:t>–</w:t>
            </w:r>
            <w:r w:rsidRPr="0037250A">
              <w:rPr>
                <w:rFonts w:ascii="David" w:hAnsi="David"/>
                <w:sz w:val="26"/>
                <w:rtl/>
              </w:rPr>
              <w:t xml:space="preserve"> חרבות ברזל</w:t>
            </w:r>
          </w:p>
        </w:tc>
        <w:tc>
          <w:tcPr>
            <w:tcW w:w="624" w:type="dxa"/>
            <w:tcMar>
              <w:top w:w="91" w:type="dxa"/>
              <w:left w:w="0" w:type="dxa"/>
              <w:bottom w:w="91" w:type="dxa"/>
              <w:right w:w="0" w:type="dxa"/>
            </w:tcMar>
          </w:tcPr>
          <w:p w14:paraId="59D50972" w14:textId="77777777" w:rsidR="00274CC1" w:rsidRPr="0037250A" w:rsidRDefault="00274CC1" w:rsidP="001E0F7C">
            <w:pPr>
              <w:pStyle w:val="TableText"/>
              <w:rPr>
                <w:rFonts w:ascii="David" w:hAnsi="David"/>
                <w:sz w:val="26"/>
                <w:rtl/>
              </w:rPr>
            </w:pPr>
            <w:r w:rsidRPr="0037250A">
              <w:rPr>
                <w:rFonts w:ascii="David" w:hAnsi="David"/>
                <w:sz w:val="26"/>
                <w:rtl/>
              </w:rPr>
              <w:t>10ב.</w:t>
            </w:r>
          </w:p>
        </w:tc>
        <w:tc>
          <w:tcPr>
            <w:tcW w:w="4647" w:type="dxa"/>
            <w:gridSpan w:val="2"/>
            <w:tcMar>
              <w:top w:w="91" w:type="dxa"/>
              <w:left w:w="0" w:type="dxa"/>
              <w:bottom w:w="91" w:type="dxa"/>
              <w:right w:w="0" w:type="dxa"/>
            </w:tcMar>
          </w:tcPr>
          <w:p w14:paraId="5CD848C8" w14:textId="77777777" w:rsidR="00274CC1" w:rsidRPr="0037250A" w:rsidRDefault="00274CC1" w:rsidP="00E22EE1">
            <w:pPr>
              <w:pStyle w:val="TableBlock"/>
              <w:rPr>
                <w:rFonts w:ascii="David" w:hAnsi="David"/>
                <w:sz w:val="26"/>
                <w:rtl/>
              </w:rPr>
            </w:pPr>
            <w:r w:rsidRPr="0037250A">
              <w:rPr>
                <w:rFonts w:ascii="David" w:hAnsi="David"/>
                <w:sz w:val="26"/>
                <w:rtl/>
              </w:rPr>
              <w:t xml:space="preserve">על אף האמור בחוק זה </w:t>
            </w:r>
            <w:r>
              <w:rPr>
                <w:rFonts w:ascii="David" w:hAnsi="David"/>
                <w:sz w:val="26"/>
                <w:rtl/>
              </w:rPr>
              <w:t>–</w:t>
            </w:r>
          </w:p>
        </w:tc>
      </w:tr>
      <w:tr w:rsidR="00274CC1" w14:paraId="27970AD5" w14:textId="77777777" w:rsidTr="00E22EE1">
        <w:tblPrEx>
          <w:tblLook w:val="01E0" w:firstRow="1" w:lastRow="1" w:firstColumn="1" w:lastColumn="1" w:noHBand="0" w:noVBand="0"/>
        </w:tblPrEx>
        <w:trPr>
          <w:cantSplit/>
        </w:trPr>
        <w:tc>
          <w:tcPr>
            <w:tcW w:w="1869" w:type="dxa"/>
          </w:tcPr>
          <w:p w14:paraId="2305E6F4" w14:textId="77777777" w:rsidR="00274CC1" w:rsidRDefault="00274CC1" w:rsidP="001E0F7C">
            <w:pPr>
              <w:pStyle w:val="TableSideHeading"/>
            </w:pPr>
          </w:p>
        </w:tc>
        <w:tc>
          <w:tcPr>
            <w:tcW w:w="624" w:type="dxa"/>
          </w:tcPr>
          <w:p w14:paraId="3479E081" w14:textId="77777777" w:rsidR="00274CC1" w:rsidRDefault="00274CC1" w:rsidP="001E0F7C">
            <w:pPr>
              <w:pStyle w:val="TableText"/>
            </w:pPr>
          </w:p>
        </w:tc>
        <w:tc>
          <w:tcPr>
            <w:tcW w:w="624" w:type="dxa"/>
          </w:tcPr>
          <w:p w14:paraId="42A681BD" w14:textId="77777777" w:rsidR="00274CC1" w:rsidRDefault="00274CC1" w:rsidP="001E0F7C">
            <w:pPr>
              <w:pStyle w:val="TableText"/>
            </w:pPr>
          </w:p>
        </w:tc>
        <w:tc>
          <w:tcPr>
            <w:tcW w:w="624" w:type="dxa"/>
          </w:tcPr>
          <w:p w14:paraId="08CC1771" w14:textId="77777777" w:rsidR="00274CC1" w:rsidRDefault="00274CC1" w:rsidP="001E0F7C">
            <w:pPr>
              <w:pStyle w:val="TableText"/>
            </w:pPr>
          </w:p>
        </w:tc>
        <w:tc>
          <w:tcPr>
            <w:tcW w:w="624" w:type="dxa"/>
          </w:tcPr>
          <w:p w14:paraId="18ABED1F" w14:textId="77777777" w:rsidR="00274CC1" w:rsidRDefault="00274CC1" w:rsidP="001E0F7C">
            <w:pPr>
              <w:pStyle w:val="TableText"/>
            </w:pPr>
          </w:p>
        </w:tc>
        <w:tc>
          <w:tcPr>
            <w:tcW w:w="624" w:type="dxa"/>
          </w:tcPr>
          <w:p w14:paraId="16B4720A" w14:textId="77777777" w:rsidR="00274CC1" w:rsidRDefault="00274CC1" w:rsidP="001E0F7C">
            <w:pPr>
              <w:pStyle w:val="TableText"/>
            </w:pPr>
          </w:p>
        </w:tc>
        <w:tc>
          <w:tcPr>
            <w:tcW w:w="4647" w:type="dxa"/>
            <w:gridSpan w:val="2"/>
          </w:tcPr>
          <w:p w14:paraId="2387B0D1" w14:textId="77777777" w:rsidR="00274CC1" w:rsidRPr="0037250A" w:rsidRDefault="00274CC1" w:rsidP="00E22EE1">
            <w:pPr>
              <w:pStyle w:val="TableBlock"/>
              <w:rPr>
                <w:rFonts w:ascii="David" w:hAnsi="David"/>
                <w:sz w:val="26"/>
                <w:rtl/>
              </w:rPr>
            </w:pPr>
            <w:r w:rsidRPr="0037250A">
              <w:rPr>
                <w:rFonts w:ascii="David" w:hAnsi="David"/>
                <w:sz w:val="26"/>
                <w:rtl/>
              </w:rPr>
              <w:t>(1)</w:t>
            </w:r>
            <w:r>
              <w:rPr>
                <w:rFonts w:ascii="David" w:hAnsi="David"/>
                <w:sz w:val="26"/>
                <w:rtl/>
              </w:rPr>
              <w:tab/>
            </w:r>
            <w:r w:rsidRPr="0037250A">
              <w:rPr>
                <w:rFonts w:ascii="David" w:hAnsi="David"/>
                <w:sz w:val="26"/>
                <w:rtl/>
              </w:rPr>
              <w:t>כל תמונות טביעות האצבעות שניטלו ונתוני הזיהוי הביומטריים שהופקו מהן לפי סעיף 3, יועברו לרשות ויישמרו במאגר הביומטרי אף אם לא ניתנה הסכמ</w:t>
            </w:r>
            <w:r>
              <w:rPr>
                <w:rFonts w:ascii="David" w:hAnsi="David" w:hint="cs"/>
                <w:sz w:val="26"/>
                <w:rtl/>
              </w:rPr>
              <w:t>ה של תושב</w:t>
            </w:r>
            <w:r w:rsidRPr="0037250A">
              <w:rPr>
                <w:rFonts w:ascii="David" w:hAnsi="David"/>
                <w:sz w:val="26"/>
                <w:rtl/>
              </w:rPr>
              <w:t xml:space="preserve"> לכך, ויחולו לעניין זה הוראות סעיף 10;</w:t>
            </w:r>
          </w:p>
        </w:tc>
      </w:tr>
      <w:tr w:rsidR="00274CC1" w:rsidRPr="0037250A" w14:paraId="34A1BC62" w14:textId="77777777" w:rsidTr="00E22EE1">
        <w:trPr>
          <w:cantSplit/>
        </w:trPr>
        <w:tc>
          <w:tcPr>
            <w:tcW w:w="1869" w:type="dxa"/>
            <w:tcMar>
              <w:top w:w="91" w:type="dxa"/>
              <w:left w:w="0" w:type="dxa"/>
              <w:bottom w:w="91" w:type="dxa"/>
              <w:right w:w="0" w:type="dxa"/>
            </w:tcMar>
          </w:tcPr>
          <w:p w14:paraId="68875D1A"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C0B927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2FF189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F5FB45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595889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4A65B7B"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3D1047DD" w14:textId="77777777" w:rsidR="00274CC1" w:rsidRPr="0037250A" w:rsidRDefault="00274CC1" w:rsidP="00E22EE1">
            <w:pPr>
              <w:pStyle w:val="TableBlock"/>
              <w:rPr>
                <w:rFonts w:ascii="David" w:hAnsi="David"/>
                <w:sz w:val="26"/>
                <w:rtl/>
              </w:rPr>
            </w:pPr>
            <w:r w:rsidRPr="0037250A">
              <w:rPr>
                <w:rFonts w:ascii="David" w:hAnsi="David"/>
                <w:sz w:val="26"/>
                <w:rtl/>
              </w:rPr>
              <w:t>(2)</w:t>
            </w:r>
            <w:r>
              <w:rPr>
                <w:rFonts w:ascii="David" w:hAnsi="David"/>
                <w:sz w:val="26"/>
                <w:rtl/>
              </w:rPr>
              <w:tab/>
            </w:r>
            <w:r w:rsidRPr="0037250A">
              <w:rPr>
                <w:rFonts w:ascii="David" w:hAnsi="David"/>
                <w:sz w:val="26"/>
                <w:rtl/>
              </w:rPr>
              <w:t>הרשות לא תמחק מהמאגר תמונות טביעות אצבעות ואת נתוני הזיהוי הביומטריים שהופקו מהן לפי סעיף 3, השמורים בו, ולא יתקבלו בקשות למחיק</w:t>
            </w:r>
            <w:r>
              <w:rPr>
                <w:rFonts w:ascii="David" w:hAnsi="David" w:hint="cs"/>
                <w:sz w:val="26"/>
                <w:rtl/>
              </w:rPr>
              <w:t>ה</w:t>
            </w:r>
            <w:r w:rsidRPr="0037250A">
              <w:rPr>
                <w:rFonts w:ascii="David" w:hAnsi="David"/>
                <w:sz w:val="26"/>
                <w:rtl/>
              </w:rPr>
              <w:t xml:space="preserve"> לפי סעיף 10א(ד).";</w:t>
            </w:r>
          </w:p>
        </w:tc>
      </w:tr>
      <w:tr w:rsidR="00274CC1" w:rsidRPr="0037250A" w14:paraId="4D5AC49D" w14:textId="77777777" w:rsidTr="00E22EE1">
        <w:trPr>
          <w:cantSplit/>
        </w:trPr>
        <w:tc>
          <w:tcPr>
            <w:tcW w:w="1869" w:type="dxa"/>
            <w:tcMar>
              <w:top w:w="91" w:type="dxa"/>
              <w:left w:w="0" w:type="dxa"/>
              <w:bottom w:w="91" w:type="dxa"/>
              <w:right w:w="0" w:type="dxa"/>
            </w:tcMar>
          </w:tcPr>
          <w:p w14:paraId="3BC4BFF0"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060426D8"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6852D8F9" w14:textId="77777777" w:rsidR="00274CC1" w:rsidRPr="0037250A" w:rsidRDefault="00274CC1" w:rsidP="00E22EE1">
            <w:pPr>
              <w:pStyle w:val="TableBlock"/>
              <w:rPr>
                <w:rFonts w:ascii="David" w:hAnsi="David"/>
                <w:sz w:val="26"/>
                <w:rtl/>
              </w:rPr>
            </w:pPr>
            <w:r w:rsidRPr="0037250A">
              <w:rPr>
                <w:rFonts w:ascii="David" w:hAnsi="David"/>
                <w:sz w:val="26"/>
                <w:rtl/>
              </w:rPr>
              <w:t>(3)</w:t>
            </w:r>
            <w:r w:rsidRPr="0037250A">
              <w:rPr>
                <w:rFonts w:ascii="David" w:hAnsi="David"/>
                <w:sz w:val="26"/>
                <w:rtl/>
              </w:rPr>
              <w:tab/>
              <w:t>אחרי סעיף 20 יבוא:</w:t>
            </w:r>
          </w:p>
        </w:tc>
      </w:tr>
      <w:tr w:rsidR="00274CC1" w:rsidRPr="0037250A" w14:paraId="72266868" w14:textId="77777777" w:rsidTr="00E22EE1">
        <w:trPr>
          <w:cantSplit/>
        </w:trPr>
        <w:tc>
          <w:tcPr>
            <w:tcW w:w="1869" w:type="dxa"/>
            <w:tcMar>
              <w:top w:w="91" w:type="dxa"/>
              <w:left w:w="0" w:type="dxa"/>
              <w:bottom w:w="91" w:type="dxa"/>
              <w:right w:w="0" w:type="dxa"/>
            </w:tcMar>
          </w:tcPr>
          <w:p w14:paraId="2E35940D"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87D8878" w14:textId="77777777" w:rsidR="00274CC1" w:rsidRPr="0037250A" w:rsidRDefault="00274CC1" w:rsidP="001E0F7C">
            <w:pPr>
              <w:pStyle w:val="TableText"/>
              <w:jc w:val="both"/>
              <w:rPr>
                <w:rFonts w:ascii="David" w:hAnsi="David"/>
                <w:sz w:val="26"/>
                <w:rtl/>
              </w:rPr>
            </w:pPr>
          </w:p>
        </w:tc>
        <w:tc>
          <w:tcPr>
            <w:tcW w:w="1872" w:type="dxa"/>
            <w:gridSpan w:val="3"/>
            <w:tcMar>
              <w:top w:w="91" w:type="dxa"/>
              <w:left w:w="0" w:type="dxa"/>
              <w:bottom w:w="91" w:type="dxa"/>
              <w:right w:w="0" w:type="dxa"/>
            </w:tcMar>
          </w:tcPr>
          <w:p w14:paraId="62E943F3" w14:textId="77777777" w:rsidR="00274CC1" w:rsidRPr="0037250A" w:rsidRDefault="00274CC1" w:rsidP="001E0F7C">
            <w:pPr>
              <w:pStyle w:val="TableInnerSideHeading"/>
              <w:rPr>
                <w:rFonts w:ascii="David" w:hAnsi="David"/>
                <w:sz w:val="26"/>
                <w:rtl/>
              </w:rPr>
            </w:pPr>
            <w:r w:rsidRPr="0037250A">
              <w:rPr>
                <w:rFonts w:ascii="David" w:hAnsi="David"/>
                <w:sz w:val="26"/>
                <w:rtl/>
              </w:rPr>
              <w:t xml:space="preserve">"העברת מידע מהמאגר למשטרת ישראל </w:t>
            </w:r>
            <w:r>
              <w:rPr>
                <w:rFonts w:ascii="David" w:hAnsi="David"/>
                <w:sz w:val="26"/>
                <w:rtl/>
              </w:rPr>
              <w:t>–</w:t>
            </w:r>
            <w:r w:rsidRPr="0037250A">
              <w:rPr>
                <w:rFonts w:ascii="David" w:hAnsi="David"/>
                <w:sz w:val="26"/>
                <w:rtl/>
              </w:rPr>
              <w:t xml:space="preserve"> הוראת שעה </w:t>
            </w:r>
            <w:r>
              <w:rPr>
                <w:rFonts w:ascii="David" w:hAnsi="David"/>
                <w:sz w:val="26"/>
                <w:rtl/>
              </w:rPr>
              <w:t>–</w:t>
            </w:r>
            <w:r w:rsidRPr="0037250A">
              <w:rPr>
                <w:rFonts w:ascii="David" w:hAnsi="David"/>
                <w:sz w:val="26"/>
                <w:rtl/>
              </w:rPr>
              <w:t xml:space="preserve"> חרבות ברזל</w:t>
            </w:r>
          </w:p>
        </w:tc>
        <w:tc>
          <w:tcPr>
            <w:tcW w:w="624" w:type="dxa"/>
            <w:tcMar>
              <w:top w:w="91" w:type="dxa"/>
              <w:left w:w="0" w:type="dxa"/>
              <w:bottom w:w="91" w:type="dxa"/>
              <w:right w:w="0" w:type="dxa"/>
            </w:tcMar>
          </w:tcPr>
          <w:p w14:paraId="29E0B1BF" w14:textId="77777777" w:rsidR="00274CC1" w:rsidRPr="0037250A" w:rsidRDefault="00274CC1" w:rsidP="001E0F7C">
            <w:pPr>
              <w:pStyle w:val="TableText"/>
              <w:rPr>
                <w:rFonts w:ascii="David" w:hAnsi="David"/>
                <w:sz w:val="26"/>
                <w:rtl/>
              </w:rPr>
            </w:pPr>
            <w:r w:rsidRPr="0037250A">
              <w:rPr>
                <w:rFonts w:ascii="David" w:hAnsi="David"/>
                <w:sz w:val="26"/>
                <w:rtl/>
              </w:rPr>
              <w:t>20א.</w:t>
            </w:r>
          </w:p>
        </w:tc>
        <w:tc>
          <w:tcPr>
            <w:tcW w:w="4647" w:type="dxa"/>
            <w:gridSpan w:val="2"/>
            <w:tcMar>
              <w:top w:w="91" w:type="dxa"/>
              <w:left w:w="0" w:type="dxa"/>
              <w:bottom w:w="91" w:type="dxa"/>
              <w:right w:w="0" w:type="dxa"/>
            </w:tcMar>
          </w:tcPr>
          <w:p w14:paraId="2C0FB884" w14:textId="77777777" w:rsidR="00274CC1" w:rsidRPr="0037250A" w:rsidRDefault="00274CC1" w:rsidP="00E22EE1">
            <w:pPr>
              <w:pStyle w:val="TableBlock"/>
              <w:rPr>
                <w:rFonts w:ascii="David" w:hAnsi="David"/>
                <w:sz w:val="26"/>
                <w:rtl/>
              </w:rPr>
            </w:pPr>
            <w:r w:rsidRPr="0037250A">
              <w:rPr>
                <w:rFonts w:ascii="David" w:hAnsi="David"/>
                <w:sz w:val="26"/>
                <w:rtl/>
              </w:rPr>
              <w:t xml:space="preserve">על אף האמור בחוק זה </w:t>
            </w:r>
            <w:r>
              <w:rPr>
                <w:rFonts w:ascii="David" w:hAnsi="David"/>
                <w:sz w:val="26"/>
                <w:rtl/>
              </w:rPr>
              <w:t>–</w:t>
            </w:r>
          </w:p>
        </w:tc>
      </w:tr>
      <w:tr w:rsidR="00274CC1" w14:paraId="7D8CE44D" w14:textId="77777777" w:rsidTr="00E22EE1">
        <w:tblPrEx>
          <w:tblLook w:val="01E0" w:firstRow="1" w:lastRow="1" w:firstColumn="1" w:lastColumn="1" w:noHBand="0" w:noVBand="0"/>
        </w:tblPrEx>
        <w:trPr>
          <w:cantSplit/>
        </w:trPr>
        <w:tc>
          <w:tcPr>
            <w:tcW w:w="1869" w:type="dxa"/>
          </w:tcPr>
          <w:p w14:paraId="4680506C" w14:textId="77777777" w:rsidR="00274CC1" w:rsidRDefault="00274CC1" w:rsidP="001E0F7C">
            <w:pPr>
              <w:pStyle w:val="TableSideHeading"/>
            </w:pPr>
          </w:p>
        </w:tc>
        <w:tc>
          <w:tcPr>
            <w:tcW w:w="624" w:type="dxa"/>
          </w:tcPr>
          <w:p w14:paraId="439A15C7" w14:textId="77777777" w:rsidR="00274CC1" w:rsidRDefault="00274CC1" w:rsidP="001E0F7C">
            <w:pPr>
              <w:pStyle w:val="TableText"/>
            </w:pPr>
          </w:p>
        </w:tc>
        <w:tc>
          <w:tcPr>
            <w:tcW w:w="624" w:type="dxa"/>
          </w:tcPr>
          <w:p w14:paraId="09424545" w14:textId="77777777" w:rsidR="00274CC1" w:rsidRPr="005F6ED4" w:rsidRDefault="00274CC1" w:rsidP="001E0F7C">
            <w:pPr>
              <w:pStyle w:val="TableText"/>
            </w:pPr>
          </w:p>
        </w:tc>
        <w:tc>
          <w:tcPr>
            <w:tcW w:w="624" w:type="dxa"/>
          </w:tcPr>
          <w:p w14:paraId="4E68109A" w14:textId="77777777" w:rsidR="00274CC1" w:rsidRDefault="00274CC1" w:rsidP="001E0F7C">
            <w:pPr>
              <w:pStyle w:val="TableText"/>
            </w:pPr>
          </w:p>
        </w:tc>
        <w:tc>
          <w:tcPr>
            <w:tcW w:w="624" w:type="dxa"/>
          </w:tcPr>
          <w:p w14:paraId="0951C80E" w14:textId="77777777" w:rsidR="00274CC1" w:rsidRDefault="00274CC1" w:rsidP="001E0F7C">
            <w:pPr>
              <w:pStyle w:val="TableText"/>
            </w:pPr>
          </w:p>
        </w:tc>
        <w:tc>
          <w:tcPr>
            <w:tcW w:w="624" w:type="dxa"/>
          </w:tcPr>
          <w:p w14:paraId="217467FA" w14:textId="77777777" w:rsidR="00274CC1" w:rsidRDefault="00274CC1" w:rsidP="001E0F7C">
            <w:pPr>
              <w:pStyle w:val="TableText"/>
            </w:pPr>
          </w:p>
        </w:tc>
        <w:tc>
          <w:tcPr>
            <w:tcW w:w="4647" w:type="dxa"/>
            <w:gridSpan w:val="2"/>
          </w:tcPr>
          <w:p w14:paraId="09C59FB7"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 xml:space="preserve">הרשות תעביר למשטרת ישראל, לפי בקשתה, תוצאת זיהוי, וכן אמצעים או נתונים ביומטריים הכלולים במאגר הביומטרי, לצורך אימות או בירור זהותו של אדם, לרבות גופה, שזהותו אינה ידועה או מוטלת בספק, ולצורך איתור נעדר או </w:t>
            </w:r>
            <w:r w:rsidRPr="00282F03">
              <w:rPr>
                <w:rFonts w:ascii="David" w:hAnsi="David"/>
                <w:sz w:val="26"/>
                <w:rtl/>
              </w:rPr>
              <w:t>שבוי, והכול אם הם נדרשים בשל פעולות האיבה או פעולות המלחמה</w:t>
            </w:r>
            <w:r w:rsidRPr="00282F03">
              <w:rPr>
                <w:rFonts w:ascii="David" w:hAnsi="David" w:hint="cs"/>
                <w:sz w:val="26"/>
                <w:rtl/>
              </w:rPr>
              <w:t xml:space="preserve"> </w:t>
            </w:r>
            <w:r w:rsidRPr="00282F03">
              <w:rPr>
                <w:rFonts w:ascii="David" w:hAnsi="David" w:hint="eastAsia"/>
                <w:sz w:val="26"/>
                <w:rtl/>
              </w:rPr>
              <w:t>או</w:t>
            </w:r>
            <w:r w:rsidRPr="00282F03">
              <w:rPr>
                <w:rFonts w:ascii="David" w:hAnsi="David"/>
                <w:sz w:val="26"/>
                <w:rtl/>
              </w:rPr>
              <w:t xml:space="preserve"> בשל אירוע </w:t>
            </w:r>
            <w:r w:rsidRPr="00282F03">
              <w:rPr>
                <w:rFonts w:ascii="David" w:hAnsi="David" w:hint="cs"/>
                <w:sz w:val="26"/>
                <w:rtl/>
              </w:rPr>
              <w:t>אזרחי</w:t>
            </w:r>
            <w:r w:rsidRPr="00282F03">
              <w:rPr>
                <w:rFonts w:ascii="David" w:hAnsi="David"/>
                <w:sz w:val="26"/>
                <w:rtl/>
              </w:rPr>
              <w:t xml:space="preserve"> </w:t>
            </w:r>
            <w:r w:rsidRPr="00282F03">
              <w:rPr>
                <w:rFonts w:ascii="David" w:hAnsi="David" w:hint="eastAsia"/>
                <w:sz w:val="26"/>
                <w:rtl/>
              </w:rPr>
              <w:t>רב־</w:t>
            </w:r>
            <w:r w:rsidRPr="00282F03">
              <w:rPr>
                <w:rFonts w:ascii="David" w:hAnsi="David"/>
                <w:sz w:val="26"/>
                <w:rtl/>
              </w:rPr>
              <w:t>נפגעים;</w:t>
            </w:r>
          </w:p>
        </w:tc>
      </w:tr>
      <w:tr w:rsidR="00274CC1" w:rsidRPr="0037250A" w14:paraId="0BD960DF" w14:textId="77777777" w:rsidTr="00E22EE1">
        <w:trPr>
          <w:cantSplit/>
        </w:trPr>
        <w:tc>
          <w:tcPr>
            <w:tcW w:w="1869" w:type="dxa"/>
            <w:tcMar>
              <w:top w:w="91" w:type="dxa"/>
              <w:left w:w="0" w:type="dxa"/>
              <w:bottom w:w="91" w:type="dxa"/>
              <w:right w:w="0" w:type="dxa"/>
            </w:tcMar>
          </w:tcPr>
          <w:p w14:paraId="211F605A"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BC0124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289B60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819505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E2CB22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3BAC4F4"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1F228F1F" w14:textId="77777777" w:rsidR="00274CC1" w:rsidRPr="0037250A" w:rsidRDefault="00274CC1" w:rsidP="00E22EE1">
            <w:pPr>
              <w:pStyle w:val="TableBlock"/>
              <w:rPr>
                <w:rFonts w:ascii="David" w:hAnsi="David"/>
                <w:sz w:val="26"/>
                <w:rtl/>
              </w:rPr>
            </w:pPr>
            <w:r w:rsidRPr="0037250A">
              <w:rPr>
                <w:rFonts w:ascii="David" w:hAnsi="David"/>
                <w:sz w:val="26"/>
                <w:rtl/>
              </w:rPr>
              <w:t>(2)</w:t>
            </w:r>
            <w:r w:rsidRPr="0037250A">
              <w:rPr>
                <w:rFonts w:ascii="David" w:hAnsi="David"/>
                <w:sz w:val="26"/>
                <w:rtl/>
              </w:rPr>
              <w:tab/>
              <w:t xml:space="preserve">בקשה לפי פסקה (1) תוגש בכתב, בידי קצין משטרה שייקבע כגורם אחראי לעניין משימת האימות או בירור הזהות או האיתור כאמור, אם </w:t>
            </w:r>
            <w:r>
              <w:rPr>
                <w:rFonts w:ascii="David" w:hAnsi="David" w:hint="cs"/>
                <w:sz w:val="26"/>
                <w:rtl/>
              </w:rPr>
              <w:t>שוכנע</w:t>
            </w:r>
            <w:r w:rsidRPr="0037250A">
              <w:rPr>
                <w:rFonts w:ascii="David" w:hAnsi="David"/>
                <w:sz w:val="26"/>
                <w:rtl/>
              </w:rPr>
              <w:t xml:space="preserve"> כי לא ניתן לבצע את המשימה האמורה ברמת הוודאות הנדרשת בדחיפות הנחוצה, באמצעות מידע ממאגרים אחרים או ממקור אחר שמהם רשאית משטרת ישראל לקבל מידע, ויצוינו בה, בין השאר, כל אלה:</w:t>
            </w:r>
          </w:p>
        </w:tc>
      </w:tr>
      <w:tr w:rsidR="00274CC1" w:rsidRPr="0037250A" w14:paraId="203485C5" w14:textId="77777777" w:rsidTr="00E22EE1">
        <w:trPr>
          <w:cantSplit/>
        </w:trPr>
        <w:tc>
          <w:tcPr>
            <w:tcW w:w="1869" w:type="dxa"/>
            <w:tcMar>
              <w:top w:w="91" w:type="dxa"/>
              <w:left w:w="0" w:type="dxa"/>
              <w:bottom w:w="91" w:type="dxa"/>
              <w:right w:w="0" w:type="dxa"/>
            </w:tcMar>
          </w:tcPr>
          <w:p w14:paraId="2D65FEDD"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CEF327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F6EB779"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5816D0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1419299"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BA1A94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3E7333A"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47A5016D" w14:textId="77777777" w:rsidR="00274CC1" w:rsidRPr="0037250A" w:rsidRDefault="00274CC1" w:rsidP="00E22EE1">
            <w:pPr>
              <w:pStyle w:val="TableBlock"/>
              <w:rPr>
                <w:rFonts w:ascii="David" w:hAnsi="David"/>
                <w:sz w:val="26"/>
                <w:rtl/>
              </w:rPr>
            </w:pPr>
            <w:r w:rsidRPr="0037250A">
              <w:rPr>
                <w:rFonts w:ascii="David" w:hAnsi="David"/>
                <w:sz w:val="26"/>
                <w:rtl/>
              </w:rPr>
              <w:t>(א)</w:t>
            </w:r>
            <w:r w:rsidRPr="0037250A">
              <w:rPr>
                <w:rFonts w:ascii="David" w:hAnsi="David"/>
                <w:sz w:val="26"/>
                <w:rtl/>
              </w:rPr>
              <w:tab/>
              <w:t>פרטי זהותו, דרגתו ותפקידו של המבקש;</w:t>
            </w:r>
          </w:p>
        </w:tc>
      </w:tr>
      <w:tr w:rsidR="00274CC1" w:rsidRPr="0037250A" w14:paraId="709230EB" w14:textId="77777777" w:rsidTr="00E22EE1">
        <w:trPr>
          <w:cantSplit/>
        </w:trPr>
        <w:tc>
          <w:tcPr>
            <w:tcW w:w="1869" w:type="dxa"/>
            <w:tcMar>
              <w:top w:w="91" w:type="dxa"/>
              <w:left w:w="0" w:type="dxa"/>
              <w:bottom w:w="91" w:type="dxa"/>
              <w:right w:w="0" w:type="dxa"/>
            </w:tcMar>
          </w:tcPr>
          <w:p w14:paraId="19FCA1D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0BDAB08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FB397B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7D1264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DB6F60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F08F16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5232470"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7039B2ED" w14:textId="77777777" w:rsidR="00274CC1" w:rsidRPr="0037250A" w:rsidRDefault="00274CC1" w:rsidP="00E22EE1">
            <w:pPr>
              <w:pStyle w:val="TableBlock"/>
              <w:rPr>
                <w:rFonts w:ascii="David" w:hAnsi="David"/>
                <w:sz w:val="26"/>
                <w:rtl/>
              </w:rPr>
            </w:pPr>
            <w:r w:rsidRPr="0037250A">
              <w:rPr>
                <w:rFonts w:ascii="David" w:hAnsi="David"/>
                <w:sz w:val="26"/>
                <w:rtl/>
              </w:rPr>
              <w:t>(ב)</w:t>
            </w:r>
            <w:r w:rsidRPr="0037250A">
              <w:rPr>
                <w:rFonts w:ascii="David" w:hAnsi="David"/>
                <w:sz w:val="26"/>
                <w:rtl/>
              </w:rPr>
              <w:tab/>
              <w:t>תוצאת הזיהוי, האמצעים או הנתונים הביומטריים המבוקשים;</w:t>
            </w:r>
          </w:p>
        </w:tc>
      </w:tr>
      <w:tr w:rsidR="00274CC1" w:rsidRPr="0037250A" w14:paraId="62B75FC6" w14:textId="77777777" w:rsidTr="00E22EE1">
        <w:trPr>
          <w:cantSplit/>
        </w:trPr>
        <w:tc>
          <w:tcPr>
            <w:tcW w:w="1869" w:type="dxa"/>
            <w:tcMar>
              <w:top w:w="91" w:type="dxa"/>
              <w:left w:w="0" w:type="dxa"/>
              <w:bottom w:w="91" w:type="dxa"/>
              <w:right w:w="0" w:type="dxa"/>
            </w:tcMar>
          </w:tcPr>
          <w:p w14:paraId="336BAD45"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4E2FA5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2A9F5D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D4992C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A9082F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4FCC05A"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2F6C243F" w14:textId="31A3D4C6" w:rsidR="00274CC1" w:rsidRPr="0037250A" w:rsidRDefault="00274CC1" w:rsidP="006E08DB">
            <w:pPr>
              <w:pStyle w:val="TableBlock"/>
              <w:rPr>
                <w:rFonts w:ascii="David" w:hAnsi="David"/>
                <w:sz w:val="26"/>
                <w:rtl/>
              </w:rPr>
            </w:pPr>
            <w:r w:rsidRPr="0037250A">
              <w:rPr>
                <w:rFonts w:ascii="David" w:hAnsi="David"/>
                <w:sz w:val="26"/>
                <w:rtl/>
              </w:rPr>
              <w:t>(3)</w:t>
            </w:r>
            <w:r w:rsidRPr="0037250A">
              <w:rPr>
                <w:rFonts w:ascii="David" w:hAnsi="David"/>
                <w:sz w:val="26"/>
                <w:rtl/>
              </w:rPr>
              <w:tab/>
              <w:t xml:space="preserve">מידע שהתקבל לפי סעיף זה יישמר, לפי העניין, בתיק חקירה משטרתי שנועד למטרת זיהוי כאמור בסעיף זה וישמש למטרה זו בלבד, במאגר לפי סימן ה' בפרק ד' לחוק סדר הדין הפלילי (סמכויות אכיפה </w:t>
            </w:r>
            <w:r>
              <w:rPr>
                <w:rFonts w:ascii="David" w:hAnsi="David"/>
                <w:sz w:val="26"/>
                <w:rtl/>
              </w:rPr>
              <w:t>–</w:t>
            </w:r>
            <w:r w:rsidRPr="0037250A">
              <w:rPr>
                <w:rFonts w:ascii="David" w:hAnsi="David"/>
                <w:sz w:val="26"/>
                <w:rtl/>
              </w:rPr>
              <w:t xml:space="preserve"> חיפוש בגוף ונטילת אמצעי זיהוי), התשנ"ו</w:t>
            </w:r>
            <w:r>
              <w:rPr>
                <w:rFonts w:ascii="David" w:hAnsi="David"/>
                <w:sz w:val="26"/>
                <w:rtl/>
              </w:rPr>
              <w:t>–</w:t>
            </w:r>
            <w:r w:rsidRPr="0037250A">
              <w:rPr>
                <w:rFonts w:ascii="David" w:hAnsi="David"/>
                <w:sz w:val="26"/>
                <w:rtl/>
              </w:rPr>
              <w:t>1996‏, או במאגר ייעודי מאובטח, שאינו מחובר לרשת האינטרנט;</w:t>
            </w:r>
          </w:p>
        </w:tc>
      </w:tr>
      <w:tr w:rsidR="00274CC1" w:rsidRPr="0037250A" w14:paraId="0A7D1005" w14:textId="77777777" w:rsidTr="00E22EE1">
        <w:trPr>
          <w:cantSplit/>
        </w:trPr>
        <w:tc>
          <w:tcPr>
            <w:tcW w:w="1869" w:type="dxa"/>
            <w:tcMar>
              <w:top w:w="91" w:type="dxa"/>
              <w:left w:w="0" w:type="dxa"/>
              <w:bottom w:w="91" w:type="dxa"/>
              <w:right w:w="0" w:type="dxa"/>
            </w:tcMar>
          </w:tcPr>
          <w:p w14:paraId="2FE2156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0F5D096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F3DC81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03141B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CB2E7F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679CA71"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395845DD" w14:textId="77777777" w:rsidR="00274CC1" w:rsidRPr="0037250A" w:rsidRDefault="00274CC1" w:rsidP="00E22EE1">
            <w:pPr>
              <w:pStyle w:val="TableBlock"/>
              <w:rPr>
                <w:rFonts w:ascii="David" w:hAnsi="David"/>
                <w:sz w:val="26"/>
                <w:rtl/>
              </w:rPr>
            </w:pPr>
            <w:r w:rsidRPr="0037250A">
              <w:rPr>
                <w:rFonts w:ascii="David" w:hAnsi="David"/>
                <w:sz w:val="26"/>
                <w:rtl/>
              </w:rPr>
              <w:t>(4)</w:t>
            </w:r>
            <w:r w:rsidRPr="0037250A">
              <w:rPr>
                <w:rFonts w:ascii="David" w:hAnsi="David"/>
                <w:sz w:val="26"/>
                <w:rtl/>
              </w:rPr>
              <w:tab/>
              <w:t>אדם שהגיע אליו מידע לפי סעיף זה ישמור אותו בסוד, לא יגלה אותו לאחר ולא יעשה בו כל שימוש, אלא לצורך אימות או בירור זהותו של אדם, לרבות גופה, שזהותו אינה ידועה או מוטלת בספק, ולצורך איתור נעדר או שבוי והכול אם הם נדרשים בשל פעולות האיבה או פעולות המלחמה</w:t>
            </w:r>
            <w:r>
              <w:rPr>
                <w:rFonts w:ascii="David" w:hAnsi="David" w:hint="cs"/>
                <w:sz w:val="26"/>
                <w:rtl/>
              </w:rPr>
              <w:t xml:space="preserve"> או בשל אירוע אזרחי רב־נפגעים</w:t>
            </w:r>
            <w:r w:rsidRPr="0037250A">
              <w:rPr>
                <w:rFonts w:ascii="David" w:hAnsi="David"/>
                <w:sz w:val="26"/>
                <w:rtl/>
              </w:rPr>
              <w:t>.";</w:t>
            </w:r>
          </w:p>
        </w:tc>
      </w:tr>
      <w:tr w:rsidR="00274CC1" w:rsidRPr="0037250A" w14:paraId="14E4E7B8" w14:textId="77777777" w:rsidTr="00E22EE1">
        <w:trPr>
          <w:cantSplit/>
        </w:trPr>
        <w:tc>
          <w:tcPr>
            <w:tcW w:w="1869" w:type="dxa"/>
            <w:tcMar>
              <w:top w:w="91" w:type="dxa"/>
              <w:left w:w="0" w:type="dxa"/>
              <w:bottom w:w="91" w:type="dxa"/>
              <w:right w:w="0" w:type="dxa"/>
            </w:tcMar>
          </w:tcPr>
          <w:p w14:paraId="7ADC5665"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1EB64F0"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6E8C3BF4" w14:textId="77777777" w:rsidR="00274CC1" w:rsidRPr="0037250A" w:rsidRDefault="00274CC1" w:rsidP="00E22EE1">
            <w:pPr>
              <w:pStyle w:val="TableBlock"/>
              <w:rPr>
                <w:rFonts w:ascii="David" w:hAnsi="David"/>
                <w:sz w:val="26"/>
                <w:rtl/>
              </w:rPr>
            </w:pPr>
            <w:r w:rsidRPr="0037250A">
              <w:rPr>
                <w:rFonts w:ascii="David" w:hAnsi="David"/>
                <w:sz w:val="26"/>
                <w:rtl/>
              </w:rPr>
              <w:t>(4)</w:t>
            </w:r>
            <w:r w:rsidRPr="0037250A">
              <w:rPr>
                <w:rFonts w:ascii="David" w:hAnsi="David"/>
                <w:sz w:val="26"/>
                <w:rtl/>
              </w:rPr>
              <w:tab/>
              <w:t>בכותרת סימן ד' לפרק ה', בסופה יבוא "ולצבא</w:t>
            </w:r>
            <w:r>
              <w:rPr>
                <w:rFonts w:ascii="David" w:hAnsi="David" w:hint="cs"/>
                <w:sz w:val="26"/>
                <w:rtl/>
              </w:rPr>
              <w:t xml:space="preserve"> </w:t>
            </w:r>
            <w:r w:rsidRPr="0037250A">
              <w:rPr>
                <w:rFonts w:ascii="David" w:hAnsi="David"/>
                <w:sz w:val="26"/>
                <w:rtl/>
              </w:rPr>
              <w:t>הגנה לישראל";</w:t>
            </w:r>
          </w:p>
        </w:tc>
      </w:tr>
      <w:tr w:rsidR="00274CC1" w:rsidRPr="0037250A" w14:paraId="2636816E" w14:textId="77777777" w:rsidTr="00E22EE1">
        <w:trPr>
          <w:cantSplit/>
        </w:trPr>
        <w:tc>
          <w:tcPr>
            <w:tcW w:w="1869" w:type="dxa"/>
            <w:tcMar>
              <w:top w:w="91" w:type="dxa"/>
              <w:left w:w="0" w:type="dxa"/>
              <w:bottom w:w="91" w:type="dxa"/>
              <w:right w:w="0" w:type="dxa"/>
            </w:tcMar>
          </w:tcPr>
          <w:p w14:paraId="2C9A3CDC"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41D948C"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6DD8836B" w14:textId="77777777" w:rsidR="00274CC1" w:rsidRPr="0037250A" w:rsidRDefault="00274CC1" w:rsidP="00E22EE1">
            <w:pPr>
              <w:pStyle w:val="TableBlock"/>
              <w:rPr>
                <w:rFonts w:ascii="David" w:hAnsi="David"/>
                <w:sz w:val="26"/>
                <w:rtl/>
              </w:rPr>
            </w:pPr>
            <w:r w:rsidRPr="0037250A">
              <w:rPr>
                <w:rFonts w:ascii="David" w:hAnsi="David"/>
                <w:sz w:val="26"/>
                <w:rtl/>
              </w:rPr>
              <w:t>(5)</w:t>
            </w:r>
            <w:r w:rsidRPr="0037250A">
              <w:rPr>
                <w:rFonts w:ascii="David" w:hAnsi="David"/>
                <w:sz w:val="26"/>
                <w:rtl/>
              </w:rPr>
              <w:tab/>
              <w:t>אחרי סעיף 22 יבוא:</w:t>
            </w:r>
          </w:p>
        </w:tc>
      </w:tr>
      <w:tr w:rsidR="00274CC1" w:rsidRPr="0037250A" w14:paraId="03BCA0BF" w14:textId="77777777" w:rsidTr="00E22EE1">
        <w:trPr>
          <w:cantSplit/>
        </w:trPr>
        <w:tc>
          <w:tcPr>
            <w:tcW w:w="1869" w:type="dxa"/>
            <w:tcMar>
              <w:top w:w="91" w:type="dxa"/>
              <w:left w:w="0" w:type="dxa"/>
              <w:bottom w:w="91" w:type="dxa"/>
              <w:right w:w="0" w:type="dxa"/>
            </w:tcMar>
          </w:tcPr>
          <w:p w14:paraId="14101F9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999D540" w14:textId="77777777" w:rsidR="00274CC1" w:rsidRPr="0037250A" w:rsidRDefault="00274CC1" w:rsidP="001E0F7C">
            <w:pPr>
              <w:pStyle w:val="TableText"/>
              <w:jc w:val="both"/>
              <w:rPr>
                <w:rFonts w:ascii="David" w:hAnsi="David"/>
                <w:sz w:val="26"/>
                <w:rtl/>
              </w:rPr>
            </w:pPr>
          </w:p>
        </w:tc>
        <w:tc>
          <w:tcPr>
            <w:tcW w:w="1872" w:type="dxa"/>
            <w:gridSpan w:val="3"/>
            <w:tcMar>
              <w:top w:w="91" w:type="dxa"/>
              <w:left w:w="0" w:type="dxa"/>
              <w:bottom w:w="91" w:type="dxa"/>
              <w:right w:w="0" w:type="dxa"/>
            </w:tcMar>
          </w:tcPr>
          <w:p w14:paraId="2D96E4D3" w14:textId="77777777" w:rsidR="00274CC1" w:rsidRPr="0037250A" w:rsidRDefault="00274CC1" w:rsidP="001E0F7C">
            <w:pPr>
              <w:pStyle w:val="TableInnerSideHeading"/>
              <w:rPr>
                <w:rFonts w:ascii="David" w:hAnsi="David"/>
                <w:sz w:val="26"/>
                <w:rtl/>
              </w:rPr>
            </w:pPr>
            <w:r w:rsidRPr="0037250A">
              <w:rPr>
                <w:rFonts w:ascii="David" w:hAnsi="David"/>
                <w:spacing w:val="-3"/>
                <w:sz w:val="26"/>
                <w:rtl/>
              </w:rPr>
              <w:t xml:space="preserve">"העברת מידע מהמאגר או מרשות האוכלוסין וההגירה </w:t>
            </w:r>
            <w:r>
              <w:rPr>
                <w:rFonts w:ascii="David" w:hAnsi="David" w:hint="cs"/>
                <w:spacing w:val="-3"/>
                <w:sz w:val="26"/>
                <w:rtl/>
              </w:rPr>
              <w:t>לצבא הגנה לישראל</w:t>
            </w:r>
            <w:r w:rsidRPr="0037250A">
              <w:rPr>
                <w:rFonts w:ascii="David" w:hAnsi="David"/>
                <w:spacing w:val="-3"/>
                <w:sz w:val="26"/>
                <w:rtl/>
              </w:rPr>
              <w:t xml:space="preserve"> לישראל ולרשויות הביטחון </w:t>
            </w:r>
            <w:r>
              <w:rPr>
                <w:rFonts w:ascii="David" w:hAnsi="David"/>
                <w:spacing w:val="-3"/>
                <w:sz w:val="26"/>
                <w:rtl/>
              </w:rPr>
              <w:t>–</w:t>
            </w:r>
            <w:r w:rsidRPr="0037250A">
              <w:rPr>
                <w:rFonts w:ascii="David" w:hAnsi="David"/>
                <w:spacing w:val="-3"/>
                <w:sz w:val="26"/>
                <w:rtl/>
              </w:rPr>
              <w:t xml:space="preserve"> הוראת שעה </w:t>
            </w:r>
            <w:r>
              <w:rPr>
                <w:rFonts w:ascii="David" w:hAnsi="David"/>
                <w:spacing w:val="-3"/>
                <w:sz w:val="26"/>
                <w:rtl/>
              </w:rPr>
              <w:t>–</w:t>
            </w:r>
            <w:r w:rsidRPr="0037250A">
              <w:rPr>
                <w:rFonts w:ascii="David" w:hAnsi="David"/>
                <w:spacing w:val="-3"/>
                <w:sz w:val="26"/>
                <w:rtl/>
              </w:rPr>
              <w:t xml:space="preserve"> חרבות ברזל</w:t>
            </w:r>
          </w:p>
        </w:tc>
        <w:tc>
          <w:tcPr>
            <w:tcW w:w="624" w:type="dxa"/>
            <w:tcMar>
              <w:top w:w="91" w:type="dxa"/>
              <w:left w:w="0" w:type="dxa"/>
              <w:bottom w:w="91" w:type="dxa"/>
              <w:right w:w="0" w:type="dxa"/>
            </w:tcMar>
          </w:tcPr>
          <w:p w14:paraId="10D52DB3" w14:textId="77777777" w:rsidR="00274CC1" w:rsidRPr="0037250A" w:rsidRDefault="00274CC1" w:rsidP="001E0F7C">
            <w:pPr>
              <w:pStyle w:val="TableText"/>
              <w:rPr>
                <w:rFonts w:ascii="David" w:hAnsi="David"/>
                <w:sz w:val="26"/>
                <w:rtl/>
              </w:rPr>
            </w:pPr>
            <w:r w:rsidRPr="0037250A">
              <w:rPr>
                <w:rFonts w:ascii="David" w:hAnsi="David"/>
                <w:sz w:val="26"/>
                <w:rtl/>
              </w:rPr>
              <w:t>22א.</w:t>
            </w:r>
          </w:p>
        </w:tc>
        <w:tc>
          <w:tcPr>
            <w:tcW w:w="4647" w:type="dxa"/>
            <w:gridSpan w:val="2"/>
            <w:tcMar>
              <w:top w:w="91" w:type="dxa"/>
              <w:left w:w="0" w:type="dxa"/>
              <w:bottom w:w="91" w:type="dxa"/>
              <w:right w:w="0" w:type="dxa"/>
            </w:tcMar>
          </w:tcPr>
          <w:p w14:paraId="5D46E499" w14:textId="77777777" w:rsidR="00274CC1" w:rsidRPr="0037250A" w:rsidRDefault="00274CC1" w:rsidP="00E22EE1">
            <w:pPr>
              <w:pStyle w:val="TableBlock"/>
              <w:rPr>
                <w:rFonts w:ascii="David" w:hAnsi="David"/>
                <w:sz w:val="26"/>
                <w:rtl/>
              </w:rPr>
            </w:pPr>
            <w:r w:rsidRPr="0037250A">
              <w:rPr>
                <w:rFonts w:ascii="David" w:hAnsi="David"/>
                <w:sz w:val="26"/>
                <w:rtl/>
              </w:rPr>
              <w:t xml:space="preserve">על אף האמור בחוק זה </w:t>
            </w:r>
            <w:r>
              <w:rPr>
                <w:rFonts w:ascii="David" w:hAnsi="David"/>
                <w:sz w:val="26"/>
                <w:rtl/>
              </w:rPr>
              <w:t>–</w:t>
            </w:r>
          </w:p>
        </w:tc>
      </w:tr>
      <w:tr w:rsidR="00274CC1" w14:paraId="491B5EFE" w14:textId="77777777" w:rsidTr="00E22EE1">
        <w:tblPrEx>
          <w:tblLook w:val="01E0" w:firstRow="1" w:lastRow="1" w:firstColumn="1" w:lastColumn="1" w:noHBand="0" w:noVBand="0"/>
        </w:tblPrEx>
        <w:trPr>
          <w:cantSplit/>
        </w:trPr>
        <w:tc>
          <w:tcPr>
            <w:tcW w:w="1869" w:type="dxa"/>
          </w:tcPr>
          <w:p w14:paraId="766F66B9" w14:textId="77777777" w:rsidR="00274CC1" w:rsidRDefault="00274CC1" w:rsidP="001E0F7C">
            <w:pPr>
              <w:pStyle w:val="TableSideHeading"/>
            </w:pPr>
          </w:p>
        </w:tc>
        <w:tc>
          <w:tcPr>
            <w:tcW w:w="624" w:type="dxa"/>
          </w:tcPr>
          <w:p w14:paraId="2AC4AEE9" w14:textId="77777777" w:rsidR="00274CC1" w:rsidRDefault="00274CC1" w:rsidP="001E0F7C">
            <w:pPr>
              <w:pStyle w:val="TableText"/>
            </w:pPr>
          </w:p>
        </w:tc>
        <w:tc>
          <w:tcPr>
            <w:tcW w:w="624" w:type="dxa"/>
          </w:tcPr>
          <w:p w14:paraId="5676E31B" w14:textId="77777777" w:rsidR="00274CC1" w:rsidRDefault="00274CC1" w:rsidP="001E0F7C">
            <w:pPr>
              <w:pStyle w:val="TableText"/>
            </w:pPr>
          </w:p>
        </w:tc>
        <w:tc>
          <w:tcPr>
            <w:tcW w:w="624" w:type="dxa"/>
          </w:tcPr>
          <w:p w14:paraId="29F36112" w14:textId="77777777" w:rsidR="00274CC1" w:rsidRDefault="00274CC1" w:rsidP="001E0F7C">
            <w:pPr>
              <w:pStyle w:val="TableText"/>
            </w:pPr>
          </w:p>
        </w:tc>
        <w:tc>
          <w:tcPr>
            <w:tcW w:w="624" w:type="dxa"/>
          </w:tcPr>
          <w:p w14:paraId="78DFB658" w14:textId="77777777" w:rsidR="00274CC1" w:rsidRDefault="00274CC1" w:rsidP="001E0F7C">
            <w:pPr>
              <w:pStyle w:val="TableText"/>
            </w:pPr>
          </w:p>
        </w:tc>
        <w:tc>
          <w:tcPr>
            <w:tcW w:w="624" w:type="dxa"/>
          </w:tcPr>
          <w:p w14:paraId="396340C2" w14:textId="77777777" w:rsidR="00274CC1" w:rsidRDefault="00274CC1" w:rsidP="001E0F7C">
            <w:pPr>
              <w:pStyle w:val="TableText"/>
            </w:pPr>
          </w:p>
        </w:tc>
        <w:tc>
          <w:tcPr>
            <w:tcW w:w="4647" w:type="dxa"/>
            <w:gridSpan w:val="2"/>
          </w:tcPr>
          <w:p w14:paraId="2FB836CF"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 xml:space="preserve">לצורך אימות או בירור זהותו של אדם, לרבות גופה, שזהותו אינה ידועה או מוטלת בספק, ולצורך איתור נעדר או שבוי, והכול אם הם נדרשים בשל </w:t>
            </w:r>
            <w:r w:rsidRPr="00FC1807">
              <w:rPr>
                <w:rFonts w:ascii="David" w:hAnsi="David"/>
                <w:sz w:val="26"/>
                <w:rtl/>
              </w:rPr>
              <w:t>פעולות האיבה או פעולות המלחמה</w:t>
            </w:r>
            <w:r w:rsidRPr="00FC1807">
              <w:rPr>
                <w:rFonts w:ascii="David" w:hAnsi="David" w:hint="cs"/>
                <w:sz w:val="26"/>
                <w:rtl/>
              </w:rPr>
              <w:t xml:space="preserve"> או בשל אירוע אזרחי רב־נפגעים יחולו הוראות</w:t>
            </w:r>
            <w:r>
              <w:rPr>
                <w:rFonts w:ascii="David" w:hAnsi="David" w:hint="cs"/>
                <w:sz w:val="26"/>
                <w:rtl/>
              </w:rPr>
              <w:t xml:space="preserve"> אלה:</w:t>
            </w:r>
          </w:p>
        </w:tc>
      </w:tr>
      <w:tr w:rsidR="00274CC1" w:rsidRPr="0037250A" w14:paraId="686B07EB" w14:textId="77777777" w:rsidTr="00E22EE1">
        <w:trPr>
          <w:cantSplit/>
        </w:trPr>
        <w:tc>
          <w:tcPr>
            <w:tcW w:w="1869" w:type="dxa"/>
            <w:tcMar>
              <w:top w:w="91" w:type="dxa"/>
              <w:left w:w="0" w:type="dxa"/>
              <w:bottom w:w="91" w:type="dxa"/>
              <w:right w:w="0" w:type="dxa"/>
            </w:tcMar>
          </w:tcPr>
          <w:p w14:paraId="3A180E2A"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7E43D9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A1ADB7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3630EE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A3F41C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7CB6049"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039A70F"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1ECAE2C9" w14:textId="75267409" w:rsidR="00274CC1" w:rsidRPr="0037250A" w:rsidRDefault="00274CC1" w:rsidP="006E08DB">
            <w:pPr>
              <w:pStyle w:val="TableBlock"/>
              <w:rPr>
                <w:rFonts w:ascii="David" w:hAnsi="David"/>
                <w:sz w:val="26"/>
                <w:rtl/>
              </w:rPr>
            </w:pPr>
            <w:r w:rsidRPr="0037250A">
              <w:rPr>
                <w:rFonts w:ascii="David" w:hAnsi="David"/>
                <w:sz w:val="26"/>
                <w:rtl/>
              </w:rPr>
              <w:t>(א)</w:t>
            </w:r>
            <w:r w:rsidRPr="0037250A">
              <w:rPr>
                <w:rFonts w:ascii="David" w:hAnsi="David"/>
                <w:sz w:val="26"/>
                <w:rtl/>
              </w:rPr>
              <w:tab/>
              <w:t>הרשות תעביר לצבא</w:t>
            </w:r>
            <w:r>
              <w:rPr>
                <w:rFonts w:ascii="David" w:hAnsi="David" w:hint="cs"/>
                <w:sz w:val="26"/>
                <w:rtl/>
              </w:rPr>
              <w:t xml:space="preserve"> </w:t>
            </w:r>
            <w:r w:rsidRPr="0037250A">
              <w:rPr>
                <w:rFonts w:ascii="David" w:hAnsi="David"/>
                <w:sz w:val="26"/>
                <w:rtl/>
              </w:rPr>
              <w:t>הגנה לישראל</w:t>
            </w:r>
            <w:r>
              <w:rPr>
                <w:rFonts w:ascii="David" w:hAnsi="David" w:hint="cs"/>
                <w:sz w:val="26"/>
                <w:rtl/>
              </w:rPr>
              <w:t xml:space="preserve"> (להלן</w:t>
            </w:r>
            <w:r w:rsidR="006E08DB">
              <w:rPr>
                <w:rFonts w:ascii="David" w:hAnsi="David" w:hint="cs"/>
                <w:sz w:val="26"/>
                <w:rtl/>
              </w:rPr>
              <w:t xml:space="preserve"> </w:t>
            </w:r>
            <w:r w:rsidR="006E08DB">
              <w:rPr>
                <w:rFonts w:ascii="David" w:hAnsi="David" w:hint="eastAsia"/>
                <w:sz w:val="26"/>
                <w:rtl/>
              </w:rPr>
              <w:t>–</w:t>
            </w:r>
            <w:r w:rsidR="006E08DB">
              <w:rPr>
                <w:rFonts w:ascii="David" w:hAnsi="David" w:hint="cs"/>
                <w:sz w:val="26"/>
                <w:rtl/>
              </w:rPr>
              <w:t xml:space="preserve"> </w:t>
            </w:r>
            <w:r>
              <w:rPr>
                <w:rFonts w:ascii="David" w:hAnsi="David" w:hint="cs"/>
                <w:sz w:val="26"/>
                <w:rtl/>
              </w:rPr>
              <w:t>צה"ל)</w:t>
            </w:r>
            <w:r w:rsidRPr="0037250A">
              <w:rPr>
                <w:rFonts w:ascii="David" w:hAnsi="David"/>
                <w:sz w:val="26"/>
                <w:rtl/>
              </w:rPr>
              <w:t xml:space="preserve"> ולרשויות הביטחון, לפי בקשתם, תוצאת זיהוי וכן אמצעים או נתונים ביומטריים הכלולים במאגר הביומטרי, של אדם, לרבות גופה, נעדר או שבוי כאמור;</w:t>
            </w:r>
          </w:p>
        </w:tc>
      </w:tr>
      <w:tr w:rsidR="00274CC1" w:rsidRPr="0037250A" w14:paraId="272C98EA" w14:textId="77777777" w:rsidTr="00E22EE1">
        <w:trPr>
          <w:cantSplit/>
        </w:trPr>
        <w:tc>
          <w:tcPr>
            <w:tcW w:w="1869" w:type="dxa"/>
            <w:tcMar>
              <w:top w:w="91" w:type="dxa"/>
              <w:left w:w="0" w:type="dxa"/>
              <w:bottom w:w="91" w:type="dxa"/>
              <w:right w:w="0" w:type="dxa"/>
            </w:tcMar>
          </w:tcPr>
          <w:p w14:paraId="6D1BA679"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8CE639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0CEBC5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61D444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BD23C3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B5D64E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8F4123C"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266C635C" w14:textId="77777777" w:rsidR="00274CC1" w:rsidRPr="0037250A" w:rsidRDefault="00274CC1" w:rsidP="00E22EE1">
            <w:pPr>
              <w:pStyle w:val="TableBlock"/>
              <w:rPr>
                <w:rFonts w:ascii="David" w:hAnsi="David"/>
                <w:sz w:val="26"/>
                <w:rtl/>
              </w:rPr>
            </w:pPr>
            <w:r w:rsidRPr="0037250A">
              <w:rPr>
                <w:rFonts w:ascii="David" w:hAnsi="David"/>
                <w:sz w:val="26"/>
                <w:rtl/>
              </w:rPr>
              <w:t>(ב)</w:t>
            </w:r>
            <w:r w:rsidRPr="0037250A">
              <w:rPr>
                <w:rFonts w:ascii="David" w:hAnsi="David"/>
                <w:sz w:val="26"/>
                <w:rtl/>
              </w:rPr>
              <w:tab/>
              <w:t xml:space="preserve">רשות האוכלוסין וההגירה תעביר </w:t>
            </w:r>
            <w:r>
              <w:rPr>
                <w:rFonts w:ascii="David" w:hAnsi="David" w:hint="cs"/>
                <w:sz w:val="26"/>
                <w:rtl/>
              </w:rPr>
              <w:t>לצה"ל</w:t>
            </w:r>
            <w:r w:rsidRPr="0037250A">
              <w:rPr>
                <w:rFonts w:ascii="David" w:hAnsi="David"/>
                <w:sz w:val="26"/>
                <w:rtl/>
              </w:rPr>
              <w:t xml:space="preserve"> ולרשויות הביטחון, לפי בקשתם, תמונת תווי פנים השמורה בידיה של אדם, לרבות גופה, נעדר או שבוי כאמור;</w:t>
            </w:r>
          </w:p>
        </w:tc>
      </w:tr>
      <w:tr w:rsidR="00274CC1" w:rsidRPr="0037250A" w14:paraId="76DABE15" w14:textId="77777777" w:rsidTr="00E22EE1">
        <w:trPr>
          <w:cantSplit/>
        </w:trPr>
        <w:tc>
          <w:tcPr>
            <w:tcW w:w="1869" w:type="dxa"/>
            <w:tcMar>
              <w:top w:w="91" w:type="dxa"/>
              <w:left w:w="0" w:type="dxa"/>
              <w:bottom w:w="91" w:type="dxa"/>
              <w:right w:w="0" w:type="dxa"/>
            </w:tcMar>
          </w:tcPr>
          <w:p w14:paraId="74F31056"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BC6B07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06BF35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862EFA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68FAE9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12A61A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1F1FCDE" w14:textId="77777777" w:rsidR="00274CC1" w:rsidRPr="0037250A" w:rsidRDefault="00274CC1" w:rsidP="001E0F7C">
            <w:pPr>
              <w:pStyle w:val="TableText"/>
              <w:jc w:val="both"/>
              <w:rPr>
                <w:rFonts w:ascii="David" w:hAnsi="David"/>
                <w:sz w:val="26"/>
                <w:rtl/>
              </w:rPr>
            </w:pPr>
            <w:r>
              <w:rPr>
                <w:rFonts w:ascii="David" w:hAnsi="David" w:hint="cs"/>
                <w:sz w:val="26"/>
                <w:rtl/>
              </w:rPr>
              <w:t>(2)</w:t>
            </w:r>
          </w:p>
        </w:tc>
        <w:tc>
          <w:tcPr>
            <w:tcW w:w="4023" w:type="dxa"/>
            <w:tcMar>
              <w:top w:w="91" w:type="dxa"/>
              <w:left w:w="0" w:type="dxa"/>
              <w:bottom w:w="91" w:type="dxa"/>
              <w:right w:w="0" w:type="dxa"/>
            </w:tcMar>
          </w:tcPr>
          <w:p w14:paraId="6B7EB460" w14:textId="5F3E81BE"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א</w:t>
            </w:r>
            <w:r w:rsidRPr="0037250A">
              <w:rPr>
                <w:rFonts w:ascii="David" w:hAnsi="David"/>
                <w:sz w:val="26"/>
                <w:rtl/>
              </w:rPr>
              <w:t>)</w:t>
            </w:r>
            <w:r w:rsidRPr="0037250A">
              <w:rPr>
                <w:rFonts w:ascii="David" w:hAnsi="David"/>
                <w:sz w:val="26"/>
                <w:rtl/>
              </w:rPr>
              <w:tab/>
              <w:t xml:space="preserve">בקשה לפי פסקה (1)(א) או (ב) תוגש בכתב, בידי קצין </w:t>
            </w:r>
            <w:r>
              <w:rPr>
                <w:rFonts w:ascii="David" w:hAnsi="David" w:hint="cs"/>
                <w:sz w:val="26"/>
                <w:rtl/>
              </w:rPr>
              <w:t>צה"ל</w:t>
            </w:r>
            <w:r w:rsidRPr="0037250A">
              <w:rPr>
                <w:rFonts w:ascii="David" w:hAnsi="David"/>
                <w:sz w:val="26"/>
                <w:rtl/>
              </w:rPr>
              <w:t xml:space="preserve"> או עובד רשות הביטחון, לפי העניין, שייקבע כגורם אחראי לעניין משימת האימות או בירור הזהות או האיתור כאמור, ויצוינו בה פרטי זהותו, דרגתו ותפקידו של המבקש</w:t>
            </w:r>
            <w:r w:rsidR="00A80656">
              <w:rPr>
                <w:rFonts w:ascii="David" w:hAnsi="David" w:hint="cs"/>
                <w:sz w:val="26"/>
                <w:rtl/>
              </w:rPr>
              <w:t>;</w:t>
            </w:r>
          </w:p>
        </w:tc>
      </w:tr>
      <w:tr w:rsidR="00274CC1" w:rsidRPr="0037250A" w14:paraId="0906FA7C" w14:textId="77777777" w:rsidTr="00E22EE1">
        <w:trPr>
          <w:cantSplit/>
        </w:trPr>
        <w:tc>
          <w:tcPr>
            <w:tcW w:w="1869" w:type="dxa"/>
            <w:tcMar>
              <w:top w:w="91" w:type="dxa"/>
              <w:left w:w="0" w:type="dxa"/>
              <w:bottom w:w="91" w:type="dxa"/>
              <w:right w:w="0" w:type="dxa"/>
            </w:tcMar>
          </w:tcPr>
          <w:p w14:paraId="40BB2B88"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781DCA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BFA706B"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1B7A7D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DAEBD6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3A4A0D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DBA0C39"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4573DD8B"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ב</w:t>
            </w:r>
            <w:r w:rsidRPr="0037250A">
              <w:rPr>
                <w:rFonts w:ascii="David" w:hAnsi="David"/>
                <w:sz w:val="26"/>
                <w:rtl/>
              </w:rPr>
              <w:t>)</w:t>
            </w:r>
            <w:r w:rsidRPr="0037250A">
              <w:rPr>
                <w:rFonts w:ascii="David" w:hAnsi="David"/>
                <w:sz w:val="26"/>
                <w:rtl/>
              </w:rPr>
              <w:tab/>
            </w:r>
            <w:r>
              <w:rPr>
                <w:rFonts w:ascii="David" w:hAnsi="David" w:hint="cs"/>
                <w:sz w:val="26"/>
                <w:rtl/>
              </w:rPr>
              <w:t xml:space="preserve">נוסף על האמור בפסקת משנה (א), </w:t>
            </w:r>
            <w:r w:rsidRPr="0037250A">
              <w:rPr>
                <w:rFonts w:ascii="David" w:hAnsi="David"/>
                <w:sz w:val="26"/>
                <w:rtl/>
              </w:rPr>
              <w:t>בבקשה לפי פסקה (1)(א) יצוינו תוצאת הזיהוי, האמצעים או הנתונים הביומטריים המבוקשים וכן המספר הייחודי כמשמעותו בתקנות לפי חוק זה אם הוא ידוע, של האדם שלגביו מבוקשים תוצאת הזיהוי או הנתונים הביומטריים כאמור;</w:t>
            </w:r>
          </w:p>
        </w:tc>
      </w:tr>
      <w:tr w:rsidR="00274CC1" w:rsidRPr="0037250A" w14:paraId="5DB955A9" w14:textId="77777777" w:rsidTr="00E22EE1">
        <w:trPr>
          <w:cantSplit/>
        </w:trPr>
        <w:tc>
          <w:tcPr>
            <w:tcW w:w="1869" w:type="dxa"/>
            <w:tcMar>
              <w:top w:w="91" w:type="dxa"/>
              <w:left w:w="0" w:type="dxa"/>
              <w:bottom w:w="91" w:type="dxa"/>
              <w:right w:w="0" w:type="dxa"/>
            </w:tcMar>
          </w:tcPr>
          <w:p w14:paraId="6BC42A7B"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F9E9CC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2F268D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8AE0B4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7F37B9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2D8E65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609379B"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2AA6D801"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ג</w:t>
            </w:r>
            <w:r w:rsidRPr="0037250A">
              <w:rPr>
                <w:rFonts w:ascii="David" w:hAnsi="David"/>
                <w:sz w:val="26"/>
                <w:rtl/>
              </w:rPr>
              <w:t>)</w:t>
            </w:r>
            <w:r w:rsidRPr="0037250A">
              <w:rPr>
                <w:rFonts w:ascii="David" w:hAnsi="David"/>
                <w:sz w:val="26"/>
                <w:rtl/>
              </w:rPr>
              <w:tab/>
            </w:r>
            <w:r>
              <w:rPr>
                <w:rFonts w:ascii="David" w:hAnsi="David" w:hint="cs"/>
                <w:sz w:val="26"/>
                <w:rtl/>
              </w:rPr>
              <w:t xml:space="preserve">נוסף על האמור בפסקת משנה (א), </w:t>
            </w:r>
            <w:r w:rsidRPr="0037250A">
              <w:rPr>
                <w:rFonts w:ascii="David" w:hAnsi="David"/>
                <w:sz w:val="26"/>
                <w:rtl/>
              </w:rPr>
              <w:t>בבקשה לפי פסקה (1)(ב) יצוין מספר הזהות כמשמעותו בסעיף 2(ב) לחוק המרשם, אם הוא ידוע, של האדם שלגביו מבוקשת תמונת תווי הפנים;</w:t>
            </w:r>
          </w:p>
        </w:tc>
      </w:tr>
      <w:tr w:rsidR="00274CC1" w:rsidRPr="0037250A" w14:paraId="1A8643B3" w14:textId="77777777" w:rsidTr="00E22EE1">
        <w:trPr>
          <w:cantSplit/>
        </w:trPr>
        <w:tc>
          <w:tcPr>
            <w:tcW w:w="1869" w:type="dxa"/>
            <w:tcMar>
              <w:top w:w="91" w:type="dxa"/>
              <w:left w:w="0" w:type="dxa"/>
              <w:bottom w:w="91" w:type="dxa"/>
              <w:right w:w="0" w:type="dxa"/>
            </w:tcMar>
          </w:tcPr>
          <w:p w14:paraId="2A18102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831A21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324C72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4F8881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D8AD12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1866803"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0C510054" w14:textId="77777777" w:rsidR="00274CC1" w:rsidRPr="0037250A" w:rsidRDefault="00274CC1" w:rsidP="00E22EE1">
            <w:pPr>
              <w:pStyle w:val="TableBlock"/>
              <w:rPr>
                <w:rFonts w:ascii="David" w:hAnsi="David"/>
                <w:sz w:val="26"/>
                <w:rtl/>
              </w:rPr>
            </w:pPr>
            <w:r w:rsidRPr="0037250A">
              <w:rPr>
                <w:rFonts w:ascii="David" w:hAnsi="David"/>
                <w:sz w:val="26"/>
                <w:rtl/>
              </w:rPr>
              <w:t>(3)</w:t>
            </w:r>
            <w:r w:rsidRPr="0037250A">
              <w:rPr>
                <w:rFonts w:ascii="David" w:hAnsi="David"/>
                <w:sz w:val="26"/>
                <w:rtl/>
              </w:rPr>
              <w:tab/>
              <w:t xml:space="preserve">אדם שהגיע אליו מידע לפי סעיף זה ישמור אותו בסוד, לא יגלה אותו לאחר ולא יעשה בו כל שימוש, אלא לצורך אימות או בירור זהותו של אדם, לרבות גופה, שזהותו אינה ידועה או מוטלת </w:t>
            </w:r>
            <w:r w:rsidRPr="00FC1807">
              <w:rPr>
                <w:rFonts w:ascii="David" w:hAnsi="David"/>
                <w:sz w:val="26"/>
                <w:rtl/>
              </w:rPr>
              <w:t>בספק, ולצורך איתור נעדר או שבוי, והכול אם הם נדרשים בשל פעולות האיבה או פעולות המלחמה</w:t>
            </w:r>
            <w:r w:rsidRPr="00FC1807">
              <w:rPr>
                <w:rFonts w:ascii="David" w:hAnsi="David" w:hint="cs"/>
                <w:sz w:val="26"/>
                <w:rtl/>
              </w:rPr>
              <w:t xml:space="preserve"> או בשל אירוע אזרחי רב־נפגעים</w:t>
            </w:r>
            <w:r w:rsidRPr="00FC1807">
              <w:rPr>
                <w:rFonts w:ascii="David" w:hAnsi="David"/>
                <w:sz w:val="26"/>
                <w:rtl/>
              </w:rPr>
              <w:t>.";</w:t>
            </w:r>
          </w:p>
        </w:tc>
      </w:tr>
      <w:tr w:rsidR="00274CC1" w:rsidRPr="0037250A" w14:paraId="31B53E12" w14:textId="77777777" w:rsidTr="00E22EE1">
        <w:trPr>
          <w:cantSplit/>
        </w:trPr>
        <w:tc>
          <w:tcPr>
            <w:tcW w:w="1869" w:type="dxa"/>
            <w:tcMar>
              <w:top w:w="91" w:type="dxa"/>
              <w:left w:w="0" w:type="dxa"/>
              <w:bottom w:w="91" w:type="dxa"/>
              <w:right w:w="0" w:type="dxa"/>
            </w:tcMar>
          </w:tcPr>
          <w:p w14:paraId="2BDFF1C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94C6C7D"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13EACC88" w14:textId="77777777" w:rsidR="00274CC1" w:rsidRPr="0037250A" w:rsidRDefault="00274CC1" w:rsidP="00E22EE1">
            <w:pPr>
              <w:pStyle w:val="TableBlock"/>
              <w:rPr>
                <w:rFonts w:ascii="David" w:hAnsi="David"/>
                <w:sz w:val="26"/>
                <w:rtl/>
              </w:rPr>
            </w:pPr>
            <w:r w:rsidRPr="0037250A">
              <w:rPr>
                <w:rFonts w:ascii="David" w:hAnsi="David"/>
                <w:sz w:val="26"/>
                <w:rtl/>
              </w:rPr>
              <w:t>(6)</w:t>
            </w:r>
            <w:r w:rsidRPr="0037250A">
              <w:rPr>
                <w:rFonts w:ascii="David" w:hAnsi="David"/>
                <w:sz w:val="26"/>
                <w:rtl/>
              </w:rPr>
              <w:tab/>
              <w:t>בסעיף 27, בסופו יבוא:</w:t>
            </w:r>
          </w:p>
        </w:tc>
      </w:tr>
      <w:tr w:rsidR="00274CC1" w:rsidRPr="0037250A" w14:paraId="53EA2DC4" w14:textId="77777777" w:rsidTr="00E22EE1">
        <w:trPr>
          <w:cantSplit/>
        </w:trPr>
        <w:tc>
          <w:tcPr>
            <w:tcW w:w="1869" w:type="dxa"/>
            <w:tcMar>
              <w:top w:w="91" w:type="dxa"/>
              <w:left w:w="0" w:type="dxa"/>
              <w:bottom w:w="91" w:type="dxa"/>
              <w:right w:w="0" w:type="dxa"/>
            </w:tcMar>
          </w:tcPr>
          <w:p w14:paraId="111B0904"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535951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3A4E3B5"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67C03626" w14:textId="77777777" w:rsidR="00274CC1" w:rsidRPr="0037250A" w:rsidRDefault="00274CC1" w:rsidP="00E22EE1">
            <w:pPr>
              <w:pStyle w:val="TableBlock"/>
              <w:rPr>
                <w:rFonts w:ascii="David" w:hAnsi="David"/>
                <w:sz w:val="26"/>
                <w:rtl/>
              </w:rPr>
            </w:pPr>
            <w:r w:rsidRPr="0037250A">
              <w:rPr>
                <w:rFonts w:ascii="David" w:hAnsi="David"/>
                <w:sz w:val="26"/>
                <w:rtl/>
              </w:rPr>
              <w:t>"(ה)</w:t>
            </w:r>
            <w:r>
              <w:rPr>
                <w:rFonts w:ascii="David" w:hAnsi="David"/>
                <w:sz w:val="26"/>
                <w:rtl/>
              </w:rPr>
              <w:tab/>
            </w:r>
            <w:r w:rsidRPr="0037250A">
              <w:rPr>
                <w:rFonts w:ascii="David" w:hAnsi="David"/>
                <w:sz w:val="26"/>
                <w:rtl/>
              </w:rPr>
              <w:t>על אף האמור בסעיף זה, תמונות תווי פנים אשר נשמרו על ידי רשות האוכלוסין וההגירה, ישמשו אותה לצורך ביצוע תפקידיה בזיהוי או באימות זהותו של אדם, בין בדרך של הצגה חזותית ובין באופן ממוחשב או ממוחשב בחלקו.";</w:t>
            </w:r>
          </w:p>
        </w:tc>
      </w:tr>
      <w:tr w:rsidR="00274CC1" w:rsidRPr="0037250A" w14:paraId="44EFF6B3" w14:textId="77777777" w:rsidTr="00E22EE1">
        <w:trPr>
          <w:cantSplit/>
        </w:trPr>
        <w:tc>
          <w:tcPr>
            <w:tcW w:w="1869" w:type="dxa"/>
            <w:tcMar>
              <w:top w:w="91" w:type="dxa"/>
              <w:left w:w="0" w:type="dxa"/>
              <w:bottom w:w="91" w:type="dxa"/>
              <w:right w:w="0" w:type="dxa"/>
            </w:tcMar>
          </w:tcPr>
          <w:p w14:paraId="59EA8980"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5A9D06A"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2EAD2EFA" w14:textId="77777777" w:rsidR="00274CC1" w:rsidRPr="0037250A" w:rsidRDefault="00274CC1" w:rsidP="00E22EE1">
            <w:pPr>
              <w:pStyle w:val="TableBlock"/>
              <w:rPr>
                <w:rFonts w:ascii="David" w:hAnsi="David"/>
                <w:sz w:val="26"/>
                <w:rtl/>
              </w:rPr>
            </w:pPr>
            <w:r w:rsidRPr="0037250A">
              <w:rPr>
                <w:rFonts w:ascii="David" w:hAnsi="David"/>
                <w:sz w:val="26"/>
                <w:rtl/>
              </w:rPr>
              <w:t>(7)</w:t>
            </w:r>
            <w:r w:rsidRPr="0037250A">
              <w:rPr>
                <w:rFonts w:ascii="David" w:hAnsi="David"/>
                <w:sz w:val="26"/>
                <w:rtl/>
              </w:rPr>
              <w:tab/>
              <w:t>אחרי סעיף 35 יבוא:</w:t>
            </w:r>
          </w:p>
        </w:tc>
      </w:tr>
      <w:tr w:rsidR="00274CC1" w14:paraId="26361DED" w14:textId="77777777" w:rsidTr="00E22EE1">
        <w:tblPrEx>
          <w:tblLook w:val="01E0" w:firstRow="1" w:lastRow="1" w:firstColumn="1" w:lastColumn="1" w:noHBand="0" w:noVBand="0"/>
        </w:tblPrEx>
        <w:trPr>
          <w:cantSplit/>
        </w:trPr>
        <w:tc>
          <w:tcPr>
            <w:tcW w:w="1869" w:type="dxa"/>
          </w:tcPr>
          <w:p w14:paraId="44D80E9D" w14:textId="77777777" w:rsidR="00274CC1" w:rsidRDefault="00274CC1" w:rsidP="001E0F7C">
            <w:pPr>
              <w:pStyle w:val="TableSideHeading"/>
              <w:keepLines w:val="0"/>
            </w:pPr>
          </w:p>
        </w:tc>
        <w:tc>
          <w:tcPr>
            <w:tcW w:w="624" w:type="dxa"/>
          </w:tcPr>
          <w:p w14:paraId="2FB571DB" w14:textId="77777777" w:rsidR="00274CC1" w:rsidRDefault="00274CC1" w:rsidP="001E0F7C">
            <w:pPr>
              <w:pStyle w:val="TableText"/>
              <w:keepLines w:val="0"/>
            </w:pPr>
          </w:p>
        </w:tc>
        <w:tc>
          <w:tcPr>
            <w:tcW w:w="1872" w:type="dxa"/>
            <w:gridSpan w:val="3"/>
          </w:tcPr>
          <w:p w14:paraId="5EDDA9B6" w14:textId="77777777" w:rsidR="00274CC1" w:rsidRPr="0037250A" w:rsidRDefault="00274CC1" w:rsidP="001E0F7C">
            <w:pPr>
              <w:pStyle w:val="TableInnerSideHeading"/>
              <w:rPr>
                <w:rtl/>
              </w:rPr>
            </w:pPr>
            <w:r w:rsidRPr="0037250A">
              <w:rPr>
                <w:rtl/>
              </w:rPr>
              <w:t xml:space="preserve">"תיעוד פעולות, שמירת מידע, חובות דיווח ונהלים </w:t>
            </w:r>
            <w:r>
              <w:rPr>
                <w:rtl/>
              </w:rPr>
              <w:t>–</w:t>
            </w:r>
            <w:r w:rsidRPr="0037250A">
              <w:rPr>
                <w:rtl/>
              </w:rPr>
              <w:t xml:space="preserve"> הוראת שעה </w:t>
            </w:r>
            <w:r>
              <w:rPr>
                <w:rtl/>
              </w:rPr>
              <w:t>–</w:t>
            </w:r>
            <w:r w:rsidRPr="0037250A">
              <w:rPr>
                <w:rtl/>
              </w:rPr>
              <w:t xml:space="preserve"> חרבות ברזל</w:t>
            </w:r>
          </w:p>
        </w:tc>
        <w:tc>
          <w:tcPr>
            <w:tcW w:w="624" w:type="dxa"/>
          </w:tcPr>
          <w:p w14:paraId="78C48C12" w14:textId="77777777" w:rsidR="00274CC1" w:rsidRPr="0037250A" w:rsidRDefault="00274CC1" w:rsidP="001E0F7C">
            <w:pPr>
              <w:pStyle w:val="TableText"/>
              <w:rPr>
                <w:rFonts w:ascii="David" w:hAnsi="David"/>
                <w:sz w:val="26"/>
                <w:rtl/>
              </w:rPr>
            </w:pPr>
            <w:r w:rsidRPr="0037250A">
              <w:rPr>
                <w:rFonts w:ascii="David" w:hAnsi="David"/>
                <w:sz w:val="26"/>
                <w:rtl/>
              </w:rPr>
              <w:t>35א.</w:t>
            </w:r>
          </w:p>
        </w:tc>
        <w:tc>
          <w:tcPr>
            <w:tcW w:w="4647" w:type="dxa"/>
            <w:gridSpan w:val="2"/>
          </w:tcPr>
          <w:p w14:paraId="273E9064" w14:textId="7C043541" w:rsidR="00274CC1" w:rsidRPr="0037250A" w:rsidRDefault="00274CC1" w:rsidP="00E22EE1">
            <w:pPr>
              <w:pStyle w:val="TableBlock"/>
              <w:rPr>
                <w:rtl/>
              </w:rPr>
            </w:pPr>
            <w:r w:rsidRPr="0037250A">
              <w:rPr>
                <w:rtl/>
              </w:rPr>
              <w:t>(א)</w:t>
            </w:r>
            <w:r w:rsidRPr="0037250A">
              <w:rPr>
                <w:rtl/>
              </w:rPr>
              <w:tab/>
              <w:t xml:space="preserve">הרשות, משטרת ישראל, </w:t>
            </w:r>
            <w:r>
              <w:rPr>
                <w:rFonts w:hint="cs"/>
                <w:rtl/>
              </w:rPr>
              <w:t>צה"ל</w:t>
            </w:r>
            <w:r w:rsidRPr="0037250A">
              <w:rPr>
                <w:rtl/>
              </w:rPr>
              <w:t>, רשויות הביטחון ורשות האוכלוסין וההגירה, לפי העניין, יתעדו ככל הניתן את הפעולות המבוצעות על ידם לפי סעיפים 20א או 22א, לפי העניין.</w:t>
            </w:r>
          </w:p>
        </w:tc>
      </w:tr>
      <w:tr w:rsidR="00274CC1" w:rsidRPr="0037250A" w14:paraId="2BA19FE9" w14:textId="77777777" w:rsidTr="00E22EE1">
        <w:trPr>
          <w:cantSplit/>
        </w:trPr>
        <w:tc>
          <w:tcPr>
            <w:tcW w:w="1869" w:type="dxa"/>
            <w:tcMar>
              <w:top w:w="91" w:type="dxa"/>
              <w:left w:w="0" w:type="dxa"/>
              <w:bottom w:w="91" w:type="dxa"/>
              <w:right w:w="0" w:type="dxa"/>
            </w:tcMar>
          </w:tcPr>
          <w:p w14:paraId="0526DF86"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F59C3A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1B41C2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5A83A3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1CE1F2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B8F0154"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5832B048" w14:textId="77777777" w:rsidR="00274CC1" w:rsidRPr="0037250A" w:rsidRDefault="00274CC1" w:rsidP="00E22EE1">
            <w:pPr>
              <w:pStyle w:val="TableBlock"/>
              <w:rPr>
                <w:rFonts w:ascii="David" w:hAnsi="David"/>
                <w:sz w:val="26"/>
                <w:rtl/>
              </w:rPr>
            </w:pPr>
            <w:r w:rsidRPr="0037250A">
              <w:rPr>
                <w:rFonts w:ascii="David" w:hAnsi="David"/>
                <w:spacing w:val="-2"/>
                <w:sz w:val="26"/>
                <w:rtl/>
              </w:rPr>
              <w:t>(ב)</w:t>
            </w:r>
            <w:r w:rsidRPr="0037250A">
              <w:rPr>
                <w:rFonts w:ascii="David" w:hAnsi="David"/>
                <w:spacing w:val="-2"/>
                <w:sz w:val="26"/>
                <w:rtl/>
              </w:rPr>
              <w:tab/>
              <w:t xml:space="preserve">משטרת ישראל, </w:t>
            </w:r>
            <w:r>
              <w:rPr>
                <w:rFonts w:ascii="David" w:hAnsi="David" w:hint="cs"/>
                <w:spacing w:val="-2"/>
                <w:sz w:val="26"/>
                <w:rtl/>
              </w:rPr>
              <w:t>צה"ל</w:t>
            </w:r>
            <w:r w:rsidRPr="0037250A">
              <w:rPr>
                <w:rFonts w:ascii="David" w:hAnsi="David"/>
                <w:spacing w:val="-2"/>
                <w:sz w:val="26"/>
                <w:rtl/>
              </w:rPr>
              <w:t xml:space="preserve"> ורשויות הביטחון </w:t>
            </w:r>
            <w:r>
              <w:rPr>
                <w:rFonts w:ascii="David" w:hAnsi="David"/>
                <w:spacing w:val="-2"/>
                <w:sz w:val="26"/>
                <w:rtl/>
              </w:rPr>
              <w:t>–</w:t>
            </w:r>
          </w:p>
        </w:tc>
      </w:tr>
      <w:tr w:rsidR="00274CC1" w:rsidRPr="0037250A" w14:paraId="539BFFC7" w14:textId="77777777" w:rsidTr="00E22EE1">
        <w:trPr>
          <w:cantSplit/>
        </w:trPr>
        <w:tc>
          <w:tcPr>
            <w:tcW w:w="1869" w:type="dxa"/>
            <w:tcMar>
              <w:top w:w="91" w:type="dxa"/>
              <w:left w:w="0" w:type="dxa"/>
              <w:bottom w:w="91" w:type="dxa"/>
              <w:right w:w="0" w:type="dxa"/>
            </w:tcMar>
          </w:tcPr>
          <w:p w14:paraId="72807ABE"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5F1C7B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78727D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70F7E8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876CA3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03804B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0196919"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29E1B9A7"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ישמרו את האמצעים או הנתונים הביומטריים שהועברו אליהם לפי סעיפים 20א או 22א, לפי העניין, באופן שיאפשר את איתורם באופן ממוכן;</w:t>
            </w:r>
          </w:p>
        </w:tc>
      </w:tr>
      <w:tr w:rsidR="00274CC1" w:rsidRPr="0037250A" w14:paraId="1790C69C" w14:textId="77777777" w:rsidTr="00E22EE1">
        <w:trPr>
          <w:cantSplit/>
        </w:trPr>
        <w:tc>
          <w:tcPr>
            <w:tcW w:w="1869" w:type="dxa"/>
            <w:tcMar>
              <w:top w:w="91" w:type="dxa"/>
              <w:left w:w="0" w:type="dxa"/>
              <w:bottom w:w="91" w:type="dxa"/>
              <w:right w:w="0" w:type="dxa"/>
            </w:tcMar>
          </w:tcPr>
          <w:p w14:paraId="22B05368"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17C75A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EBA5C5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E7532D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12B8B9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E95F50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9E59543"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579C05A1" w14:textId="58CB4FAD" w:rsidR="00274CC1" w:rsidRPr="0037250A" w:rsidRDefault="00274CC1" w:rsidP="00E22EE1">
            <w:pPr>
              <w:pStyle w:val="TableBlock"/>
              <w:rPr>
                <w:rFonts w:ascii="David" w:hAnsi="David"/>
                <w:sz w:val="26"/>
                <w:rtl/>
              </w:rPr>
            </w:pPr>
            <w:r w:rsidRPr="0037250A">
              <w:rPr>
                <w:rFonts w:ascii="David" w:hAnsi="David"/>
                <w:sz w:val="26"/>
                <w:rtl/>
              </w:rPr>
              <w:t>(2)</w:t>
            </w:r>
            <w:r w:rsidRPr="0037250A">
              <w:rPr>
                <w:rFonts w:ascii="David" w:hAnsi="David"/>
                <w:sz w:val="26"/>
                <w:rtl/>
              </w:rPr>
              <w:tab/>
              <w:t>ידווחו לממונה על יישומים ביומטריים, לשם פי</w:t>
            </w:r>
            <w:r w:rsidR="00B65A9C">
              <w:rPr>
                <w:rFonts w:ascii="David" w:hAnsi="David"/>
                <w:sz w:val="26"/>
                <w:rtl/>
              </w:rPr>
              <w:t>קוח, על יישום הוראות סעיפים 20א</w:t>
            </w:r>
            <w:r w:rsidRPr="0037250A">
              <w:rPr>
                <w:rFonts w:ascii="David" w:hAnsi="David"/>
                <w:sz w:val="26"/>
                <w:rtl/>
              </w:rPr>
              <w:t xml:space="preserve"> </w:t>
            </w:r>
            <w:r w:rsidR="00B65A9C">
              <w:rPr>
                <w:rFonts w:ascii="David" w:hAnsi="David" w:hint="cs"/>
                <w:sz w:val="26"/>
                <w:rtl/>
              </w:rPr>
              <w:t>ו-</w:t>
            </w:r>
            <w:r w:rsidRPr="0037250A">
              <w:rPr>
                <w:rFonts w:ascii="David" w:hAnsi="David"/>
                <w:sz w:val="26"/>
                <w:rtl/>
              </w:rPr>
              <w:t>22א וסעיף קטן (א) בהתאם לנהלים לעניין אופן הדיווח ותוכנו, שייקבעו לפי סעיף קטן (ד).</w:t>
            </w:r>
          </w:p>
        </w:tc>
      </w:tr>
      <w:tr w:rsidR="00274CC1" w:rsidRPr="0037250A" w14:paraId="4FA1CE5C" w14:textId="77777777" w:rsidTr="00E22EE1">
        <w:trPr>
          <w:cantSplit/>
        </w:trPr>
        <w:tc>
          <w:tcPr>
            <w:tcW w:w="1869" w:type="dxa"/>
            <w:tcMar>
              <w:top w:w="91" w:type="dxa"/>
              <w:left w:w="0" w:type="dxa"/>
              <w:bottom w:w="91" w:type="dxa"/>
              <w:right w:w="0" w:type="dxa"/>
            </w:tcMar>
          </w:tcPr>
          <w:p w14:paraId="28200F56"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0F926B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14F177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2441A1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9AA4A89"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4FA439C"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20008959" w14:textId="77777777" w:rsidR="00274CC1" w:rsidRPr="0037250A" w:rsidRDefault="00274CC1" w:rsidP="00E22EE1">
            <w:pPr>
              <w:pStyle w:val="TableBlock"/>
              <w:rPr>
                <w:rFonts w:ascii="David" w:hAnsi="David"/>
                <w:sz w:val="26"/>
                <w:rtl/>
              </w:rPr>
            </w:pPr>
            <w:r w:rsidRPr="0037250A">
              <w:rPr>
                <w:rFonts w:ascii="David" w:hAnsi="David"/>
                <w:sz w:val="26"/>
                <w:rtl/>
              </w:rPr>
              <w:t>(ג)</w:t>
            </w:r>
            <w:r w:rsidRPr="0037250A">
              <w:rPr>
                <w:rFonts w:ascii="David" w:hAnsi="David"/>
                <w:sz w:val="26"/>
                <w:rtl/>
              </w:rPr>
              <w:tab/>
              <w:t xml:space="preserve">ראש הרשות יקבע, בהתייעצות עם הממונה על יישומים ביומטריים, ועם משטרת ישראל, </w:t>
            </w:r>
            <w:r>
              <w:rPr>
                <w:rFonts w:ascii="David" w:hAnsi="David" w:hint="cs"/>
                <w:sz w:val="26"/>
                <w:rtl/>
              </w:rPr>
              <w:t>צה"ל</w:t>
            </w:r>
            <w:r w:rsidRPr="0037250A">
              <w:rPr>
                <w:rFonts w:ascii="David" w:hAnsi="David"/>
                <w:sz w:val="26"/>
                <w:rtl/>
              </w:rPr>
              <w:t xml:space="preserve"> ורשויות הביטחון, נהלים בעניין העברת המידע מהרשות לפי סעיפים 20א או 22א, לרבות דרכי העברתו.</w:t>
            </w:r>
          </w:p>
        </w:tc>
      </w:tr>
      <w:tr w:rsidR="00274CC1" w:rsidRPr="0037250A" w14:paraId="6E1619F8" w14:textId="77777777" w:rsidTr="00E22EE1">
        <w:trPr>
          <w:cantSplit/>
        </w:trPr>
        <w:tc>
          <w:tcPr>
            <w:tcW w:w="1869" w:type="dxa"/>
            <w:tcMar>
              <w:top w:w="91" w:type="dxa"/>
              <w:left w:w="0" w:type="dxa"/>
              <w:bottom w:w="91" w:type="dxa"/>
              <w:right w:w="0" w:type="dxa"/>
            </w:tcMar>
          </w:tcPr>
          <w:p w14:paraId="0D766DA7"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359450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2BB1C6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F3E627B"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754DD3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DB6E988"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1D29F7DA" w14:textId="0F61A6CD" w:rsidR="00274CC1" w:rsidRPr="0037250A" w:rsidRDefault="00274CC1" w:rsidP="00E22EE1">
            <w:pPr>
              <w:pStyle w:val="TableBlock"/>
              <w:rPr>
                <w:rFonts w:ascii="David" w:hAnsi="David"/>
                <w:sz w:val="26"/>
                <w:rtl/>
              </w:rPr>
            </w:pPr>
            <w:r w:rsidRPr="0037250A">
              <w:rPr>
                <w:rFonts w:ascii="David" w:hAnsi="David"/>
                <w:sz w:val="26"/>
                <w:rtl/>
              </w:rPr>
              <w:t>(ד)</w:t>
            </w:r>
            <w:r w:rsidRPr="0037250A">
              <w:rPr>
                <w:rFonts w:ascii="David" w:hAnsi="David"/>
                <w:sz w:val="26"/>
                <w:rtl/>
              </w:rPr>
              <w:tab/>
              <w:t xml:space="preserve">משטרת ישראל, </w:t>
            </w:r>
            <w:r>
              <w:rPr>
                <w:rFonts w:ascii="David" w:hAnsi="David" w:hint="cs"/>
                <w:sz w:val="26"/>
                <w:rtl/>
              </w:rPr>
              <w:t>צה"ל</w:t>
            </w:r>
            <w:r w:rsidRPr="0037250A">
              <w:rPr>
                <w:rFonts w:ascii="David" w:hAnsi="David"/>
                <w:sz w:val="26"/>
                <w:rtl/>
              </w:rPr>
              <w:t xml:space="preserve"> ורשויות הביטחון, לפי העניין, יקבעו, בהסכמת הממונה על יישומים בי</w:t>
            </w:r>
            <w:r w:rsidR="00B65A9C">
              <w:rPr>
                <w:rFonts w:ascii="David" w:hAnsi="David"/>
                <w:sz w:val="26"/>
                <w:rtl/>
              </w:rPr>
              <w:t>ומטריים, נוהל ליישום סעיפים 20א</w:t>
            </w:r>
            <w:r w:rsidRPr="0037250A">
              <w:rPr>
                <w:rFonts w:ascii="David" w:hAnsi="David"/>
                <w:sz w:val="26"/>
                <w:rtl/>
              </w:rPr>
              <w:t xml:space="preserve"> </w:t>
            </w:r>
            <w:r w:rsidR="00B65A9C">
              <w:rPr>
                <w:rFonts w:ascii="David" w:hAnsi="David" w:hint="cs"/>
                <w:sz w:val="26"/>
                <w:rtl/>
              </w:rPr>
              <w:t>ו-</w:t>
            </w:r>
            <w:r w:rsidRPr="0037250A">
              <w:rPr>
                <w:rFonts w:ascii="David" w:hAnsi="David"/>
                <w:sz w:val="26"/>
                <w:rtl/>
              </w:rPr>
              <w:t>22א וסעיף קטן (א), ובכלל זה בנושאים אלה:</w:t>
            </w:r>
          </w:p>
        </w:tc>
      </w:tr>
      <w:tr w:rsidR="00274CC1" w:rsidRPr="0037250A" w14:paraId="5B198968" w14:textId="77777777" w:rsidTr="00E22EE1">
        <w:trPr>
          <w:cantSplit/>
        </w:trPr>
        <w:tc>
          <w:tcPr>
            <w:tcW w:w="1869" w:type="dxa"/>
            <w:tcMar>
              <w:top w:w="91" w:type="dxa"/>
              <w:left w:w="0" w:type="dxa"/>
              <w:bottom w:w="91" w:type="dxa"/>
              <w:right w:w="0" w:type="dxa"/>
            </w:tcMar>
          </w:tcPr>
          <w:p w14:paraId="60EF2CA3"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29058A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6A51C8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743A96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9C5B54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0C7F96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2B79605"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68032118"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 xml:space="preserve">שמירת האמצעים או הנתונים הביומטריים שהועברו אליהם לפי סעיפים 20א או 22א ומחיקתם; </w:t>
            </w:r>
          </w:p>
        </w:tc>
      </w:tr>
      <w:tr w:rsidR="00274CC1" w:rsidRPr="0037250A" w14:paraId="5A8BC5D3" w14:textId="77777777" w:rsidTr="00E22EE1">
        <w:trPr>
          <w:cantSplit/>
        </w:trPr>
        <w:tc>
          <w:tcPr>
            <w:tcW w:w="1869" w:type="dxa"/>
            <w:tcMar>
              <w:top w:w="91" w:type="dxa"/>
              <w:left w:w="0" w:type="dxa"/>
              <w:bottom w:w="91" w:type="dxa"/>
              <w:right w:w="0" w:type="dxa"/>
            </w:tcMar>
          </w:tcPr>
          <w:p w14:paraId="7DB94600"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7BF6B6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589378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C22E97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2643EE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ACDB2E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0552E59"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2EDFCB6C" w14:textId="77777777" w:rsidR="00274CC1" w:rsidRPr="0037250A" w:rsidRDefault="00274CC1" w:rsidP="00E22EE1">
            <w:pPr>
              <w:pStyle w:val="TableBlock"/>
              <w:rPr>
                <w:rFonts w:ascii="David" w:hAnsi="David"/>
                <w:sz w:val="26"/>
                <w:rtl/>
              </w:rPr>
            </w:pPr>
            <w:r w:rsidRPr="0037250A">
              <w:rPr>
                <w:rFonts w:ascii="David" w:hAnsi="David"/>
                <w:sz w:val="26"/>
                <w:rtl/>
              </w:rPr>
              <w:t>(2)</w:t>
            </w:r>
            <w:r w:rsidRPr="0037250A">
              <w:rPr>
                <w:rFonts w:ascii="David" w:hAnsi="David"/>
                <w:sz w:val="26"/>
                <w:rtl/>
              </w:rPr>
              <w:tab/>
              <w:t>גורם אחראי כאמור בסעיפים 20א(2) ו</w:t>
            </w:r>
            <w:r>
              <w:rPr>
                <w:rFonts w:ascii="David" w:hAnsi="David"/>
                <w:sz w:val="26"/>
                <w:rtl/>
              </w:rPr>
              <w:t>-</w:t>
            </w:r>
            <w:r w:rsidRPr="0037250A">
              <w:rPr>
                <w:rFonts w:ascii="David" w:hAnsi="David"/>
                <w:sz w:val="26"/>
                <w:rtl/>
              </w:rPr>
              <w:t xml:space="preserve">22א(2); </w:t>
            </w:r>
          </w:p>
        </w:tc>
      </w:tr>
      <w:tr w:rsidR="00274CC1" w:rsidRPr="0037250A" w14:paraId="117957B2" w14:textId="77777777" w:rsidTr="00E22EE1">
        <w:trPr>
          <w:cantSplit/>
        </w:trPr>
        <w:tc>
          <w:tcPr>
            <w:tcW w:w="1869" w:type="dxa"/>
            <w:tcMar>
              <w:top w:w="91" w:type="dxa"/>
              <w:left w:w="0" w:type="dxa"/>
              <w:bottom w:w="91" w:type="dxa"/>
              <w:right w:w="0" w:type="dxa"/>
            </w:tcMar>
          </w:tcPr>
          <w:p w14:paraId="3F311674"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937421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7EE95E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6F90E2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BA04B6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F797D7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2CF3046" w14:textId="77777777" w:rsidR="00274CC1" w:rsidRPr="0037250A" w:rsidRDefault="00274CC1" w:rsidP="001E0F7C">
            <w:pPr>
              <w:pStyle w:val="TableText"/>
              <w:jc w:val="both"/>
              <w:rPr>
                <w:rFonts w:ascii="David" w:hAnsi="David"/>
                <w:sz w:val="26"/>
                <w:rtl/>
              </w:rPr>
            </w:pPr>
          </w:p>
        </w:tc>
        <w:tc>
          <w:tcPr>
            <w:tcW w:w="4023" w:type="dxa"/>
            <w:tcMar>
              <w:top w:w="91" w:type="dxa"/>
              <w:left w:w="0" w:type="dxa"/>
              <w:bottom w:w="91" w:type="dxa"/>
              <w:right w:w="0" w:type="dxa"/>
            </w:tcMar>
          </w:tcPr>
          <w:p w14:paraId="517BB270" w14:textId="77777777" w:rsidR="00274CC1" w:rsidRPr="0037250A" w:rsidRDefault="00274CC1" w:rsidP="00E22EE1">
            <w:pPr>
              <w:pStyle w:val="TableBlock"/>
              <w:rPr>
                <w:rFonts w:ascii="David" w:hAnsi="David"/>
                <w:sz w:val="26"/>
                <w:rtl/>
              </w:rPr>
            </w:pPr>
            <w:r w:rsidRPr="0037250A">
              <w:rPr>
                <w:rFonts w:ascii="David" w:hAnsi="David"/>
                <w:sz w:val="26"/>
                <w:rtl/>
              </w:rPr>
              <w:t>(3)</w:t>
            </w:r>
            <w:r w:rsidRPr="0037250A">
              <w:rPr>
                <w:rFonts w:ascii="David" w:hAnsi="David"/>
                <w:sz w:val="26"/>
                <w:rtl/>
              </w:rPr>
              <w:tab/>
            </w:r>
            <w:r>
              <w:rPr>
                <w:rFonts w:ascii="David" w:hAnsi="David" w:hint="cs"/>
                <w:sz w:val="26"/>
                <w:rtl/>
              </w:rPr>
              <w:t xml:space="preserve">מספר </w:t>
            </w:r>
            <w:r w:rsidRPr="0037250A">
              <w:rPr>
                <w:rFonts w:ascii="David" w:hAnsi="David"/>
                <w:sz w:val="26"/>
                <w:rtl/>
              </w:rPr>
              <w:t>האמצעים או הנתונים הביומטריים שיועברו לגבי כל בקשה.</w:t>
            </w:r>
          </w:p>
        </w:tc>
      </w:tr>
      <w:tr w:rsidR="00274CC1" w:rsidRPr="0037250A" w14:paraId="76B31317" w14:textId="77777777" w:rsidTr="00E22EE1">
        <w:trPr>
          <w:cantSplit/>
        </w:trPr>
        <w:tc>
          <w:tcPr>
            <w:tcW w:w="1869" w:type="dxa"/>
            <w:tcMar>
              <w:top w:w="91" w:type="dxa"/>
              <w:left w:w="0" w:type="dxa"/>
              <w:bottom w:w="91" w:type="dxa"/>
              <w:right w:w="0" w:type="dxa"/>
            </w:tcMar>
          </w:tcPr>
          <w:p w14:paraId="7725F571"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0645EF9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404E099"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A2933A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9AEB6D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EA8A8D9"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576271C2" w14:textId="77777777" w:rsidR="00274CC1" w:rsidRPr="0037250A" w:rsidRDefault="00274CC1" w:rsidP="00E22EE1">
            <w:pPr>
              <w:pStyle w:val="TableBlock"/>
              <w:rPr>
                <w:rFonts w:ascii="David" w:hAnsi="David"/>
                <w:sz w:val="26"/>
                <w:rtl/>
              </w:rPr>
            </w:pPr>
            <w:r w:rsidRPr="0037250A">
              <w:rPr>
                <w:rFonts w:ascii="David" w:hAnsi="David"/>
                <w:sz w:val="26"/>
                <w:rtl/>
              </w:rPr>
              <w:t>(ה)</w:t>
            </w:r>
            <w:r w:rsidRPr="0037250A">
              <w:rPr>
                <w:rFonts w:ascii="David" w:hAnsi="David"/>
                <w:sz w:val="26"/>
                <w:rtl/>
              </w:rPr>
              <w:tab/>
              <w:t>הנהלים שייקבעו לפי סעיפים קטנים (ג) ו</w:t>
            </w:r>
            <w:r>
              <w:rPr>
                <w:rFonts w:ascii="David" w:hAnsi="David"/>
                <w:sz w:val="26"/>
                <w:rtl/>
              </w:rPr>
              <w:t>-</w:t>
            </w:r>
            <w:r w:rsidRPr="0037250A">
              <w:rPr>
                <w:rFonts w:ascii="David" w:hAnsi="David"/>
                <w:sz w:val="26"/>
                <w:rtl/>
              </w:rPr>
              <w:t>(ד) אינם טעונים פרסום ברשומות או פרסום פומבי אחר.</w:t>
            </w:r>
          </w:p>
        </w:tc>
      </w:tr>
      <w:tr w:rsidR="00274CC1" w:rsidRPr="0037250A" w14:paraId="535EE1DD" w14:textId="77777777" w:rsidTr="00E22EE1">
        <w:trPr>
          <w:cantSplit/>
        </w:trPr>
        <w:tc>
          <w:tcPr>
            <w:tcW w:w="1869" w:type="dxa"/>
            <w:tcMar>
              <w:top w:w="91" w:type="dxa"/>
              <w:left w:w="0" w:type="dxa"/>
              <w:bottom w:w="91" w:type="dxa"/>
              <w:right w:w="0" w:type="dxa"/>
            </w:tcMar>
          </w:tcPr>
          <w:p w14:paraId="4EF03D9C"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1786502" w14:textId="77777777" w:rsidR="00274CC1" w:rsidRPr="0037250A" w:rsidRDefault="00274CC1" w:rsidP="001E0F7C">
            <w:pPr>
              <w:pStyle w:val="TableText"/>
              <w:rPr>
                <w:rtl/>
              </w:rPr>
            </w:pPr>
          </w:p>
        </w:tc>
        <w:tc>
          <w:tcPr>
            <w:tcW w:w="624" w:type="dxa"/>
            <w:tcMar>
              <w:top w:w="91" w:type="dxa"/>
              <w:left w:w="0" w:type="dxa"/>
              <w:bottom w:w="91" w:type="dxa"/>
              <w:right w:w="0" w:type="dxa"/>
            </w:tcMar>
          </w:tcPr>
          <w:p w14:paraId="32C7E7A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A0FABB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63A88F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EA4E8D0"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678423D0" w14:textId="476CFA15" w:rsidR="00274CC1" w:rsidRPr="0037250A" w:rsidRDefault="00274CC1" w:rsidP="0061777E">
            <w:pPr>
              <w:pStyle w:val="TableBlock"/>
              <w:rPr>
                <w:rFonts w:ascii="David" w:hAnsi="David"/>
                <w:sz w:val="26"/>
                <w:rtl/>
              </w:rPr>
            </w:pPr>
            <w:r>
              <w:rPr>
                <w:rFonts w:ascii="David" w:hAnsi="David" w:hint="cs"/>
                <w:sz w:val="26"/>
                <w:rtl/>
              </w:rPr>
              <w:t>(ו)</w:t>
            </w:r>
            <w:r>
              <w:rPr>
                <w:rFonts w:ascii="David" w:hAnsi="David"/>
                <w:sz w:val="26"/>
                <w:rtl/>
              </w:rPr>
              <w:tab/>
            </w:r>
            <w:r>
              <w:rPr>
                <w:rFonts w:ascii="David" w:hAnsi="David" w:hint="cs"/>
                <w:sz w:val="26"/>
                <w:rtl/>
              </w:rPr>
              <w:t>הממונה על יישומים ביומטריים יגיש לראש הממשלה, לשר הביטחון או לשר לביטחון לאומי</w:t>
            </w:r>
            <w:r w:rsidR="00995362">
              <w:rPr>
                <w:rFonts w:ascii="David" w:hAnsi="David" w:hint="cs"/>
                <w:sz w:val="26"/>
                <w:rtl/>
              </w:rPr>
              <w:t>,</w:t>
            </w:r>
            <w:r>
              <w:rPr>
                <w:rFonts w:ascii="David" w:hAnsi="David" w:hint="cs"/>
                <w:sz w:val="26"/>
                <w:rtl/>
              </w:rPr>
              <w:t xml:space="preserve"> לפי העניין, וכן לשר ולוועדת הכנסת המשותפת, אחת לשישה חודשים, ד</w:t>
            </w:r>
            <w:r w:rsidR="00B65A9C">
              <w:rPr>
                <w:rFonts w:ascii="David" w:hAnsi="David" w:hint="cs"/>
                <w:sz w:val="26"/>
                <w:rtl/>
              </w:rPr>
              <w:t>יווח על יישום הוראות סעיפים 20א</w:t>
            </w:r>
            <w:r>
              <w:rPr>
                <w:rFonts w:ascii="David" w:hAnsi="David" w:hint="cs"/>
                <w:sz w:val="26"/>
                <w:rtl/>
              </w:rPr>
              <w:t xml:space="preserve"> </w:t>
            </w:r>
            <w:r w:rsidR="00B65A9C">
              <w:rPr>
                <w:rFonts w:ascii="David" w:hAnsi="David" w:hint="cs"/>
                <w:sz w:val="26"/>
                <w:rtl/>
              </w:rPr>
              <w:t>ו-</w:t>
            </w:r>
            <w:r>
              <w:rPr>
                <w:rFonts w:ascii="David" w:hAnsi="David" w:hint="cs"/>
                <w:sz w:val="26"/>
                <w:rtl/>
              </w:rPr>
              <w:t>22א וסעיף זה; ואולם</w:t>
            </w:r>
            <w:bookmarkStart w:id="7" w:name="_GoBack"/>
            <w:bookmarkEnd w:id="7"/>
            <w:r>
              <w:rPr>
                <w:rFonts w:ascii="David" w:hAnsi="David" w:hint="cs"/>
                <w:sz w:val="26"/>
                <w:rtl/>
              </w:rPr>
              <w:t xml:space="preserve"> דיווח הכולל מידע מסווג ייכלל בחלק חסוי בדיווח ופרסומו אסור; בסעיף זה</w:t>
            </w:r>
            <w:r w:rsidR="0061777E">
              <w:rPr>
                <w:rFonts w:ascii="David" w:hAnsi="David" w:hint="cs"/>
                <w:sz w:val="26"/>
                <w:rtl/>
              </w:rPr>
              <w:t>,</w:t>
            </w:r>
            <w:r>
              <w:rPr>
                <w:rFonts w:ascii="David" w:hAnsi="David" w:hint="cs"/>
                <w:sz w:val="26"/>
                <w:rtl/>
              </w:rPr>
              <w:t xml:space="preserve"> "מידע מסווג" </w:t>
            </w:r>
            <w:r>
              <w:rPr>
                <w:rFonts w:ascii="David" w:hAnsi="David"/>
                <w:sz w:val="26"/>
                <w:rtl/>
              </w:rPr>
              <w:t>–</w:t>
            </w:r>
            <w:r>
              <w:rPr>
                <w:rFonts w:ascii="David" w:hAnsi="David" w:hint="cs"/>
                <w:sz w:val="26"/>
                <w:rtl/>
              </w:rPr>
              <w:t xml:space="preserve"> מידע שסיווגו הביטחוני נקבע בידי משטרת ישראל, צה"ל, רשויות הביטחון, הרשות ורשות האוכלוסין וההגירה, לפי העניין, כסיווג ברמת "שמור" ומעלה."</w:t>
            </w:r>
          </w:p>
        </w:tc>
      </w:tr>
      <w:tr w:rsidR="00274CC1" w:rsidRPr="0037250A" w14:paraId="29011428" w14:textId="77777777" w:rsidTr="00E22EE1">
        <w:trPr>
          <w:cantSplit/>
        </w:trPr>
        <w:tc>
          <w:tcPr>
            <w:tcW w:w="1869" w:type="dxa"/>
            <w:tcMar>
              <w:top w:w="91" w:type="dxa"/>
              <w:left w:w="0" w:type="dxa"/>
              <w:bottom w:w="91" w:type="dxa"/>
              <w:right w:w="0" w:type="dxa"/>
            </w:tcMar>
          </w:tcPr>
          <w:p w14:paraId="7A0BCC6C" w14:textId="64D833A8" w:rsidR="00274CC1" w:rsidRPr="0037250A" w:rsidRDefault="00274CC1" w:rsidP="001E0F7C">
            <w:pPr>
              <w:pStyle w:val="TableSideHeading"/>
              <w:rPr>
                <w:rFonts w:ascii="David" w:hAnsi="David"/>
                <w:sz w:val="26"/>
                <w:rtl/>
              </w:rPr>
            </w:pPr>
            <w:r w:rsidRPr="0037250A">
              <w:rPr>
                <w:rFonts w:ascii="David" w:hAnsi="David"/>
                <w:sz w:val="26"/>
                <w:rtl/>
              </w:rPr>
              <w:t xml:space="preserve">תיקון פקודת המשטרה </w:t>
            </w:r>
            <w:r>
              <w:rPr>
                <w:rFonts w:ascii="David" w:hAnsi="David"/>
                <w:sz w:val="26"/>
                <w:rtl/>
              </w:rPr>
              <w:t>–</w:t>
            </w:r>
            <w:r w:rsidRPr="0037250A">
              <w:rPr>
                <w:rFonts w:ascii="David" w:hAnsi="David"/>
                <w:sz w:val="26"/>
                <w:rtl/>
              </w:rPr>
              <w:t xml:space="preserve"> הוראת שעה</w:t>
            </w:r>
            <w:r w:rsidR="002214B4">
              <w:rPr>
                <w:rFonts w:ascii="David" w:hAnsi="David" w:hint="cs"/>
                <w:sz w:val="26"/>
                <w:rtl/>
              </w:rPr>
              <w:t xml:space="preserve"> </w:t>
            </w:r>
            <w:r w:rsidR="002214B4">
              <w:rPr>
                <w:rFonts w:ascii="David" w:hAnsi="David"/>
                <w:sz w:val="26"/>
                <w:rtl/>
              </w:rPr>
              <w:t>–</w:t>
            </w:r>
            <w:r w:rsidR="002214B4">
              <w:rPr>
                <w:rFonts w:ascii="David" w:hAnsi="David" w:hint="cs"/>
                <w:sz w:val="26"/>
                <w:rtl/>
              </w:rPr>
              <w:t xml:space="preserve"> מס' 39</w:t>
            </w:r>
          </w:p>
        </w:tc>
        <w:tc>
          <w:tcPr>
            <w:tcW w:w="624" w:type="dxa"/>
            <w:tcMar>
              <w:top w:w="91" w:type="dxa"/>
              <w:left w:w="0" w:type="dxa"/>
              <w:bottom w:w="91" w:type="dxa"/>
              <w:right w:w="0" w:type="dxa"/>
            </w:tcMar>
          </w:tcPr>
          <w:p w14:paraId="31AE5614" w14:textId="77777777" w:rsidR="00274CC1" w:rsidRPr="0037250A" w:rsidRDefault="00274CC1" w:rsidP="001E0F7C">
            <w:pPr>
              <w:pStyle w:val="TableText"/>
              <w:rPr>
                <w:rFonts w:ascii="David" w:hAnsi="David"/>
                <w:sz w:val="26"/>
                <w:rtl/>
              </w:rPr>
            </w:pPr>
            <w:r w:rsidRPr="0037250A">
              <w:rPr>
                <w:rFonts w:ascii="David" w:hAnsi="David"/>
                <w:sz w:val="26"/>
                <w:rtl/>
              </w:rPr>
              <w:t>2.</w:t>
            </w:r>
          </w:p>
        </w:tc>
        <w:tc>
          <w:tcPr>
            <w:tcW w:w="7143" w:type="dxa"/>
            <w:gridSpan w:val="6"/>
            <w:tcMar>
              <w:top w:w="91" w:type="dxa"/>
              <w:left w:w="0" w:type="dxa"/>
              <w:bottom w:w="91" w:type="dxa"/>
              <w:right w:w="0" w:type="dxa"/>
            </w:tcMar>
          </w:tcPr>
          <w:p w14:paraId="08290713" w14:textId="77777777" w:rsidR="00274CC1" w:rsidRPr="0037250A" w:rsidRDefault="00274CC1" w:rsidP="00E22EE1">
            <w:pPr>
              <w:pStyle w:val="TableBlock"/>
              <w:rPr>
                <w:rFonts w:ascii="David" w:hAnsi="David"/>
                <w:sz w:val="26"/>
                <w:rtl/>
              </w:rPr>
            </w:pPr>
            <w:r w:rsidRPr="0037250A">
              <w:rPr>
                <w:rFonts w:ascii="David" w:hAnsi="David"/>
                <w:sz w:val="26"/>
                <w:rtl/>
              </w:rPr>
              <w:t>בתקופת תוקפו של סעיף זה, כאמור בסעיף 4, יקראו את פקודת המשטרה [נוסח חדש], התשל"א</w:t>
            </w:r>
            <w:r>
              <w:rPr>
                <w:rFonts w:ascii="David" w:hAnsi="David"/>
                <w:sz w:val="26"/>
                <w:rtl/>
              </w:rPr>
              <w:t>–</w:t>
            </w:r>
            <w:r w:rsidRPr="0037250A">
              <w:rPr>
                <w:rFonts w:ascii="David" w:hAnsi="David"/>
                <w:sz w:val="26"/>
                <w:rtl/>
              </w:rPr>
              <w:t>1971‏</w:t>
            </w:r>
            <w:r w:rsidRPr="00E22EE1">
              <w:rPr>
                <w:rStyle w:val="a9"/>
                <w:rFonts w:ascii="David" w:hAnsi="David"/>
                <w:sz w:val="26"/>
                <w:rtl/>
              </w:rPr>
              <w:footnoteReference w:id="4"/>
            </w:r>
            <w:r w:rsidRPr="0037250A">
              <w:rPr>
                <w:rFonts w:ascii="David" w:hAnsi="David"/>
                <w:sz w:val="26"/>
                <w:rtl/>
              </w:rPr>
              <w:t>, כך שאחרי סעיף 4א יבוא:</w:t>
            </w:r>
          </w:p>
        </w:tc>
      </w:tr>
      <w:tr w:rsidR="00274CC1" w:rsidRPr="0037250A" w14:paraId="54D5DA13" w14:textId="77777777" w:rsidTr="00E22EE1">
        <w:trPr>
          <w:cantSplit/>
        </w:trPr>
        <w:tc>
          <w:tcPr>
            <w:tcW w:w="1869" w:type="dxa"/>
          </w:tcPr>
          <w:p w14:paraId="296F1B79"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67DBBBD" w14:textId="77777777" w:rsidR="00274CC1" w:rsidRPr="0037250A" w:rsidRDefault="00274CC1" w:rsidP="001E0F7C">
            <w:pPr>
              <w:pStyle w:val="TableText"/>
              <w:jc w:val="both"/>
              <w:rPr>
                <w:rFonts w:ascii="David" w:hAnsi="David"/>
                <w:sz w:val="26"/>
                <w:rtl/>
              </w:rPr>
            </w:pPr>
          </w:p>
        </w:tc>
        <w:tc>
          <w:tcPr>
            <w:tcW w:w="1872" w:type="dxa"/>
            <w:gridSpan w:val="3"/>
            <w:tcMar>
              <w:top w:w="91" w:type="dxa"/>
              <w:left w:w="0" w:type="dxa"/>
              <w:bottom w:w="91" w:type="dxa"/>
              <w:right w:w="0" w:type="dxa"/>
            </w:tcMar>
          </w:tcPr>
          <w:p w14:paraId="4097FFC7" w14:textId="77777777" w:rsidR="00274CC1" w:rsidRPr="0037250A" w:rsidRDefault="00274CC1" w:rsidP="001E0F7C">
            <w:pPr>
              <w:pStyle w:val="TableInnerSideHeading"/>
              <w:rPr>
                <w:rFonts w:ascii="David" w:hAnsi="David"/>
                <w:sz w:val="26"/>
                <w:rtl/>
              </w:rPr>
            </w:pPr>
            <w:r w:rsidRPr="0037250A">
              <w:rPr>
                <w:rFonts w:ascii="David" w:hAnsi="David"/>
                <w:sz w:val="26"/>
                <w:rtl/>
              </w:rPr>
              <w:t xml:space="preserve">"סמכות דרישת ידיעות ומסמכים </w:t>
            </w:r>
            <w:r>
              <w:rPr>
                <w:rFonts w:ascii="David" w:hAnsi="David"/>
                <w:sz w:val="26"/>
                <w:rtl/>
              </w:rPr>
              <w:t>–</w:t>
            </w:r>
            <w:r w:rsidRPr="0037250A">
              <w:rPr>
                <w:rFonts w:ascii="David" w:hAnsi="David"/>
                <w:sz w:val="26"/>
                <w:rtl/>
              </w:rPr>
              <w:t xml:space="preserve"> </w:t>
            </w:r>
            <w:r w:rsidRPr="0037250A">
              <w:rPr>
                <w:rFonts w:ascii="David" w:hAnsi="David"/>
                <w:sz w:val="26"/>
                <w:rtl/>
              </w:rPr>
              <w:br/>
              <w:t xml:space="preserve">חרבות ברזל </w:t>
            </w:r>
            <w:r>
              <w:rPr>
                <w:rFonts w:ascii="David" w:hAnsi="David"/>
                <w:sz w:val="26"/>
                <w:rtl/>
              </w:rPr>
              <w:t>–</w:t>
            </w:r>
            <w:r w:rsidRPr="0037250A">
              <w:rPr>
                <w:rFonts w:ascii="David" w:hAnsi="David"/>
                <w:sz w:val="26"/>
                <w:rtl/>
              </w:rPr>
              <w:t xml:space="preserve"> הוראת שעה</w:t>
            </w:r>
          </w:p>
        </w:tc>
        <w:tc>
          <w:tcPr>
            <w:tcW w:w="624" w:type="dxa"/>
            <w:tcMar>
              <w:top w:w="91" w:type="dxa"/>
              <w:left w:w="0" w:type="dxa"/>
              <w:bottom w:w="91" w:type="dxa"/>
              <w:right w:w="0" w:type="dxa"/>
            </w:tcMar>
          </w:tcPr>
          <w:p w14:paraId="223C3F06" w14:textId="77777777" w:rsidR="00274CC1" w:rsidRPr="0037250A" w:rsidRDefault="00274CC1" w:rsidP="001E0F7C">
            <w:pPr>
              <w:pStyle w:val="TableText"/>
              <w:rPr>
                <w:rFonts w:ascii="David" w:hAnsi="David"/>
                <w:sz w:val="26"/>
                <w:rtl/>
              </w:rPr>
            </w:pPr>
            <w:r w:rsidRPr="0037250A">
              <w:rPr>
                <w:rFonts w:ascii="David" w:hAnsi="David"/>
                <w:sz w:val="26"/>
                <w:rtl/>
              </w:rPr>
              <w:t>4ב.</w:t>
            </w:r>
          </w:p>
        </w:tc>
        <w:tc>
          <w:tcPr>
            <w:tcW w:w="4647" w:type="dxa"/>
            <w:gridSpan w:val="2"/>
            <w:tcMar>
              <w:top w:w="91" w:type="dxa"/>
              <w:left w:w="0" w:type="dxa"/>
              <w:bottom w:w="91" w:type="dxa"/>
              <w:right w:w="0" w:type="dxa"/>
            </w:tcMar>
          </w:tcPr>
          <w:p w14:paraId="7C4A98D3" w14:textId="77777777" w:rsidR="00274CC1" w:rsidRPr="0037250A" w:rsidRDefault="00274CC1" w:rsidP="00E22EE1">
            <w:pPr>
              <w:pStyle w:val="TableBlock"/>
              <w:rPr>
                <w:rFonts w:ascii="David" w:hAnsi="David"/>
                <w:sz w:val="26"/>
                <w:rtl/>
              </w:rPr>
            </w:pPr>
            <w:r w:rsidRPr="0037250A">
              <w:rPr>
                <w:rFonts w:ascii="David" w:hAnsi="David"/>
                <w:spacing w:val="-4"/>
                <w:sz w:val="26"/>
                <w:rtl/>
              </w:rPr>
              <w:t>(א)</w:t>
            </w:r>
            <w:r w:rsidRPr="0037250A">
              <w:rPr>
                <w:rFonts w:ascii="David" w:hAnsi="David"/>
                <w:spacing w:val="-4"/>
                <w:sz w:val="26"/>
                <w:rtl/>
              </w:rPr>
              <w:tab/>
            </w:r>
            <w:r>
              <w:rPr>
                <w:rFonts w:ascii="David" w:hAnsi="David" w:hint="cs"/>
                <w:spacing w:val="-4"/>
                <w:sz w:val="26"/>
                <w:rtl/>
              </w:rPr>
              <w:t>לצורך</w:t>
            </w:r>
            <w:r w:rsidRPr="0037250A">
              <w:rPr>
                <w:rFonts w:ascii="David" w:hAnsi="David"/>
                <w:spacing w:val="-4"/>
                <w:sz w:val="26"/>
                <w:rtl/>
              </w:rPr>
              <w:t xml:space="preserve"> אימות או בירור זהותו של אדם, לרבות גופה, שזהותו </w:t>
            </w:r>
            <w:r w:rsidRPr="003E3EC4">
              <w:rPr>
                <w:rFonts w:ascii="David" w:hAnsi="David"/>
                <w:spacing w:val="-4"/>
                <w:sz w:val="26"/>
                <w:rtl/>
              </w:rPr>
              <w:t>אינה ידועה או מוטלת בספק, ולצורך איתור נעדר או שבוי, הנדרשים בשל פעולות האיבה או פעולות המלחמה</w:t>
            </w:r>
            <w:r w:rsidRPr="003E3EC4">
              <w:rPr>
                <w:rFonts w:ascii="David" w:hAnsi="David" w:hint="cs"/>
                <w:sz w:val="26"/>
                <w:rtl/>
              </w:rPr>
              <w:t xml:space="preserve"> או בשל</w:t>
            </w:r>
            <w:r w:rsidRPr="003E3EC4">
              <w:rPr>
                <w:rFonts w:ascii="David" w:hAnsi="David" w:hint="cs"/>
                <w:spacing w:val="-4"/>
                <w:sz w:val="26"/>
                <w:rtl/>
              </w:rPr>
              <w:t xml:space="preserve"> </w:t>
            </w:r>
            <w:r w:rsidRPr="003E3EC4">
              <w:rPr>
                <w:rFonts w:ascii="David" w:hAnsi="David" w:hint="cs"/>
                <w:sz w:val="26"/>
                <w:rtl/>
              </w:rPr>
              <w:t xml:space="preserve">אירוע אזרחי רב־נפגעים, </w:t>
            </w:r>
            <w:r w:rsidRPr="003E3EC4">
              <w:rPr>
                <w:rFonts w:ascii="David" w:hAnsi="David"/>
                <w:spacing w:val="-4"/>
                <w:sz w:val="26"/>
                <w:rtl/>
              </w:rPr>
              <w:t xml:space="preserve">רשאי שוטר לדרוש מכל אדם הנוגע בדבר למסור לו כל ידיעה או מסמך, לרבות מידע ביומטרי ונתוני זיהוי שהופקו מהם, מידע רפואי, מידע גנטי ודגימה ביולוגית, אם </w:t>
            </w:r>
            <w:r w:rsidRPr="003E3EC4">
              <w:rPr>
                <w:rFonts w:ascii="David" w:hAnsi="David" w:hint="cs"/>
                <w:spacing w:val="-4"/>
                <w:sz w:val="26"/>
                <w:rtl/>
              </w:rPr>
              <w:t>שוכנע</w:t>
            </w:r>
            <w:r w:rsidRPr="003E3EC4">
              <w:rPr>
                <w:rFonts w:ascii="David" w:hAnsi="David"/>
                <w:spacing w:val="-4"/>
                <w:sz w:val="26"/>
                <w:rtl/>
              </w:rPr>
              <w:t xml:space="preserve"> כי הידיעה או המסמך דרושים כדי לספק זיהוי, אימות או איתור כאמור ברמת הוודאות הנדרשת</w:t>
            </w:r>
            <w:r w:rsidRPr="0037250A">
              <w:rPr>
                <w:rFonts w:ascii="David" w:hAnsi="David"/>
                <w:spacing w:val="-4"/>
                <w:sz w:val="26"/>
                <w:rtl/>
              </w:rPr>
              <w:t>; לעניין זה רשאית משטרת ישראל להסתייע בכל אדם, ובכלל זה באדם מטעם משרד הבריאות.</w:t>
            </w:r>
          </w:p>
        </w:tc>
      </w:tr>
      <w:tr w:rsidR="00274CC1" w:rsidRPr="0037250A" w14:paraId="214D76AE" w14:textId="77777777" w:rsidTr="00E22EE1">
        <w:trPr>
          <w:cantSplit/>
        </w:trPr>
        <w:tc>
          <w:tcPr>
            <w:tcW w:w="1869" w:type="dxa"/>
            <w:tcMar>
              <w:top w:w="91" w:type="dxa"/>
              <w:left w:w="0" w:type="dxa"/>
              <w:bottom w:w="91" w:type="dxa"/>
              <w:right w:w="0" w:type="dxa"/>
            </w:tcMar>
          </w:tcPr>
          <w:p w14:paraId="2B1BFBD2"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B9876D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314D26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0D7A1D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B687D5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29D29FB"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62603E93" w14:textId="77777777" w:rsidR="00274CC1" w:rsidRPr="0037250A" w:rsidRDefault="00274CC1" w:rsidP="00E22EE1">
            <w:pPr>
              <w:pStyle w:val="TableBlock"/>
              <w:rPr>
                <w:rFonts w:ascii="David" w:hAnsi="David"/>
                <w:sz w:val="26"/>
                <w:rtl/>
              </w:rPr>
            </w:pPr>
            <w:r w:rsidRPr="0037250A">
              <w:rPr>
                <w:rFonts w:ascii="David" w:hAnsi="David"/>
                <w:sz w:val="26"/>
                <w:rtl/>
              </w:rPr>
              <w:t>(ב)</w:t>
            </w:r>
            <w:r w:rsidRPr="0037250A">
              <w:rPr>
                <w:rFonts w:ascii="David" w:hAnsi="David"/>
                <w:sz w:val="26"/>
                <w:rtl/>
              </w:rPr>
              <w:tab/>
              <w:t>אדם שהגיע אליו מידע לפי סעיף זה ישמור אותו בסוד, לא יגלה אותו לאחר ולא יעשה בו כל שימוש, אלא לצורך אימות או בירור זהותו של אדם, לרבות גופה, שזהותו אינה ידועה או מוטלת בספק, ולצורך איתור נעדר או שבוי והכול אם הם נדרשים בשל פעולות האיבה או פעולות המלחמה</w:t>
            </w:r>
            <w:r>
              <w:rPr>
                <w:rFonts w:ascii="David" w:hAnsi="David" w:hint="cs"/>
                <w:sz w:val="26"/>
                <w:rtl/>
              </w:rPr>
              <w:t xml:space="preserve"> או בשל אירוע אזרחי רב־נפגעים</w:t>
            </w:r>
            <w:r w:rsidRPr="0037250A">
              <w:rPr>
                <w:rFonts w:ascii="David" w:hAnsi="David"/>
                <w:sz w:val="26"/>
                <w:rtl/>
              </w:rPr>
              <w:t xml:space="preserve">. </w:t>
            </w:r>
          </w:p>
        </w:tc>
      </w:tr>
      <w:tr w:rsidR="00274CC1" w:rsidRPr="0037250A" w14:paraId="33F04C2A" w14:textId="77777777" w:rsidTr="00E22EE1">
        <w:trPr>
          <w:cantSplit/>
        </w:trPr>
        <w:tc>
          <w:tcPr>
            <w:tcW w:w="1869" w:type="dxa"/>
            <w:tcMar>
              <w:top w:w="91" w:type="dxa"/>
              <w:left w:w="0" w:type="dxa"/>
              <w:bottom w:w="91" w:type="dxa"/>
              <w:right w:w="0" w:type="dxa"/>
            </w:tcMar>
          </w:tcPr>
          <w:p w14:paraId="33CEC38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E31105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B4C360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5C1069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9262E6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8CF5965"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05A55D13" w14:textId="77777777" w:rsidR="00274CC1" w:rsidRPr="0037250A" w:rsidRDefault="00274CC1" w:rsidP="00E22EE1">
            <w:pPr>
              <w:pStyle w:val="TableBlock"/>
              <w:rPr>
                <w:rFonts w:ascii="David" w:hAnsi="David"/>
                <w:sz w:val="26"/>
                <w:rtl/>
              </w:rPr>
            </w:pPr>
            <w:r w:rsidRPr="0037250A">
              <w:rPr>
                <w:rFonts w:ascii="David" w:hAnsi="David"/>
                <w:sz w:val="26"/>
                <w:rtl/>
              </w:rPr>
              <w:t>(ג)</w:t>
            </w:r>
            <w:r w:rsidRPr="0037250A">
              <w:rPr>
                <w:rFonts w:ascii="David" w:hAnsi="David"/>
                <w:sz w:val="26"/>
                <w:rtl/>
              </w:rPr>
              <w:tab/>
              <w:t xml:space="preserve">בסעיף זה </w:t>
            </w:r>
            <w:r>
              <w:rPr>
                <w:rFonts w:ascii="David" w:hAnsi="David"/>
                <w:sz w:val="26"/>
                <w:rtl/>
              </w:rPr>
              <w:t>–</w:t>
            </w:r>
          </w:p>
        </w:tc>
      </w:tr>
      <w:tr w:rsidR="00274CC1" w:rsidRPr="0037250A" w14:paraId="07974F31" w14:textId="77777777" w:rsidTr="00E22EE1">
        <w:trPr>
          <w:cantSplit/>
        </w:trPr>
        <w:tc>
          <w:tcPr>
            <w:tcW w:w="1869" w:type="dxa"/>
            <w:tcMar>
              <w:top w:w="91" w:type="dxa"/>
              <w:left w:w="0" w:type="dxa"/>
              <w:bottom w:w="91" w:type="dxa"/>
              <w:right w:w="0" w:type="dxa"/>
            </w:tcMar>
          </w:tcPr>
          <w:p w14:paraId="24A6ABD2"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91A527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1DB258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F3C8F8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15A165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816DBCC"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6FFAE7B0" w14:textId="77777777" w:rsidR="00274CC1" w:rsidRPr="003E3EC4" w:rsidRDefault="00274CC1" w:rsidP="00E22EE1">
            <w:pPr>
              <w:pStyle w:val="TableBlockOutdent"/>
              <w:rPr>
                <w:rFonts w:ascii="David" w:hAnsi="David"/>
                <w:sz w:val="26"/>
                <w:rtl/>
              </w:rPr>
            </w:pPr>
            <w:r w:rsidRPr="003E3EC4">
              <w:rPr>
                <w:rFonts w:ascii="David" w:hAnsi="David" w:hint="cs"/>
                <w:sz w:val="26"/>
                <w:rtl/>
              </w:rPr>
              <w:t xml:space="preserve">"אירוע אזרחי רב־נפגעים </w:t>
            </w:r>
            <w:r>
              <w:rPr>
                <w:rFonts w:ascii="David" w:hAnsi="David" w:hint="eastAsia"/>
                <w:sz w:val="26"/>
                <w:rtl/>
              </w:rPr>
              <w:t>–</w:t>
            </w:r>
            <w:r w:rsidRPr="003E3EC4">
              <w:rPr>
                <w:rFonts w:ascii="David" w:hAnsi="David" w:hint="cs"/>
                <w:sz w:val="26"/>
                <w:rtl/>
              </w:rPr>
              <w:t xml:space="preserve"> כהגדרתו בחוק </w:t>
            </w:r>
            <w:r w:rsidRPr="003E3EC4">
              <w:rPr>
                <w:rFonts w:ascii="David" w:hAnsi="David"/>
                <w:sz w:val="26"/>
                <w:rtl/>
              </w:rPr>
              <w:t>הכללת אמצעי זיהוי ביומטריים ונתוני זיהוי ביומטריים במסמכי זיהוי ובמאגר מידע, התש"ע–2009‏</w:t>
            </w:r>
            <w:r w:rsidRPr="00E22EE1">
              <w:rPr>
                <w:rStyle w:val="a9"/>
                <w:rFonts w:ascii="David" w:hAnsi="David"/>
                <w:sz w:val="26"/>
                <w:rtl/>
              </w:rPr>
              <w:footnoteReference w:id="5"/>
            </w:r>
            <w:r w:rsidRPr="003E3EC4">
              <w:rPr>
                <w:rFonts w:ascii="David" w:hAnsi="David" w:hint="cs"/>
                <w:sz w:val="26"/>
                <w:rtl/>
              </w:rPr>
              <w:t>;</w:t>
            </w:r>
          </w:p>
        </w:tc>
      </w:tr>
      <w:tr w:rsidR="00274CC1" w:rsidRPr="0037250A" w14:paraId="3AA2AD5F" w14:textId="77777777" w:rsidTr="00E22EE1">
        <w:trPr>
          <w:cantSplit/>
        </w:trPr>
        <w:tc>
          <w:tcPr>
            <w:tcW w:w="1869" w:type="dxa"/>
            <w:tcMar>
              <w:top w:w="91" w:type="dxa"/>
              <w:left w:w="0" w:type="dxa"/>
              <w:bottom w:w="91" w:type="dxa"/>
              <w:right w:w="0" w:type="dxa"/>
            </w:tcMar>
          </w:tcPr>
          <w:p w14:paraId="52C5AED7"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04D1561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DE1282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1CDE13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245E9C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F2729D3"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2C7C6104" w14:textId="77777777" w:rsidR="00274CC1" w:rsidRPr="003E3EC4" w:rsidRDefault="00274CC1" w:rsidP="00E22EE1">
            <w:pPr>
              <w:pStyle w:val="TableBlockOutdent"/>
              <w:rPr>
                <w:rFonts w:ascii="David" w:hAnsi="David"/>
                <w:sz w:val="26"/>
                <w:rtl/>
              </w:rPr>
            </w:pPr>
            <w:r w:rsidRPr="003E3EC4">
              <w:rPr>
                <w:rFonts w:ascii="David" w:hAnsi="David"/>
                <w:sz w:val="26"/>
                <w:rtl/>
              </w:rPr>
              <w:t>"דגימה ביולוגית" – לרבות עצמות, שיער, נוזלי גוף, רקמות וסוגי תאים;</w:t>
            </w:r>
          </w:p>
        </w:tc>
      </w:tr>
      <w:tr w:rsidR="00274CC1" w:rsidRPr="0037250A" w14:paraId="3C0CA938" w14:textId="77777777" w:rsidTr="00E22EE1">
        <w:trPr>
          <w:cantSplit/>
        </w:trPr>
        <w:tc>
          <w:tcPr>
            <w:tcW w:w="1869" w:type="dxa"/>
            <w:tcMar>
              <w:top w:w="91" w:type="dxa"/>
              <w:left w:w="0" w:type="dxa"/>
              <w:bottom w:w="91" w:type="dxa"/>
              <w:right w:w="0" w:type="dxa"/>
            </w:tcMar>
          </w:tcPr>
          <w:p w14:paraId="0DE1E3F7"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DF3350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6460D2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873998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5D60D16"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FC0E98C"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16CC70B6"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"ההכרזה על מצב מיוחד בעורף" </w:t>
            </w:r>
            <w:r>
              <w:rPr>
                <w:rFonts w:ascii="David" w:hAnsi="David"/>
                <w:sz w:val="26"/>
                <w:rtl/>
              </w:rPr>
              <w:t>–</w:t>
            </w:r>
            <w:r w:rsidRPr="0037250A">
              <w:rPr>
                <w:rFonts w:ascii="David" w:hAnsi="David"/>
                <w:sz w:val="26"/>
                <w:rtl/>
              </w:rPr>
              <w:t xml:space="preserve"> ההכרזה על מצב מיוחד בעורף כהגדרתו בחוק ההתגוננות האזרחית, התשי"א</w:t>
            </w:r>
            <w:r>
              <w:rPr>
                <w:rFonts w:ascii="David" w:hAnsi="David"/>
                <w:sz w:val="26"/>
                <w:rtl/>
              </w:rPr>
              <w:t>–</w:t>
            </w:r>
            <w:r w:rsidRPr="0037250A">
              <w:rPr>
                <w:rFonts w:ascii="David" w:hAnsi="David"/>
                <w:sz w:val="26"/>
                <w:rtl/>
              </w:rPr>
              <w:t>1951, מיום כ"ב בתשרי התשפ"ד (7 באוקטובר 2023);</w:t>
            </w:r>
          </w:p>
        </w:tc>
      </w:tr>
      <w:tr w:rsidR="00274CC1" w:rsidRPr="0037250A" w14:paraId="45213007" w14:textId="77777777" w:rsidTr="00E22EE1">
        <w:trPr>
          <w:cantSplit/>
        </w:trPr>
        <w:tc>
          <w:tcPr>
            <w:tcW w:w="1869" w:type="dxa"/>
            <w:tcMar>
              <w:top w:w="91" w:type="dxa"/>
              <w:left w:w="0" w:type="dxa"/>
              <w:bottom w:w="91" w:type="dxa"/>
              <w:right w:w="0" w:type="dxa"/>
            </w:tcMar>
          </w:tcPr>
          <w:p w14:paraId="4CC49E89"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E02DBC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EB5BA8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CC2B6F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4F1483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76B5752"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5C019E42"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"מידע ביומטרי" </w:t>
            </w:r>
            <w:r>
              <w:rPr>
                <w:rFonts w:ascii="David" w:hAnsi="David"/>
                <w:sz w:val="26"/>
                <w:rtl/>
              </w:rPr>
              <w:t>–</w:t>
            </w:r>
            <w:r w:rsidRPr="0037250A">
              <w:rPr>
                <w:rFonts w:ascii="David" w:hAnsi="David"/>
                <w:sz w:val="26"/>
                <w:rtl/>
              </w:rPr>
              <w:t xml:space="preserve"> תצלום וכן טביעת אצבעות, לרבות טביעות כף יד;</w:t>
            </w:r>
          </w:p>
        </w:tc>
      </w:tr>
      <w:tr w:rsidR="00274CC1" w:rsidRPr="0037250A" w14:paraId="2A829452" w14:textId="77777777" w:rsidTr="00E22EE1">
        <w:trPr>
          <w:cantSplit/>
        </w:trPr>
        <w:tc>
          <w:tcPr>
            <w:tcW w:w="1869" w:type="dxa"/>
            <w:tcMar>
              <w:top w:w="91" w:type="dxa"/>
              <w:left w:w="0" w:type="dxa"/>
              <w:bottom w:w="91" w:type="dxa"/>
              <w:right w:w="0" w:type="dxa"/>
            </w:tcMar>
          </w:tcPr>
          <w:p w14:paraId="253C6585"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90F652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EA847BB"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8D4C47A"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582336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EFA7092"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48BD8ACC"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"מידע גנטי" </w:t>
            </w:r>
            <w:r>
              <w:rPr>
                <w:rFonts w:ascii="David" w:hAnsi="David"/>
                <w:sz w:val="26"/>
                <w:rtl/>
              </w:rPr>
              <w:t>–</w:t>
            </w:r>
            <w:r w:rsidRPr="0037250A">
              <w:rPr>
                <w:rFonts w:ascii="David" w:hAnsi="David"/>
                <w:sz w:val="26"/>
                <w:rtl/>
              </w:rPr>
              <w:t xml:space="preserve"> כהגדרתו בחוק מידע גנטי, התשס"א</w:t>
            </w:r>
            <w:r>
              <w:rPr>
                <w:rFonts w:ascii="David" w:hAnsi="David"/>
                <w:sz w:val="26"/>
                <w:rtl/>
              </w:rPr>
              <w:t>–</w:t>
            </w:r>
            <w:r w:rsidRPr="0037250A">
              <w:rPr>
                <w:rFonts w:ascii="David" w:hAnsi="David"/>
                <w:sz w:val="26"/>
                <w:rtl/>
              </w:rPr>
              <w:t>2000‏</w:t>
            </w:r>
            <w:r w:rsidRPr="00E22EE1">
              <w:rPr>
                <w:rStyle w:val="a9"/>
                <w:rFonts w:ascii="David" w:hAnsi="David"/>
                <w:sz w:val="26"/>
                <w:rtl/>
              </w:rPr>
              <w:footnoteReference w:id="6"/>
            </w:r>
            <w:r w:rsidRPr="0037250A">
              <w:rPr>
                <w:rFonts w:ascii="David" w:hAnsi="David"/>
                <w:sz w:val="26"/>
                <w:rtl/>
              </w:rPr>
              <w:t>;</w:t>
            </w:r>
          </w:p>
        </w:tc>
      </w:tr>
      <w:tr w:rsidR="00274CC1" w:rsidRPr="0037250A" w14:paraId="400AE4E1" w14:textId="77777777" w:rsidTr="00E22EE1">
        <w:trPr>
          <w:cantSplit/>
        </w:trPr>
        <w:tc>
          <w:tcPr>
            <w:tcW w:w="1869" w:type="dxa"/>
            <w:tcMar>
              <w:top w:w="91" w:type="dxa"/>
              <w:left w:w="0" w:type="dxa"/>
              <w:bottom w:w="91" w:type="dxa"/>
              <w:right w:w="0" w:type="dxa"/>
            </w:tcMar>
          </w:tcPr>
          <w:p w14:paraId="6E80C9F4"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DD0905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53F7AB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F54393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D22DDC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DA3C283"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7E69E88A"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"מידע רפואי" </w:t>
            </w:r>
            <w:r>
              <w:rPr>
                <w:rFonts w:ascii="David" w:hAnsi="David"/>
                <w:sz w:val="26"/>
                <w:rtl/>
              </w:rPr>
              <w:t>–</w:t>
            </w:r>
            <w:r w:rsidRPr="0037250A">
              <w:rPr>
                <w:rFonts w:ascii="David" w:hAnsi="David"/>
                <w:sz w:val="26"/>
                <w:rtl/>
              </w:rPr>
              <w:t xml:space="preserve"> כהגדרתו בחוק זכויות החולה, התשנ"ו</w:t>
            </w:r>
            <w:r>
              <w:rPr>
                <w:rFonts w:ascii="David" w:hAnsi="David"/>
                <w:sz w:val="26"/>
                <w:rtl/>
              </w:rPr>
              <w:t>–</w:t>
            </w:r>
            <w:r w:rsidRPr="0037250A">
              <w:rPr>
                <w:rFonts w:ascii="David" w:hAnsi="David"/>
                <w:sz w:val="26"/>
                <w:rtl/>
              </w:rPr>
              <w:t>1996‏</w:t>
            </w:r>
            <w:r w:rsidRPr="00E22EE1">
              <w:rPr>
                <w:rStyle w:val="a9"/>
                <w:rFonts w:ascii="David" w:hAnsi="David"/>
                <w:sz w:val="26"/>
                <w:rtl/>
              </w:rPr>
              <w:footnoteReference w:id="7"/>
            </w:r>
            <w:r w:rsidRPr="0037250A">
              <w:rPr>
                <w:rFonts w:ascii="David" w:hAnsi="David"/>
                <w:sz w:val="26"/>
                <w:rtl/>
              </w:rPr>
              <w:t>;</w:t>
            </w:r>
          </w:p>
        </w:tc>
      </w:tr>
      <w:tr w:rsidR="00274CC1" w:rsidRPr="0037250A" w14:paraId="7D0CF946" w14:textId="77777777" w:rsidTr="00E22EE1">
        <w:trPr>
          <w:cantSplit/>
        </w:trPr>
        <w:tc>
          <w:tcPr>
            <w:tcW w:w="1869" w:type="dxa"/>
            <w:tcMar>
              <w:top w:w="91" w:type="dxa"/>
              <w:left w:w="0" w:type="dxa"/>
              <w:bottom w:w="91" w:type="dxa"/>
              <w:right w:w="0" w:type="dxa"/>
            </w:tcMar>
          </w:tcPr>
          <w:p w14:paraId="7CFB5132"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066D39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3D10FF8"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65E601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D98C7F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93B38DF"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2001B86D"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"מסמך" </w:t>
            </w:r>
            <w:r>
              <w:rPr>
                <w:rFonts w:ascii="David" w:hAnsi="David"/>
                <w:sz w:val="26"/>
                <w:rtl/>
              </w:rPr>
              <w:t>–</w:t>
            </w:r>
            <w:r w:rsidRPr="0037250A">
              <w:rPr>
                <w:rFonts w:ascii="David" w:hAnsi="David"/>
                <w:sz w:val="26"/>
                <w:rtl/>
              </w:rPr>
              <w:t xml:space="preserve"> לרבות פלט כהגדרתו בחוק המחשבים, התשנ"ה</w:t>
            </w:r>
            <w:r>
              <w:rPr>
                <w:rFonts w:ascii="David" w:hAnsi="David"/>
                <w:sz w:val="26"/>
                <w:rtl/>
              </w:rPr>
              <w:t>–</w:t>
            </w:r>
            <w:r w:rsidRPr="0037250A">
              <w:rPr>
                <w:rFonts w:ascii="David" w:hAnsi="David"/>
                <w:sz w:val="26"/>
                <w:rtl/>
              </w:rPr>
              <w:t>1995‏</w:t>
            </w:r>
            <w:r w:rsidRPr="00E22EE1">
              <w:rPr>
                <w:rStyle w:val="a9"/>
                <w:rFonts w:ascii="David" w:hAnsi="David"/>
                <w:sz w:val="26"/>
                <w:rtl/>
              </w:rPr>
              <w:footnoteReference w:id="8"/>
            </w:r>
            <w:r w:rsidRPr="0037250A">
              <w:rPr>
                <w:rFonts w:ascii="David" w:hAnsi="David"/>
                <w:sz w:val="26"/>
                <w:rtl/>
              </w:rPr>
              <w:t>;</w:t>
            </w:r>
          </w:p>
        </w:tc>
      </w:tr>
      <w:tr w:rsidR="00274CC1" w:rsidRPr="0037250A" w14:paraId="04F92482" w14:textId="77777777" w:rsidTr="00E22EE1">
        <w:trPr>
          <w:cantSplit/>
        </w:trPr>
        <w:tc>
          <w:tcPr>
            <w:tcW w:w="1869" w:type="dxa"/>
            <w:tcMar>
              <w:top w:w="91" w:type="dxa"/>
              <w:left w:w="0" w:type="dxa"/>
              <w:bottom w:w="91" w:type="dxa"/>
              <w:right w:w="0" w:type="dxa"/>
            </w:tcMar>
          </w:tcPr>
          <w:p w14:paraId="75C3DDCD"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620E68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7398A69"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57FBA3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0184C5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F357674"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310E199B"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"פעולות האיבה או פעולות המלחמה" </w:t>
            </w:r>
            <w:r>
              <w:rPr>
                <w:rFonts w:ascii="David" w:hAnsi="David"/>
                <w:sz w:val="26"/>
                <w:rtl/>
              </w:rPr>
              <w:t>–</w:t>
            </w:r>
            <w:r w:rsidRPr="0037250A">
              <w:rPr>
                <w:rFonts w:ascii="David" w:hAnsi="David"/>
                <w:sz w:val="26"/>
                <w:rtl/>
              </w:rPr>
              <w:t xml:space="preserve"> פעולות האיבה או פעולות המלחמה, שאירעו בתקופה שמיום כ"ב בתשרי התשפ"ד (7 באוקטובר </w:t>
            </w:r>
            <w:r>
              <w:rPr>
                <w:rFonts w:ascii="David" w:hAnsi="David" w:hint="cs"/>
                <w:sz w:val="26"/>
                <w:rtl/>
              </w:rPr>
              <w:t>2023</w:t>
            </w:r>
            <w:r w:rsidRPr="0037250A">
              <w:rPr>
                <w:rFonts w:ascii="David" w:hAnsi="David"/>
                <w:sz w:val="26"/>
                <w:rtl/>
              </w:rPr>
              <w:t>) עד תום תקופת תוקפה של ההכרזה על מצב מיוחד בעורף או עד תום הפעולות הצבאיות המשמעותיות, לפי המאוחר;</w:t>
            </w:r>
          </w:p>
        </w:tc>
      </w:tr>
      <w:tr w:rsidR="00274CC1" w:rsidRPr="0037250A" w14:paraId="5BBA0CCC" w14:textId="77777777" w:rsidTr="00E22EE1">
        <w:trPr>
          <w:cantSplit/>
        </w:trPr>
        <w:tc>
          <w:tcPr>
            <w:tcW w:w="1869" w:type="dxa"/>
            <w:tcMar>
              <w:top w:w="91" w:type="dxa"/>
              <w:left w:w="0" w:type="dxa"/>
              <w:bottom w:w="91" w:type="dxa"/>
              <w:right w:w="0" w:type="dxa"/>
            </w:tcMar>
          </w:tcPr>
          <w:p w14:paraId="64FA307E"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D23447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D074CC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1C1907FF"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75480C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FDE1708" w14:textId="77777777" w:rsidR="00274CC1" w:rsidRPr="0037250A" w:rsidRDefault="00274CC1" w:rsidP="001E0F7C">
            <w:pPr>
              <w:pStyle w:val="TableText"/>
              <w:jc w:val="both"/>
              <w:rPr>
                <w:rFonts w:ascii="David" w:hAnsi="David"/>
                <w:sz w:val="26"/>
                <w:rtl/>
              </w:rPr>
            </w:pPr>
          </w:p>
        </w:tc>
        <w:tc>
          <w:tcPr>
            <w:tcW w:w="4647" w:type="dxa"/>
            <w:gridSpan w:val="2"/>
            <w:tcMar>
              <w:top w:w="91" w:type="dxa"/>
              <w:left w:w="0" w:type="dxa"/>
              <w:bottom w:w="91" w:type="dxa"/>
              <w:right w:w="0" w:type="dxa"/>
            </w:tcMar>
          </w:tcPr>
          <w:p w14:paraId="16267097" w14:textId="2C64DF62" w:rsidR="00274CC1" w:rsidRPr="0037250A" w:rsidRDefault="00274CC1" w:rsidP="0061777E">
            <w:pPr>
              <w:pStyle w:val="TableBlockOutdent"/>
              <w:rPr>
                <w:rFonts w:ascii="David" w:hAnsi="David"/>
                <w:sz w:val="26"/>
                <w:rtl/>
              </w:rPr>
            </w:pPr>
            <w:r w:rsidRPr="0037250A">
              <w:rPr>
                <w:rFonts w:ascii="David" w:hAnsi="David"/>
                <w:sz w:val="26"/>
                <w:rtl/>
              </w:rPr>
              <w:t xml:space="preserve">"הפעולות הצבאיות המשמעותיות" </w:t>
            </w:r>
            <w:r>
              <w:rPr>
                <w:rFonts w:ascii="David" w:hAnsi="David"/>
                <w:sz w:val="26"/>
                <w:rtl/>
              </w:rPr>
              <w:t>–</w:t>
            </w:r>
            <w:r w:rsidRPr="0037250A">
              <w:rPr>
                <w:rFonts w:ascii="David" w:hAnsi="David"/>
                <w:sz w:val="26"/>
                <w:rtl/>
              </w:rPr>
              <w:t xml:space="preserve"> הפעולות הצבאיות המשמעותיות שעליהן החליטה ועדת השרים לענייני ביטחון לאומי לפי סעיף 40 לחוק־יסוד: הממשלה,</w:t>
            </w:r>
            <w:r w:rsidRPr="0037250A">
              <w:rPr>
                <w:rFonts w:ascii="David" w:hAnsi="David"/>
                <w:sz w:val="26"/>
                <w:vertAlign w:val="superscript"/>
                <w:rtl/>
              </w:rPr>
              <w:t xml:space="preserve"> </w:t>
            </w:r>
            <w:r w:rsidRPr="0037250A">
              <w:rPr>
                <w:rFonts w:ascii="David" w:hAnsi="David"/>
                <w:sz w:val="26"/>
                <w:rtl/>
              </w:rPr>
              <w:t>והודיעה לגביהן לוועדת החוץ והביטחון של הכנסת ביום כ"</w:t>
            </w:r>
            <w:r>
              <w:rPr>
                <w:rFonts w:ascii="David" w:hAnsi="David" w:hint="cs"/>
                <w:sz w:val="26"/>
                <w:rtl/>
              </w:rPr>
              <w:t xml:space="preserve">ג </w:t>
            </w:r>
            <w:r w:rsidRPr="0037250A">
              <w:rPr>
                <w:rFonts w:ascii="David" w:hAnsi="David"/>
                <w:sz w:val="26"/>
                <w:rtl/>
              </w:rPr>
              <w:t>בתשרי התשפ"ד (</w:t>
            </w:r>
            <w:r>
              <w:rPr>
                <w:rFonts w:ascii="David" w:hAnsi="David" w:hint="cs"/>
                <w:sz w:val="26"/>
                <w:rtl/>
              </w:rPr>
              <w:t>8</w:t>
            </w:r>
            <w:r w:rsidRPr="0037250A">
              <w:rPr>
                <w:rFonts w:ascii="David" w:hAnsi="David"/>
                <w:sz w:val="26"/>
                <w:rtl/>
              </w:rPr>
              <w:t xml:space="preserve"> באוקטובר 2023)."</w:t>
            </w:r>
          </w:p>
        </w:tc>
      </w:tr>
      <w:tr w:rsidR="00274CC1" w:rsidRPr="0037250A" w14:paraId="750F1BC9" w14:textId="77777777" w:rsidTr="00E22EE1">
        <w:trPr>
          <w:cantSplit/>
        </w:trPr>
        <w:tc>
          <w:tcPr>
            <w:tcW w:w="1869" w:type="dxa"/>
          </w:tcPr>
          <w:p w14:paraId="0B89D3F1" w14:textId="77777777" w:rsidR="00274CC1" w:rsidRPr="0037250A" w:rsidRDefault="00274CC1" w:rsidP="001E0F7C">
            <w:pPr>
              <w:pStyle w:val="TableSideHeading"/>
              <w:outlineLvl w:val="9"/>
              <w:rPr>
                <w:rFonts w:ascii="David" w:hAnsi="David"/>
                <w:sz w:val="26"/>
                <w:rtl/>
              </w:rPr>
            </w:pPr>
            <w:r w:rsidRPr="0037250A">
              <w:rPr>
                <w:rFonts w:ascii="David" w:hAnsi="David"/>
                <w:sz w:val="26"/>
                <w:rtl/>
              </w:rPr>
              <w:t>סמכות דרישת ידיעות ומסמכים לצבא</w:t>
            </w:r>
            <w:r>
              <w:rPr>
                <w:rFonts w:ascii="David" w:hAnsi="David" w:hint="cs"/>
                <w:sz w:val="26"/>
                <w:rtl/>
              </w:rPr>
              <w:t xml:space="preserve"> </w:t>
            </w:r>
            <w:r w:rsidRPr="0037250A">
              <w:rPr>
                <w:rFonts w:ascii="David" w:hAnsi="David"/>
                <w:sz w:val="26"/>
                <w:rtl/>
              </w:rPr>
              <w:t xml:space="preserve">הגנה לישראל </w:t>
            </w:r>
            <w:r>
              <w:rPr>
                <w:rFonts w:ascii="David" w:hAnsi="David"/>
                <w:sz w:val="26"/>
                <w:rtl/>
              </w:rPr>
              <w:t>–</w:t>
            </w:r>
            <w:r w:rsidRPr="0037250A">
              <w:rPr>
                <w:rFonts w:ascii="David" w:hAnsi="David"/>
                <w:sz w:val="26"/>
                <w:rtl/>
              </w:rPr>
              <w:t xml:space="preserve"> חרבות ברזל </w:t>
            </w:r>
            <w:r>
              <w:rPr>
                <w:rFonts w:ascii="David" w:hAnsi="David"/>
                <w:sz w:val="26"/>
                <w:rtl/>
              </w:rPr>
              <w:t>–</w:t>
            </w:r>
            <w:r w:rsidRPr="0037250A">
              <w:rPr>
                <w:rFonts w:ascii="David" w:hAnsi="David"/>
                <w:sz w:val="26"/>
                <w:rtl/>
              </w:rPr>
              <w:t xml:space="preserve"> הוראת שעה</w:t>
            </w:r>
          </w:p>
        </w:tc>
        <w:tc>
          <w:tcPr>
            <w:tcW w:w="624" w:type="dxa"/>
            <w:tcMar>
              <w:top w:w="91" w:type="dxa"/>
              <w:left w:w="0" w:type="dxa"/>
              <w:bottom w:w="91" w:type="dxa"/>
              <w:right w:w="0" w:type="dxa"/>
            </w:tcMar>
          </w:tcPr>
          <w:p w14:paraId="41947242" w14:textId="77777777" w:rsidR="00274CC1" w:rsidRPr="0037250A" w:rsidRDefault="00274CC1" w:rsidP="001E0F7C">
            <w:pPr>
              <w:pStyle w:val="TableText"/>
              <w:jc w:val="both"/>
              <w:rPr>
                <w:rFonts w:ascii="David" w:hAnsi="David"/>
                <w:sz w:val="26"/>
                <w:rtl/>
              </w:rPr>
            </w:pPr>
            <w:r w:rsidRPr="0037250A">
              <w:rPr>
                <w:rFonts w:ascii="David" w:hAnsi="David"/>
                <w:sz w:val="26"/>
                <w:rtl/>
              </w:rPr>
              <w:t>3.</w:t>
            </w:r>
          </w:p>
        </w:tc>
        <w:tc>
          <w:tcPr>
            <w:tcW w:w="7143" w:type="dxa"/>
            <w:gridSpan w:val="6"/>
            <w:tcMar>
              <w:top w:w="91" w:type="dxa"/>
              <w:left w:w="0" w:type="dxa"/>
              <w:bottom w:w="91" w:type="dxa"/>
              <w:right w:w="0" w:type="dxa"/>
            </w:tcMar>
          </w:tcPr>
          <w:p w14:paraId="76F0202B" w14:textId="77777777" w:rsidR="00274CC1" w:rsidRPr="0037250A" w:rsidRDefault="00274CC1" w:rsidP="00E22EE1">
            <w:pPr>
              <w:pStyle w:val="TableBlock"/>
              <w:rPr>
                <w:rFonts w:ascii="David" w:hAnsi="David"/>
                <w:sz w:val="26"/>
                <w:rtl/>
              </w:rPr>
            </w:pPr>
            <w:r w:rsidRPr="0037250A">
              <w:rPr>
                <w:rFonts w:ascii="David" w:hAnsi="David"/>
                <w:sz w:val="26"/>
                <w:rtl/>
              </w:rPr>
              <w:t>(א)</w:t>
            </w:r>
            <w:r w:rsidRPr="0037250A">
              <w:rPr>
                <w:rFonts w:ascii="David" w:hAnsi="David"/>
                <w:sz w:val="26"/>
                <w:rtl/>
              </w:rPr>
              <w:tab/>
            </w:r>
            <w:r>
              <w:rPr>
                <w:rFonts w:ascii="David" w:hAnsi="David" w:hint="cs"/>
                <w:sz w:val="26"/>
                <w:rtl/>
              </w:rPr>
              <w:t>ב</w:t>
            </w:r>
            <w:r w:rsidRPr="0037250A">
              <w:rPr>
                <w:rFonts w:ascii="David" w:hAnsi="David"/>
                <w:sz w:val="26"/>
                <w:rtl/>
              </w:rPr>
              <w:t xml:space="preserve">תקופת תוקפו של סעיף זה, כאמור בסעיף 4 </w:t>
            </w:r>
            <w:r>
              <w:rPr>
                <w:rFonts w:ascii="David" w:hAnsi="David" w:hint="cs"/>
                <w:sz w:val="26"/>
                <w:rtl/>
              </w:rPr>
              <w:t xml:space="preserve">, </w:t>
            </w:r>
            <w:r w:rsidRPr="0037250A">
              <w:rPr>
                <w:rFonts w:ascii="David" w:hAnsi="David"/>
                <w:sz w:val="26"/>
                <w:rtl/>
              </w:rPr>
              <w:t xml:space="preserve">לצורך איתור נעדר שיש חשש שהוא מוחזק בידי כוחות אויב בשל פעולות האיבה או פעולות המלחמה, רשאי קצין </w:t>
            </w:r>
            <w:r>
              <w:rPr>
                <w:rFonts w:ascii="David" w:hAnsi="David" w:hint="cs"/>
                <w:sz w:val="26"/>
                <w:rtl/>
              </w:rPr>
              <w:t>בצבא הגנה לישראל ש</w:t>
            </w:r>
            <w:r w:rsidRPr="0037250A">
              <w:rPr>
                <w:rFonts w:ascii="David" w:hAnsi="David"/>
                <w:sz w:val="26"/>
                <w:rtl/>
              </w:rPr>
              <w:t xml:space="preserve">קצין בדרגת סגן־אלוף </w:t>
            </w:r>
            <w:r>
              <w:rPr>
                <w:rFonts w:ascii="David" w:hAnsi="David" w:hint="cs"/>
                <w:sz w:val="26"/>
                <w:rtl/>
              </w:rPr>
              <w:t xml:space="preserve">הסמיך לכך </w:t>
            </w:r>
            <w:r w:rsidRPr="0037250A">
              <w:rPr>
                <w:rFonts w:ascii="David" w:hAnsi="David"/>
                <w:sz w:val="26"/>
                <w:rtl/>
              </w:rPr>
              <w:t xml:space="preserve">לדרוש מכל אדם הנוגע בדבר למסור לו כל ידיעה או מסמך, לרבות מידע ביומטרי ונתוני זיהוי שהופקו מהם, מידע רפואי, מידע גנטי ודגימה ביולוגית (בסעיף זה </w:t>
            </w:r>
            <w:r>
              <w:rPr>
                <w:rFonts w:ascii="David" w:hAnsi="David"/>
                <w:sz w:val="26"/>
                <w:rtl/>
              </w:rPr>
              <w:t>–</w:t>
            </w:r>
            <w:r w:rsidRPr="0037250A">
              <w:rPr>
                <w:rFonts w:ascii="David" w:hAnsi="David"/>
                <w:sz w:val="26"/>
                <w:rtl/>
              </w:rPr>
              <w:t xml:space="preserve"> מידע), אם </w:t>
            </w:r>
            <w:r>
              <w:rPr>
                <w:rFonts w:ascii="David" w:hAnsi="David" w:hint="cs"/>
                <w:sz w:val="26"/>
                <w:rtl/>
              </w:rPr>
              <w:t xml:space="preserve">שוכנע </w:t>
            </w:r>
            <w:r w:rsidRPr="0037250A">
              <w:rPr>
                <w:rFonts w:ascii="David" w:hAnsi="David"/>
                <w:sz w:val="26"/>
                <w:rtl/>
              </w:rPr>
              <w:t>קצין בדרגת סגן־אלוף כי התקיימו כל אלה:</w:t>
            </w:r>
          </w:p>
        </w:tc>
      </w:tr>
      <w:tr w:rsidR="00274CC1" w:rsidRPr="0037250A" w14:paraId="1E3D7C1B" w14:textId="77777777" w:rsidTr="00E22EE1">
        <w:trPr>
          <w:cantSplit/>
        </w:trPr>
        <w:tc>
          <w:tcPr>
            <w:tcW w:w="1869" w:type="dxa"/>
            <w:tcMar>
              <w:top w:w="91" w:type="dxa"/>
              <w:left w:w="0" w:type="dxa"/>
              <w:bottom w:w="91" w:type="dxa"/>
              <w:right w:w="0" w:type="dxa"/>
            </w:tcMar>
          </w:tcPr>
          <w:p w14:paraId="5FA9EC1F"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4D45614"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0F6F790"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0D840EEE"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הידיעה או המסמך מתייחסים במישרין לנעדר כאמור ברישה והם דרושים לאיתור הנעדר כאמור;</w:t>
            </w:r>
          </w:p>
        </w:tc>
      </w:tr>
      <w:tr w:rsidR="00274CC1" w:rsidRPr="0037250A" w14:paraId="0E0F06FF" w14:textId="77777777" w:rsidTr="00E22EE1">
        <w:trPr>
          <w:cantSplit/>
        </w:trPr>
        <w:tc>
          <w:tcPr>
            <w:tcW w:w="1869" w:type="dxa"/>
            <w:tcMar>
              <w:top w:w="91" w:type="dxa"/>
              <w:left w:w="0" w:type="dxa"/>
              <w:bottom w:w="91" w:type="dxa"/>
              <w:right w:w="0" w:type="dxa"/>
            </w:tcMar>
          </w:tcPr>
          <w:p w14:paraId="37CEE1C3"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6B7DA6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6422564"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52A138DB" w14:textId="77777777" w:rsidR="00274CC1" w:rsidRPr="0037250A" w:rsidRDefault="00274CC1" w:rsidP="00E22EE1">
            <w:pPr>
              <w:pStyle w:val="TableBlock"/>
              <w:rPr>
                <w:rFonts w:ascii="David" w:hAnsi="David"/>
                <w:sz w:val="26"/>
                <w:rtl/>
              </w:rPr>
            </w:pPr>
            <w:r w:rsidRPr="0037250A">
              <w:rPr>
                <w:rFonts w:ascii="David" w:hAnsi="David"/>
                <w:sz w:val="26"/>
                <w:rtl/>
              </w:rPr>
              <w:t>(2)</w:t>
            </w:r>
            <w:r w:rsidRPr="0037250A">
              <w:rPr>
                <w:rFonts w:ascii="David" w:hAnsi="David"/>
                <w:sz w:val="26"/>
                <w:rtl/>
              </w:rPr>
              <w:tab/>
              <w:t xml:space="preserve">לא ניתן להשיג את הידיעה או המסמך או את המידע הגלום בהם </w:t>
            </w:r>
            <w:r>
              <w:rPr>
                <w:rFonts w:ascii="David" w:hAnsi="David" w:hint="cs"/>
                <w:sz w:val="26"/>
                <w:rtl/>
              </w:rPr>
              <w:t>בדחיפות הנחוצה</w:t>
            </w:r>
            <w:r>
              <w:rPr>
                <w:rFonts w:ascii="David" w:hAnsi="David"/>
                <w:sz w:val="26"/>
                <w:rtl/>
              </w:rPr>
              <w:t xml:space="preserve"> ממקור אחר שממנו רשאי צבא</w:t>
            </w:r>
            <w:r>
              <w:rPr>
                <w:rFonts w:ascii="David" w:hAnsi="David" w:hint="cs"/>
                <w:sz w:val="26"/>
                <w:rtl/>
              </w:rPr>
              <w:t xml:space="preserve"> </w:t>
            </w:r>
            <w:r w:rsidRPr="0037250A">
              <w:rPr>
                <w:rFonts w:ascii="David" w:hAnsi="David"/>
                <w:sz w:val="26"/>
                <w:rtl/>
              </w:rPr>
              <w:t>הגנה לישראל לקבל מידע.</w:t>
            </w:r>
          </w:p>
        </w:tc>
      </w:tr>
      <w:tr w:rsidR="00274CC1" w:rsidRPr="0037250A" w14:paraId="12DF608F" w14:textId="77777777" w:rsidTr="00E22EE1">
        <w:trPr>
          <w:cantSplit/>
        </w:trPr>
        <w:tc>
          <w:tcPr>
            <w:tcW w:w="1869" w:type="dxa"/>
            <w:tcMar>
              <w:top w:w="91" w:type="dxa"/>
              <w:left w:w="0" w:type="dxa"/>
              <w:bottom w:w="91" w:type="dxa"/>
              <w:right w:w="0" w:type="dxa"/>
            </w:tcMar>
          </w:tcPr>
          <w:p w14:paraId="718C2B84"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96E60B7"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0A810667" w14:textId="77777777" w:rsidR="00274CC1" w:rsidRPr="0037250A" w:rsidRDefault="00274CC1" w:rsidP="00E22EE1">
            <w:pPr>
              <w:pStyle w:val="TableBlock"/>
              <w:rPr>
                <w:rFonts w:ascii="David" w:hAnsi="David"/>
                <w:sz w:val="26"/>
                <w:rtl/>
              </w:rPr>
            </w:pPr>
            <w:r w:rsidRPr="0037250A">
              <w:rPr>
                <w:rFonts w:ascii="David" w:hAnsi="David"/>
                <w:sz w:val="26"/>
                <w:rtl/>
              </w:rPr>
              <w:t>(ב)</w:t>
            </w:r>
            <w:r w:rsidRPr="0037250A">
              <w:rPr>
                <w:rFonts w:ascii="David" w:hAnsi="David"/>
                <w:sz w:val="26"/>
                <w:rtl/>
              </w:rPr>
              <w:tab/>
            </w:r>
            <w:r w:rsidRPr="003E3EC4">
              <w:rPr>
                <w:rFonts w:ascii="David" w:hAnsi="David"/>
                <w:sz w:val="26"/>
                <w:rtl/>
              </w:rPr>
              <w:t>בהפעלת הסמכות על פי סעיף קטן (א) רשאי צבא</w:t>
            </w:r>
            <w:r w:rsidRPr="003E3EC4">
              <w:rPr>
                <w:rFonts w:ascii="David" w:hAnsi="David" w:hint="cs"/>
                <w:sz w:val="26"/>
                <w:rtl/>
              </w:rPr>
              <w:t xml:space="preserve"> </w:t>
            </w:r>
            <w:r w:rsidRPr="003E3EC4">
              <w:rPr>
                <w:rFonts w:ascii="David" w:hAnsi="David"/>
                <w:sz w:val="26"/>
                <w:rtl/>
              </w:rPr>
              <w:t>הגנה לישראל</w:t>
            </w:r>
            <w:r>
              <w:rPr>
                <w:rFonts w:ascii="David" w:hAnsi="David" w:hint="cs"/>
                <w:sz w:val="26"/>
                <w:rtl/>
              </w:rPr>
              <w:t xml:space="preserve"> </w:t>
            </w:r>
            <w:r w:rsidRPr="003E3EC4">
              <w:rPr>
                <w:rFonts w:ascii="David" w:hAnsi="David"/>
                <w:sz w:val="26"/>
                <w:rtl/>
              </w:rPr>
              <w:t>להסתייע בכל אדם</w:t>
            </w:r>
            <w:r w:rsidRPr="0037250A">
              <w:rPr>
                <w:rFonts w:ascii="David" w:hAnsi="David"/>
                <w:sz w:val="26"/>
                <w:rtl/>
              </w:rPr>
              <w:t>, ובכלל זה באדם מטעם משרד הבריאות.</w:t>
            </w:r>
          </w:p>
        </w:tc>
      </w:tr>
      <w:tr w:rsidR="00274CC1" w:rsidRPr="0037250A" w14:paraId="52A150C6" w14:textId="77777777" w:rsidTr="00E22EE1">
        <w:trPr>
          <w:cantSplit/>
        </w:trPr>
        <w:tc>
          <w:tcPr>
            <w:tcW w:w="1869" w:type="dxa"/>
            <w:tcMar>
              <w:top w:w="91" w:type="dxa"/>
              <w:left w:w="0" w:type="dxa"/>
              <w:bottom w:w="91" w:type="dxa"/>
              <w:right w:w="0" w:type="dxa"/>
            </w:tcMar>
          </w:tcPr>
          <w:p w14:paraId="1E87F7D6"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13B94D2"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45C93273" w14:textId="77777777" w:rsidR="00274CC1" w:rsidRPr="0037250A" w:rsidRDefault="00274CC1" w:rsidP="00E22EE1">
            <w:pPr>
              <w:pStyle w:val="TableBlock"/>
              <w:rPr>
                <w:rFonts w:ascii="David" w:hAnsi="David"/>
                <w:sz w:val="26"/>
                <w:rtl/>
              </w:rPr>
            </w:pPr>
            <w:r w:rsidRPr="0037250A">
              <w:rPr>
                <w:rFonts w:ascii="David" w:hAnsi="David"/>
                <w:sz w:val="26"/>
                <w:rtl/>
              </w:rPr>
              <w:t>(ג)</w:t>
            </w:r>
            <w:r w:rsidRPr="0037250A">
              <w:rPr>
                <w:rFonts w:ascii="David" w:hAnsi="David"/>
                <w:sz w:val="26"/>
                <w:rtl/>
              </w:rPr>
              <w:tab/>
              <w:t>אדם שהגיע אליו מידע לפי סעיף זה ישמור אותו בסוד, לא יגלה אותו לאחר ולא יעשה בו כל שימוש, אלא לצורך אימות או בירור זהותו של אדם, לרבות גופה, שזהותו אינה ידועה או מוטלת בספק, ולצורך איתור נעדר או שבוי והכול אם הם נדרשים בשל פעולות האיבה או פעולות המלחמה.</w:t>
            </w:r>
          </w:p>
        </w:tc>
      </w:tr>
      <w:tr w:rsidR="00274CC1" w:rsidRPr="0037250A" w14:paraId="77327843" w14:textId="77777777" w:rsidTr="00E22EE1">
        <w:trPr>
          <w:cantSplit/>
        </w:trPr>
        <w:tc>
          <w:tcPr>
            <w:tcW w:w="1869" w:type="dxa"/>
            <w:tcMar>
              <w:top w:w="91" w:type="dxa"/>
              <w:left w:w="0" w:type="dxa"/>
              <w:bottom w:w="91" w:type="dxa"/>
              <w:right w:w="0" w:type="dxa"/>
            </w:tcMar>
          </w:tcPr>
          <w:p w14:paraId="11A4A475"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445DEE3"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3784A81F" w14:textId="77777777" w:rsidR="00274CC1" w:rsidRPr="0037250A" w:rsidRDefault="00274CC1" w:rsidP="00E22EE1">
            <w:pPr>
              <w:pStyle w:val="TableBlock"/>
              <w:rPr>
                <w:rFonts w:ascii="David" w:hAnsi="David"/>
                <w:sz w:val="26"/>
                <w:rtl/>
              </w:rPr>
            </w:pPr>
            <w:r w:rsidRPr="0037250A">
              <w:rPr>
                <w:rFonts w:ascii="David" w:hAnsi="David"/>
                <w:sz w:val="26"/>
                <w:rtl/>
              </w:rPr>
              <w:t>(ד)</w:t>
            </w:r>
            <w:r w:rsidRPr="0037250A">
              <w:rPr>
                <w:rFonts w:ascii="David" w:hAnsi="David"/>
                <w:sz w:val="26"/>
                <w:rtl/>
              </w:rPr>
              <w:tab/>
            </w:r>
            <w:r>
              <w:rPr>
                <w:rFonts w:ascii="David" w:hAnsi="David" w:hint="cs"/>
                <w:sz w:val="26"/>
                <w:rtl/>
              </w:rPr>
              <w:t>צבא הגנה לישראל</w:t>
            </w:r>
            <w:r w:rsidRPr="0037250A">
              <w:rPr>
                <w:rFonts w:ascii="David" w:hAnsi="David"/>
                <w:sz w:val="26"/>
                <w:rtl/>
              </w:rPr>
              <w:t xml:space="preserve"> יקבע נוהל ליישום סמכותו לפי סעיף קטן (א), ובכלל זה בנושאים </w:t>
            </w:r>
            <w:r>
              <w:rPr>
                <w:rFonts w:ascii="David" w:hAnsi="David" w:hint="cs"/>
                <w:sz w:val="26"/>
                <w:rtl/>
              </w:rPr>
              <w:t>המפורטים להלן; הנוהל אינו טעון פרסום ברשומות או פרסום פומבי אחר</w:t>
            </w:r>
            <w:r w:rsidRPr="0037250A">
              <w:rPr>
                <w:rFonts w:ascii="David" w:hAnsi="David"/>
                <w:sz w:val="26"/>
                <w:rtl/>
              </w:rPr>
              <w:t>:</w:t>
            </w:r>
          </w:p>
        </w:tc>
      </w:tr>
      <w:tr w:rsidR="00274CC1" w:rsidRPr="0037250A" w14:paraId="40EE609A" w14:textId="77777777" w:rsidTr="00E22EE1">
        <w:trPr>
          <w:cantSplit/>
        </w:trPr>
        <w:tc>
          <w:tcPr>
            <w:tcW w:w="1869" w:type="dxa"/>
            <w:tcMar>
              <w:top w:w="91" w:type="dxa"/>
              <w:left w:w="0" w:type="dxa"/>
              <w:bottom w:w="91" w:type="dxa"/>
              <w:right w:w="0" w:type="dxa"/>
            </w:tcMar>
          </w:tcPr>
          <w:p w14:paraId="663C9BB9"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E2EEBF0"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291E26F6"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04C97DDE" w14:textId="77777777" w:rsidR="00274CC1" w:rsidRPr="0037250A" w:rsidRDefault="00274CC1" w:rsidP="00E22EE1">
            <w:pPr>
              <w:pStyle w:val="TableBlock"/>
              <w:rPr>
                <w:rFonts w:ascii="David" w:hAnsi="David"/>
                <w:sz w:val="26"/>
                <w:rtl/>
              </w:rPr>
            </w:pPr>
            <w:r w:rsidRPr="0037250A">
              <w:rPr>
                <w:rFonts w:ascii="David" w:hAnsi="David"/>
                <w:sz w:val="26"/>
                <w:rtl/>
              </w:rPr>
              <w:t>(1)</w:t>
            </w:r>
            <w:r w:rsidRPr="0037250A">
              <w:rPr>
                <w:rFonts w:ascii="David" w:hAnsi="David"/>
                <w:sz w:val="26"/>
                <w:rtl/>
              </w:rPr>
              <w:tab/>
              <w:t>תיעוד הפעולות שהתבצעו לפי סעיף קטן (א), לרבות ניסיונות, אם נעשו, להשיג את הידיעה, המסמך או המידע הגלום בהם ממקור אחר;</w:t>
            </w:r>
          </w:p>
        </w:tc>
      </w:tr>
      <w:tr w:rsidR="00274CC1" w:rsidRPr="0037250A" w14:paraId="32538B49" w14:textId="77777777" w:rsidTr="00E22EE1">
        <w:trPr>
          <w:cantSplit/>
        </w:trPr>
        <w:tc>
          <w:tcPr>
            <w:tcW w:w="1869" w:type="dxa"/>
            <w:tcMar>
              <w:top w:w="91" w:type="dxa"/>
              <w:left w:w="0" w:type="dxa"/>
              <w:bottom w:w="91" w:type="dxa"/>
              <w:right w:w="0" w:type="dxa"/>
            </w:tcMar>
          </w:tcPr>
          <w:p w14:paraId="13FCBB35"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1A689C3"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CFFEFCE"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119F963E" w14:textId="77777777" w:rsidR="00274CC1" w:rsidRPr="0037250A" w:rsidRDefault="00274CC1" w:rsidP="00E22EE1">
            <w:pPr>
              <w:pStyle w:val="TableBlock"/>
              <w:rPr>
                <w:rFonts w:ascii="David" w:hAnsi="David"/>
                <w:sz w:val="26"/>
                <w:rtl/>
              </w:rPr>
            </w:pPr>
            <w:r w:rsidRPr="0037250A">
              <w:rPr>
                <w:rFonts w:ascii="David" w:hAnsi="David"/>
                <w:sz w:val="26"/>
                <w:rtl/>
              </w:rPr>
              <w:t>(2)</w:t>
            </w:r>
            <w:r w:rsidRPr="0037250A">
              <w:rPr>
                <w:rFonts w:ascii="David" w:hAnsi="David"/>
                <w:sz w:val="26"/>
                <w:rtl/>
              </w:rPr>
              <w:tab/>
              <w:t>אופן קבלת הידיעות והמסמכים, שמירתם, מורשי הגישה אליהם ומחיקתם.</w:t>
            </w:r>
            <w:r>
              <w:rPr>
                <w:rFonts w:ascii="David" w:hAnsi="David"/>
                <w:sz w:val="26"/>
                <w:rtl/>
              </w:rPr>
              <w:t xml:space="preserve"> </w:t>
            </w:r>
          </w:p>
        </w:tc>
      </w:tr>
      <w:tr w:rsidR="00274CC1" w:rsidRPr="0037250A" w14:paraId="158C29FA" w14:textId="77777777" w:rsidTr="00E22EE1">
        <w:trPr>
          <w:cantSplit/>
        </w:trPr>
        <w:tc>
          <w:tcPr>
            <w:tcW w:w="1869" w:type="dxa"/>
            <w:tcMar>
              <w:top w:w="91" w:type="dxa"/>
              <w:left w:w="0" w:type="dxa"/>
              <w:bottom w:w="91" w:type="dxa"/>
              <w:right w:w="0" w:type="dxa"/>
            </w:tcMar>
          </w:tcPr>
          <w:p w14:paraId="4A13434A"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0094A91"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5F7E90F7" w14:textId="77777777" w:rsidR="00274CC1" w:rsidRPr="0037250A" w:rsidRDefault="00274CC1" w:rsidP="00E22EE1">
            <w:pPr>
              <w:pStyle w:val="TableBlock"/>
              <w:rPr>
                <w:rFonts w:ascii="David" w:hAnsi="David"/>
                <w:sz w:val="26"/>
                <w:rtl/>
              </w:rPr>
            </w:pPr>
            <w:r w:rsidRPr="0037250A">
              <w:rPr>
                <w:rFonts w:ascii="David" w:hAnsi="David"/>
                <w:sz w:val="26"/>
                <w:rtl/>
              </w:rPr>
              <w:t>(ה)</w:t>
            </w:r>
            <w:r w:rsidRPr="0037250A">
              <w:rPr>
                <w:rFonts w:ascii="David" w:hAnsi="David"/>
                <w:sz w:val="26"/>
                <w:rtl/>
              </w:rPr>
              <w:tab/>
              <w:t xml:space="preserve">בסעיף זה </w:t>
            </w:r>
            <w:r>
              <w:rPr>
                <w:rFonts w:ascii="David" w:hAnsi="David"/>
                <w:sz w:val="26"/>
                <w:rtl/>
              </w:rPr>
              <w:t>–</w:t>
            </w:r>
          </w:p>
        </w:tc>
      </w:tr>
      <w:tr w:rsidR="00274CC1" w:rsidRPr="0037250A" w14:paraId="39A8D1A9" w14:textId="77777777" w:rsidTr="00E22EE1">
        <w:trPr>
          <w:cantSplit/>
        </w:trPr>
        <w:tc>
          <w:tcPr>
            <w:tcW w:w="1869" w:type="dxa"/>
            <w:tcMar>
              <w:top w:w="91" w:type="dxa"/>
              <w:left w:w="0" w:type="dxa"/>
              <w:bottom w:w="91" w:type="dxa"/>
              <w:right w:w="0" w:type="dxa"/>
            </w:tcMar>
          </w:tcPr>
          <w:p w14:paraId="3D3311EB"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B4343C1"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E8B25B9"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0B32DF2F" w14:textId="77777777" w:rsidR="00274CC1" w:rsidRPr="00D625A9" w:rsidRDefault="00274CC1" w:rsidP="00E22EE1">
            <w:pPr>
              <w:pStyle w:val="TableBlockOutdent"/>
              <w:rPr>
                <w:rtl/>
              </w:rPr>
            </w:pPr>
            <w:r w:rsidRPr="0037250A">
              <w:rPr>
                <w:rtl/>
              </w:rPr>
              <w:t xml:space="preserve">"דגימה ביולוגית" </w:t>
            </w:r>
            <w:r>
              <w:rPr>
                <w:rtl/>
              </w:rPr>
              <w:t>–</w:t>
            </w:r>
            <w:r w:rsidRPr="0037250A">
              <w:rPr>
                <w:rtl/>
              </w:rPr>
              <w:t xml:space="preserve"> לרבות עצמות, שיער, נוזלי גוף, רקמות וסוגי תאים;</w:t>
            </w:r>
          </w:p>
        </w:tc>
      </w:tr>
      <w:tr w:rsidR="00274CC1" w:rsidRPr="0037250A" w14:paraId="5575C14B" w14:textId="77777777" w:rsidTr="00E22EE1">
        <w:trPr>
          <w:cantSplit/>
        </w:trPr>
        <w:tc>
          <w:tcPr>
            <w:tcW w:w="1869" w:type="dxa"/>
            <w:tcMar>
              <w:top w:w="91" w:type="dxa"/>
              <w:left w:w="0" w:type="dxa"/>
              <w:bottom w:w="91" w:type="dxa"/>
              <w:right w:w="0" w:type="dxa"/>
            </w:tcMar>
          </w:tcPr>
          <w:p w14:paraId="1C801418"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88F8C1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5FD86F3"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5A2EEE38"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"ההכרזה על מצב מיוחד בעורף" </w:t>
            </w:r>
            <w:r>
              <w:rPr>
                <w:rFonts w:ascii="David" w:hAnsi="David"/>
                <w:sz w:val="26"/>
                <w:rtl/>
              </w:rPr>
              <w:t>–</w:t>
            </w:r>
            <w:r w:rsidRPr="0037250A">
              <w:rPr>
                <w:rFonts w:ascii="David" w:hAnsi="David"/>
                <w:sz w:val="26"/>
                <w:rtl/>
              </w:rPr>
              <w:t xml:space="preserve"> ההכרזה על מצב מיוחד בעורף כהגדרתו בחוק ההתגוננות האזרחית, התשי"א</w:t>
            </w:r>
            <w:r>
              <w:rPr>
                <w:rFonts w:ascii="David" w:hAnsi="David"/>
                <w:sz w:val="26"/>
                <w:rtl/>
              </w:rPr>
              <w:t>–</w:t>
            </w:r>
            <w:r w:rsidRPr="0037250A">
              <w:rPr>
                <w:rFonts w:ascii="David" w:hAnsi="David"/>
                <w:sz w:val="26"/>
                <w:rtl/>
              </w:rPr>
              <w:t>1951, מיום כ"ב בתשרי התשפ"ד</w:t>
            </w:r>
            <w:r>
              <w:rPr>
                <w:rFonts w:ascii="David" w:hAnsi="David" w:hint="cs"/>
                <w:sz w:val="26"/>
                <w:rtl/>
              </w:rPr>
              <w:t xml:space="preserve"> </w:t>
            </w:r>
            <w:r w:rsidRPr="0037250A">
              <w:rPr>
                <w:rFonts w:ascii="David" w:hAnsi="David"/>
                <w:sz w:val="26"/>
                <w:rtl/>
              </w:rPr>
              <w:t>(7 באוקטובר 2023);</w:t>
            </w:r>
          </w:p>
        </w:tc>
      </w:tr>
      <w:tr w:rsidR="00274CC1" w:rsidRPr="0037250A" w14:paraId="5080054B" w14:textId="77777777" w:rsidTr="00E22EE1">
        <w:trPr>
          <w:cantSplit/>
        </w:trPr>
        <w:tc>
          <w:tcPr>
            <w:tcW w:w="1869" w:type="dxa"/>
            <w:tcMar>
              <w:top w:w="91" w:type="dxa"/>
              <w:left w:w="0" w:type="dxa"/>
              <w:bottom w:w="91" w:type="dxa"/>
              <w:right w:w="0" w:type="dxa"/>
            </w:tcMar>
          </w:tcPr>
          <w:p w14:paraId="21854A1E"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1791BA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E264C00"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4E3E8BA5"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"כוחות אויב" </w:t>
            </w:r>
            <w:r>
              <w:rPr>
                <w:rFonts w:ascii="David" w:hAnsi="David"/>
                <w:sz w:val="26"/>
                <w:rtl/>
              </w:rPr>
              <w:t>–</w:t>
            </w:r>
            <w:r w:rsidRPr="0037250A">
              <w:rPr>
                <w:rFonts w:ascii="David" w:hAnsi="David"/>
                <w:sz w:val="26"/>
                <w:rtl/>
              </w:rPr>
              <w:t xml:space="preserve"> כוחות צבאיים או צבאיים למחצה או בלתי סדירים של מדינה עוינת לישראל, ארגון עוין לישראל או מי שפועל תוך סיוע לאחד מאלה, בשליחותם או מטעמם או כדי לקדם את מטרותיהם; </w:t>
            </w:r>
          </w:p>
        </w:tc>
      </w:tr>
      <w:tr w:rsidR="00274CC1" w:rsidRPr="0037250A" w14:paraId="15C12D01" w14:textId="77777777" w:rsidTr="00E22EE1">
        <w:trPr>
          <w:cantSplit/>
        </w:trPr>
        <w:tc>
          <w:tcPr>
            <w:tcW w:w="1869" w:type="dxa"/>
            <w:tcMar>
              <w:top w:w="91" w:type="dxa"/>
              <w:left w:w="0" w:type="dxa"/>
              <w:bottom w:w="91" w:type="dxa"/>
              <w:right w:w="0" w:type="dxa"/>
            </w:tcMar>
          </w:tcPr>
          <w:p w14:paraId="5A57EB9B"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9F67F9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00897503"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345AAD90"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"מידע ביומטרי" </w:t>
            </w:r>
            <w:r>
              <w:rPr>
                <w:rFonts w:ascii="David" w:hAnsi="David"/>
                <w:sz w:val="26"/>
                <w:rtl/>
              </w:rPr>
              <w:t>–</w:t>
            </w:r>
            <w:r w:rsidRPr="0037250A">
              <w:rPr>
                <w:rFonts w:ascii="David" w:hAnsi="David"/>
                <w:sz w:val="26"/>
                <w:rtl/>
              </w:rPr>
              <w:t xml:space="preserve"> תצלום וכן טביעת אצבעות, לרבות טביעות כף יד;</w:t>
            </w:r>
          </w:p>
        </w:tc>
      </w:tr>
      <w:tr w:rsidR="00274CC1" w:rsidRPr="0037250A" w14:paraId="7B1564DD" w14:textId="77777777" w:rsidTr="00E22EE1">
        <w:trPr>
          <w:cantSplit/>
        </w:trPr>
        <w:tc>
          <w:tcPr>
            <w:tcW w:w="1869" w:type="dxa"/>
            <w:tcMar>
              <w:top w:w="91" w:type="dxa"/>
              <w:left w:w="0" w:type="dxa"/>
              <w:bottom w:w="91" w:type="dxa"/>
              <w:right w:w="0" w:type="dxa"/>
            </w:tcMar>
          </w:tcPr>
          <w:p w14:paraId="2EE84D7A"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0F115CE"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BDE3ED0"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781C91E1"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"מידע גנטי" </w:t>
            </w:r>
            <w:r>
              <w:rPr>
                <w:rFonts w:ascii="David" w:hAnsi="David"/>
                <w:sz w:val="26"/>
                <w:rtl/>
              </w:rPr>
              <w:t>–</w:t>
            </w:r>
            <w:r w:rsidRPr="0037250A">
              <w:rPr>
                <w:rFonts w:ascii="David" w:hAnsi="David"/>
                <w:sz w:val="26"/>
                <w:rtl/>
              </w:rPr>
              <w:t xml:space="preserve"> כהגדרתו בחוק מידע גנטי, התשס"א</w:t>
            </w:r>
            <w:r>
              <w:rPr>
                <w:rFonts w:ascii="David" w:hAnsi="David"/>
                <w:sz w:val="26"/>
                <w:rtl/>
              </w:rPr>
              <w:t>–</w:t>
            </w:r>
            <w:r w:rsidRPr="0037250A">
              <w:rPr>
                <w:rFonts w:ascii="David" w:hAnsi="David"/>
                <w:sz w:val="26"/>
                <w:rtl/>
              </w:rPr>
              <w:t>2000;</w:t>
            </w:r>
          </w:p>
        </w:tc>
      </w:tr>
      <w:tr w:rsidR="00274CC1" w:rsidRPr="0037250A" w14:paraId="09878A0C" w14:textId="77777777" w:rsidTr="00E22EE1">
        <w:trPr>
          <w:cantSplit/>
        </w:trPr>
        <w:tc>
          <w:tcPr>
            <w:tcW w:w="1869" w:type="dxa"/>
            <w:tcMar>
              <w:top w:w="91" w:type="dxa"/>
              <w:left w:w="0" w:type="dxa"/>
              <w:bottom w:w="91" w:type="dxa"/>
              <w:right w:w="0" w:type="dxa"/>
            </w:tcMar>
          </w:tcPr>
          <w:p w14:paraId="7ECB6380"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BB5110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C5ADFD5"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5549C140"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"מידע רפואי" </w:t>
            </w:r>
            <w:r>
              <w:rPr>
                <w:rFonts w:ascii="David" w:hAnsi="David"/>
                <w:sz w:val="26"/>
                <w:rtl/>
              </w:rPr>
              <w:t>–</w:t>
            </w:r>
            <w:r w:rsidRPr="0037250A">
              <w:rPr>
                <w:rFonts w:ascii="David" w:hAnsi="David"/>
                <w:sz w:val="26"/>
                <w:rtl/>
              </w:rPr>
              <w:t xml:space="preserve"> כהגדרתו בחוק זכויות החולה, התשנ"ו</w:t>
            </w:r>
            <w:r>
              <w:rPr>
                <w:rFonts w:ascii="David" w:hAnsi="David"/>
                <w:sz w:val="26"/>
                <w:rtl/>
              </w:rPr>
              <w:t>–</w:t>
            </w:r>
            <w:r w:rsidRPr="0037250A">
              <w:rPr>
                <w:rFonts w:ascii="David" w:hAnsi="David"/>
                <w:sz w:val="26"/>
                <w:rtl/>
              </w:rPr>
              <w:t>1996;</w:t>
            </w:r>
          </w:p>
        </w:tc>
      </w:tr>
      <w:tr w:rsidR="00274CC1" w:rsidRPr="0037250A" w14:paraId="6143476C" w14:textId="77777777" w:rsidTr="00E22EE1">
        <w:trPr>
          <w:cantSplit/>
        </w:trPr>
        <w:tc>
          <w:tcPr>
            <w:tcW w:w="1869" w:type="dxa"/>
            <w:tcMar>
              <w:top w:w="91" w:type="dxa"/>
              <w:left w:w="0" w:type="dxa"/>
              <w:bottom w:w="91" w:type="dxa"/>
              <w:right w:w="0" w:type="dxa"/>
            </w:tcMar>
          </w:tcPr>
          <w:p w14:paraId="2FC7A103"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1878C1D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6BB10F19"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029D228E"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"מסמך" </w:t>
            </w:r>
            <w:r>
              <w:rPr>
                <w:rFonts w:ascii="David" w:hAnsi="David"/>
                <w:sz w:val="26"/>
                <w:rtl/>
              </w:rPr>
              <w:t>–</w:t>
            </w:r>
            <w:r w:rsidRPr="0037250A">
              <w:rPr>
                <w:rFonts w:ascii="David" w:hAnsi="David"/>
                <w:sz w:val="26"/>
                <w:rtl/>
              </w:rPr>
              <w:t xml:space="preserve"> לרבות פלט כהגדרתו בחוק המחשבים, התשנ"ה</w:t>
            </w:r>
            <w:r>
              <w:rPr>
                <w:rFonts w:ascii="David" w:hAnsi="David"/>
                <w:sz w:val="26"/>
                <w:rtl/>
              </w:rPr>
              <w:t>–</w:t>
            </w:r>
            <w:r w:rsidRPr="0037250A">
              <w:rPr>
                <w:rFonts w:ascii="David" w:hAnsi="David"/>
                <w:sz w:val="26"/>
                <w:rtl/>
              </w:rPr>
              <w:t>1995;</w:t>
            </w:r>
          </w:p>
        </w:tc>
      </w:tr>
      <w:tr w:rsidR="00274CC1" w:rsidRPr="0037250A" w14:paraId="1466E5E1" w14:textId="77777777" w:rsidTr="00E22EE1">
        <w:trPr>
          <w:cantSplit/>
        </w:trPr>
        <w:tc>
          <w:tcPr>
            <w:tcW w:w="1869" w:type="dxa"/>
            <w:tcMar>
              <w:top w:w="91" w:type="dxa"/>
              <w:left w:w="0" w:type="dxa"/>
              <w:bottom w:w="91" w:type="dxa"/>
              <w:right w:w="0" w:type="dxa"/>
            </w:tcMar>
          </w:tcPr>
          <w:p w14:paraId="6D17F006"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A5FF557"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E53D874"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51A3CFC7" w14:textId="77777777" w:rsidR="00274CC1" w:rsidRPr="0037250A" w:rsidRDefault="00274CC1" w:rsidP="00E22EE1">
            <w:pPr>
              <w:pStyle w:val="TableBlockOutdent"/>
              <w:rPr>
                <w:rFonts w:ascii="David" w:hAnsi="David"/>
                <w:sz w:val="26"/>
                <w:rtl/>
              </w:rPr>
            </w:pPr>
            <w:r w:rsidRPr="0037250A">
              <w:rPr>
                <w:rFonts w:ascii="David" w:hAnsi="David"/>
                <w:sz w:val="26"/>
                <w:rtl/>
              </w:rPr>
              <w:t xml:space="preserve">"פעולות האיבה או פעולות המלחמה" </w:t>
            </w:r>
            <w:r>
              <w:rPr>
                <w:rFonts w:ascii="David" w:hAnsi="David"/>
                <w:sz w:val="26"/>
                <w:rtl/>
              </w:rPr>
              <w:t>–</w:t>
            </w:r>
            <w:r w:rsidRPr="0037250A">
              <w:rPr>
                <w:rFonts w:ascii="David" w:hAnsi="David"/>
                <w:sz w:val="26"/>
                <w:rtl/>
              </w:rPr>
              <w:t xml:space="preserve"> פעולות האיבה או פעולות המלחמה, שאירעו בתקופה שמיום כ"ב בתשרי התשפ"ד (7 באוקטובר </w:t>
            </w:r>
            <w:r>
              <w:rPr>
                <w:rFonts w:ascii="David" w:hAnsi="David" w:hint="cs"/>
                <w:sz w:val="26"/>
                <w:rtl/>
              </w:rPr>
              <w:t>2023</w:t>
            </w:r>
            <w:r w:rsidRPr="0037250A">
              <w:rPr>
                <w:rFonts w:ascii="David" w:hAnsi="David"/>
                <w:sz w:val="26"/>
                <w:rtl/>
              </w:rPr>
              <w:t>) עד תום תקופת תוקפה של ההכרזה על מצב מיוחד בעורף או עד תום הפעולות הצבאיות המשמעותיות, לפי המאוחר;</w:t>
            </w:r>
          </w:p>
        </w:tc>
      </w:tr>
      <w:tr w:rsidR="00274CC1" w:rsidRPr="0037250A" w14:paraId="0B850510" w14:textId="77777777" w:rsidTr="00E22EE1">
        <w:trPr>
          <w:cantSplit/>
        </w:trPr>
        <w:tc>
          <w:tcPr>
            <w:tcW w:w="1869" w:type="dxa"/>
            <w:tcMar>
              <w:top w:w="91" w:type="dxa"/>
              <w:left w:w="0" w:type="dxa"/>
              <w:bottom w:w="91" w:type="dxa"/>
              <w:right w:w="0" w:type="dxa"/>
            </w:tcMar>
          </w:tcPr>
          <w:p w14:paraId="4A8DA162"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367512BB"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445C5983"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25E2DEAB" w14:textId="330E5203" w:rsidR="00274CC1" w:rsidRPr="0037250A" w:rsidRDefault="00274CC1" w:rsidP="0061777E">
            <w:pPr>
              <w:pStyle w:val="TableBlockOutdent"/>
              <w:rPr>
                <w:rFonts w:ascii="David" w:hAnsi="David"/>
                <w:sz w:val="26"/>
                <w:rtl/>
              </w:rPr>
            </w:pPr>
            <w:r w:rsidRPr="0037250A">
              <w:rPr>
                <w:rFonts w:ascii="David" w:hAnsi="David"/>
                <w:sz w:val="26"/>
                <w:rtl/>
              </w:rPr>
              <w:t xml:space="preserve">"הפעולות הצבאיות המשמעותיות" </w:t>
            </w:r>
            <w:r>
              <w:rPr>
                <w:rFonts w:ascii="David" w:hAnsi="David"/>
                <w:sz w:val="26"/>
                <w:rtl/>
              </w:rPr>
              <w:t>–</w:t>
            </w:r>
            <w:r w:rsidRPr="0037250A">
              <w:rPr>
                <w:rFonts w:ascii="David" w:hAnsi="David"/>
                <w:sz w:val="26"/>
                <w:rtl/>
              </w:rPr>
              <w:t xml:space="preserve"> הפעולות הצבאיות המשמעותיות שעליהן החליטה ועדת השרים לענייני ביטחון לאומי לפי סעיף 40 לחוק</w:t>
            </w:r>
            <w:r>
              <w:rPr>
                <w:rFonts w:ascii="David" w:hAnsi="David"/>
                <w:sz w:val="26"/>
                <w:rtl/>
              </w:rPr>
              <w:t>-</w:t>
            </w:r>
            <w:r w:rsidRPr="0037250A">
              <w:rPr>
                <w:rFonts w:ascii="David" w:hAnsi="David"/>
                <w:sz w:val="26"/>
                <w:rtl/>
              </w:rPr>
              <w:t>יסוד: הממשלה, והודיעה לגביהן לוועדת החוץ והביטחון של הכנסת ביום כ"</w:t>
            </w:r>
            <w:r>
              <w:rPr>
                <w:rFonts w:ascii="David" w:hAnsi="David" w:hint="cs"/>
                <w:sz w:val="26"/>
                <w:rtl/>
              </w:rPr>
              <w:t xml:space="preserve">ג </w:t>
            </w:r>
            <w:r w:rsidRPr="0037250A">
              <w:rPr>
                <w:rFonts w:ascii="David" w:hAnsi="David"/>
                <w:sz w:val="26"/>
                <w:rtl/>
              </w:rPr>
              <w:t>בתשרי התשפ"ד (</w:t>
            </w:r>
            <w:r>
              <w:rPr>
                <w:rFonts w:ascii="David" w:hAnsi="David" w:hint="cs"/>
                <w:sz w:val="26"/>
                <w:rtl/>
              </w:rPr>
              <w:t>8</w:t>
            </w:r>
            <w:r w:rsidRPr="0037250A">
              <w:rPr>
                <w:rFonts w:ascii="David" w:hAnsi="David"/>
                <w:sz w:val="26"/>
                <w:rtl/>
              </w:rPr>
              <w:t xml:space="preserve"> באוקטובר 2023).</w:t>
            </w:r>
          </w:p>
        </w:tc>
      </w:tr>
      <w:tr w:rsidR="00274CC1" w:rsidRPr="0037250A" w14:paraId="56115B10" w14:textId="77777777" w:rsidTr="00E22EE1">
        <w:trPr>
          <w:cantSplit/>
        </w:trPr>
        <w:tc>
          <w:tcPr>
            <w:tcW w:w="1869" w:type="dxa"/>
            <w:tcMar>
              <w:top w:w="91" w:type="dxa"/>
              <w:left w:w="0" w:type="dxa"/>
              <w:bottom w:w="91" w:type="dxa"/>
              <w:right w:w="0" w:type="dxa"/>
            </w:tcMar>
          </w:tcPr>
          <w:p w14:paraId="09200078" w14:textId="77777777" w:rsidR="00274CC1" w:rsidRPr="0037250A" w:rsidRDefault="00274CC1" w:rsidP="001E0F7C">
            <w:pPr>
              <w:pStyle w:val="TableSideHeading"/>
              <w:rPr>
                <w:rFonts w:ascii="David" w:hAnsi="David"/>
                <w:sz w:val="26"/>
                <w:rtl/>
              </w:rPr>
            </w:pPr>
            <w:r w:rsidRPr="0037250A">
              <w:rPr>
                <w:rFonts w:ascii="David" w:hAnsi="David"/>
                <w:sz w:val="26"/>
                <w:rtl/>
              </w:rPr>
              <w:t>תוקף הוראות השעה</w:t>
            </w:r>
          </w:p>
        </w:tc>
        <w:tc>
          <w:tcPr>
            <w:tcW w:w="624" w:type="dxa"/>
            <w:tcMar>
              <w:top w:w="91" w:type="dxa"/>
              <w:left w:w="0" w:type="dxa"/>
              <w:bottom w:w="91" w:type="dxa"/>
              <w:right w:w="0" w:type="dxa"/>
            </w:tcMar>
          </w:tcPr>
          <w:p w14:paraId="2BBEC447" w14:textId="77777777" w:rsidR="00274CC1" w:rsidRPr="0037250A" w:rsidRDefault="00274CC1" w:rsidP="001E0F7C">
            <w:pPr>
              <w:pStyle w:val="TableText"/>
              <w:rPr>
                <w:rFonts w:ascii="David" w:hAnsi="David"/>
                <w:sz w:val="26"/>
                <w:rtl/>
              </w:rPr>
            </w:pPr>
            <w:r w:rsidRPr="0037250A">
              <w:rPr>
                <w:rFonts w:ascii="David" w:hAnsi="David"/>
                <w:sz w:val="26"/>
                <w:rtl/>
              </w:rPr>
              <w:t>4.</w:t>
            </w:r>
          </w:p>
        </w:tc>
        <w:tc>
          <w:tcPr>
            <w:tcW w:w="7143" w:type="dxa"/>
            <w:gridSpan w:val="6"/>
            <w:tcMar>
              <w:top w:w="91" w:type="dxa"/>
              <w:left w:w="0" w:type="dxa"/>
              <w:bottom w:w="91" w:type="dxa"/>
              <w:right w:w="0" w:type="dxa"/>
            </w:tcMar>
          </w:tcPr>
          <w:p w14:paraId="507C929C" w14:textId="77777777" w:rsidR="00274CC1" w:rsidRPr="0037250A" w:rsidRDefault="00274CC1" w:rsidP="00E22EE1">
            <w:pPr>
              <w:pStyle w:val="TableBlock"/>
              <w:rPr>
                <w:rFonts w:ascii="David" w:hAnsi="David"/>
                <w:sz w:val="26"/>
                <w:rtl/>
              </w:rPr>
            </w:pPr>
            <w:r w:rsidRPr="0037250A">
              <w:rPr>
                <w:rFonts w:ascii="David" w:hAnsi="David"/>
                <w:sz w:val="26"/>
                <w:rtl/>
              </w:rPr>
              <w:t>(א)</w:t>
            </w:r>
            <w:r w:rsidRPr="0037250A">
              <w:rPr>
                <w:rFonts w:ascii="David" w:hAnsi="David"/>
                <w:sz w:val="26"/>
                <w:rtl/>
              </w:rPr>
              <w:tab/>
              <w:t xml:space="preserve">סעיפים 1, 2 ו־3 יעמדו בתוקפם בתקופה שמיום תחילתו של חוק זה ועד יום ו' בחשוון התשפ"ה (7 בנובמבר 2024); </w:t>
            </w:r>
            <w:r>
              <w:rPr>
                <w:rFonts w:ascii="David" w:hAnsi="David" w:hint="cs"/>
                <w:sz w:val="26"/>
                <w:rtl/>
              </w:rPr>
              <w:t>בכפוף להוראות סעיפים קטנים (ב) עד (ד).</w:t>
            </w:r>
          </w:p>
        </w:tc>
      </w:tr>
      <w:tr w:rsidR="00274CC1" w:rsidRPr="0037250A" w14:paraId="3C00EC88" w14:textId="77777777" w:rsidTr="00E22EE1">
        <w:trPr>
          <w:cantSplit/>
        </w:trPr>
        <w:tc>
          <w:tcPr>
            <w:tcW w:w="1869" w:type="dxa"/>
            <w:tcMar>
              <w:top w:w="91" w:type="dxa"/>
              <w:left w:w="0" w:type="dxa"/>
              <w:bottom w:w="91" w:type="dxa"/>
              <w:right w:w="0" w:type="dxa"/>
            </w:tcMar>
          </w:tcPr>
          <w:p w14:paraId="72DF6055"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7E7F8FD1"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7EBD3756" w14:textId="27802CBE"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ב</w:t>
            </w:r>
            <w:r w:rsidRPr="0037250A">
              <w:rPr>
                <w:rFonts w:ascii="David" w:hAnsi="David"/>
                <w:sz w:val="26"/>
                <w:rtl/>
              </w:rPr>
              <w:t>)</w:t>
            </w:r>
            <w:r w:rsidRPr="0037250A">
              <w:rPr>
                <w:rFonts w:ascii="David" w:hAnsi="David"/>
                <w:sz w:val="26"/>
                <w:rtl/>
              </w:rPr>
              <w:tab/>
              <w:t xml:space="preserve">שר הפנים, </w:t>
            </w:r>
            <w:r w:rsidRPr="00B94EA5">
              <w:rPr>
                <w:rFonts w:ascii="David" w:hAnsi="David"/>
                <w:sz w:val="26"/>
                <w:rtl/>
              </w:rPr>
              <w:t xml:space="preserve">באישור ועדה </w:t>
            </w:r>
            <w:r w:rsidRPr="00B94EA5">
              <w:rPr>
                <w:rFonts w:ascii="David" w:hAnsi="David" w:hint="cs"/>
                <w:sz w:val="26"/>
                <w:rtl/>
              </w:rPr>
              <w:t xml:space="preserve">מוועדות </w:t>
            </w:r>
            <w:r w:rsidRPr="00B94EA5">
              <w:rPr>
                <w:rFonts w:ascii="David" w:hAnsi="David"/>
                <w:sz w:val="26"/>
                <w:rtl/>
              </w:rPr>
              <w:t>הכנסת</w:t>
            </w:r>
            <w:r w:rsidRPr="00B94EA5">
              <w:rPr>
                <w:rFonts w:ascii="David" w:hAnsi="David" w:hint="cs"/>
                <w:sz w:val="26"/>
                <w:rtl/>
              </w:rPr>
              <w:t xml:space="preserve"> כפי שתקבע ועדת הכנסת</w:t>
            </w:r>
            <w:r w:rsidRPr="00B94EA5">
              <w:rPr>
                <w:rFonts w:ascii="David" w:hAnsi="David"/>
                <w:sz w:val="26"/>
                <w:rtl/>
              </w:rPr>
              <w:t xml:space="preserve">, </w:t>
            </w:r>
            <w:r w:rsidRPr="00B94EA5">
              <w:rPr>
                <w:rFonts w:ascii="David" w:hAnsi="David" w:hint="cs"/>
                <w:sz w:val="26"/>
                <w:rtl/>
              </w:rPr>
              <w:t xml:space="preserve">רשאי </w:t>
            </w:r>
            <w:r w:rsidRPr="00B94EA5">
              <w:rPr>
                <w:rFonts w:ascii="David" w:hAnsi="David"/>
                <w:sz w:val="26"/>
                <w:rtl/>
              </w:rPr>
              <w:t>להאריך</w:t>
            </w:r>
            <w:r w:rsidR="00826811">
              <w:rPr>
                <w:rFonts w:ascii="David" w:hAnsi="David" w:hint="cs"/>
                <w:sz w:val="26"/>
                <w:rtl/>
              </w:rPr>
              <w:t>,</w:t>
            </w:r>
            <w:r w:rsidRPr="00B94EA5">
              <w:rPr>
                <w:rFonts w:ascii="David" w:hAnsi="David"/>
                <w:sz w:val="26"/>
                <w:rtl/>
              </w:rPr>
              <w:t xml:space="preserve"> בצו</w:t>
            </w:r>
            <w:r w:rsidR="00826811">
              <w:rPr>
                <w:rFonts w:ascii="David" w:hAnsi="David" w:hint="cs"/>
                <w:sz w:val="26"/>
                <w:rtl/>
              </w:rPr>
              <w:t>,</w:t>
            </w:r>
            <w:r w:rsidRPr="00B94EA5">
              <w:rPr>
                <w:rFonts w:ascii="David" w:hAnsi="David"/>
                <w:sz w:val="26"/>
                <w:rtl/>
              </w:rPr>
              <w:t xml:space="preserve"> את תקופת תוקפו של סעיף 1 בתקופות נוספות אשר לא יעלו על </w:t>
            </w:r>
            <w:r w:rsidRPr="00B94EA5">
              <w:rPr>
                <w:rFonts w:ascii="David" w:hAnsi="David" w:hint="cs"/>
                <w:sz w:val="26"/>
                <w:rtl/>
              </w:rPr>
              <w:t xml:space="preserve">12 </w:t>
            </w:r>
            <w:r w:rsidRPr="00B94EA5">
              <w:rPr>
                <w:rFonts w:ascii="David" w:hAnsi="David"/>
                <w:sz w:val="26"/>
                <w:rtl/>
              </w:rPr>
              <w:t xml:space="preserve">חודשים </w:t>
            </w:r>
            <w:r w:rsidRPr="00B94EA5">
              <w:rPr>
                <w:rFonts w:ascii="David" w:hAnsi="David" w:hint="cs"/>
                <w:sz w:val="26"/>
                <w:rtl/>
              </w:rPr>
              <w:t>במצטבר,</w:t>
            </w:r>
            <w:r w:rsidRPr="00B94EA5">
              <w:rPr>
                <w:rFonts w:ascii="David" w:hAnsi="David"/>
                <w:sz w:val="26"/>
                <w:rtl/>
              </w:rPr>
              <w:t xml:space="preserve"> אם מצא שהדבר נדרש עקב הימשכותן של פעולות האיבה או פעולות המלחמה</w:t>
            </w:r>
            <w:r w:rsidRPr="0037250A">
              <w:rPr>
                <w:rFonts w:ascii="David" w:hAnsi="David"/>
                <w:sz w:val="26"/>
                <w:rtl/>
              </w:rPr>
              <w:t xml:space="preserve"> או לצורך אימות או בירור זהותו של אדם, לרבות גופה, שזהותו אינה ידועה או מוטלת בספק, או איתור נעדר או שבוי, הנדרשים בשל פעולות האיבה או פעולות המלחמה; הארכה כאמור יכול שתהיה לגבי כל ההסדרים המעוגנים בסעיף 1, ויכול שתהיה לגבי חלק מההסדרים כאמור, כמפורט בפסקאות שלהלן:</w:t>
            </w:r>
          </w:p>
        </w:tc>
      </w:tr>
      <w:tr w:rsidR="00274CC1" w:rsidRPr="0037250A" w14:paraId="62BB9652" w14:textId="77777777" w:rsidTr="00E22EE1">
        <w:trPr>
          <w:cantSplit/>
        </w:trPr>
        <w:tc>
          <w:tcPr>
            <w:tcW w:w="1869" w:type="dxa"/>
            <w:tcMar>
              <w:top w:w="91" w:type="dxa"/>
              <w:left w:w="0" w:type="dxa"/>
              <w:bottom w:w="91" w:type="dxa"/>
              <w:right w:w="0" w:type="dxa"/>
            </w:tcMar>
          </w:tcPr>
          <w:p w14:paraId="0A7EF4DA"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38401B2"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A41F3D7"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0F344158"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1</w:t>
            </w:r>
            <w:r w:rsidRPr="0037250A">
              <w:rPr>
                <w:rFonts w:ascii="David" w:hAnsi="David"/>
                <w:sz w:val="26"/>
                <w:rtl/>
              </w:rPr>
              <w:t>)</w:t>
            </w:r>
            <w:r w:rsidRPr="0037250A">
              <w:rPr>
                <w:rFonts w:ascii="David" w:hAnsi="David"/>
                <w:sz w:val="26"/>
                <w:rtl/>
              </w:rPr>
              <w:tab/>
              <w:t xml:space="preserve">ההסדר לעניין מסירת המידע למשטרת ישראל הקבוע </w:t>
            </w:r>
            <w:r w:rsidRPr="0037250A">
              <w:rPr>
                <w:rFonts w:ascii="David" w:hAnsi="David"/>
                <w:sz w:val="26"/>
                <w:rtl/>
              </w:rPr>
              <w:br/>
              <w:t>בפסקאות (1), (3) ו</w:t>
            </w:r>
            <w:r>
              <w:rPr>
                <w:rFonts w:ascii="David" w:hAnsi="David"/>
                <w:sz w:val="26"/>
                <w:rtl/>
              </w:rPr>
              <w:t>-</w:t>
            </w:r>
            <w:r w:rsidRPr="0037250A">
              <w:rPr>
                <w:rFonts w:ascii="David" w:hAnsi="David"/>
                <w:sz w:val="26"/>
                <w:rtl/>
              </w:rPr>
              <w:t>(7) של סעיף 1;</w:t>
            </w:r>
          </w:p>
        </w:tc>
      </w:tr>
      <w:tr w:rsidR="00274CC1" w:rsidRPr="0037250A" w14:paraId="4B65E739" w14:textId="77777777" w:rsidTr="00E22EE1">
        <w:trPr>
          <w:cantSplit/>
        </w:trPr>
        <w:tc>
          <w:tcPr>
            <w:tcW w:w="1869" w:type="dxa"/>
            <w:tcMar>
              <w:top w:w="91" w:type="dxa"/>
              <w:left w:w="0" w:type="dxa"/>
              <w:bottom w:w="91" w:type="dxa"/>
              <w:right w:w="0" w:type="dxa"/>
            </w:tcMar>
          </w:tcPr>
          <w:p w14:paraId="5182C152"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03F5875"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39314909"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32CBB184"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2</w:t>
            </w:r>
            <w:r w:rsidRPr="0037250A">
              <w:rPr>
                <w:rFonts w:ascii="David" w:hAnsi="David"/>
                <w:sz w:val="26"/>
                <w:rtl/>
              </w:rPr>
              <w:t>)</w:t>
            </w:r>
            <w:r w:rsidRPr="0037250A">
              <w:rPr>
                <w:rFonts w:ascii="David" w:hAnsi="David"/>
                <w:sz w:val="26"/>
                <w:rtl/>
              </w:rPr>
              <w:tab/>
              <w:t xml:space="preserve">ההסדר לעניין מסירת המידע </w:t>
            </w:r>
            <w:r>
              <w:rPr>
                <w:rFonts w:ascii="David" w:hAnsi="David"/>
                <w:sz w:val="26"/>
                <w:rtl/>
              </w:rPr>
              <w:t>לצבא</w:t>
            </w:r>
            <w:r>
              <w:rPr>
                <w:rFonts w:ascii="David" w:hAnsi="David" w:hint="cs"/>
                <w:sz w:val="26"/>
                <w:rtl/>
              </w:rPr>
              <w:t xml:space="preserve"> </w:t>
            </w:r>
            <w:r w:rsidRPr="0037250A">
              <w:rPr>
                <w:rFonts w:ascii="David" w:hAnsi="David"/>
                <w:sz w:val="26"/>
                <w:rtl/>
              </w:rPr>
              <w:t>הגנה לישראל ולרשויות הביטחון הקבוע בפסקאות (1), (4), (5) ו</w:t>
            </w:r>
            <w:r>
              <w:rPr>
                <w:rFonts w:ascii="David" w:hAnsi="David"/>
                <w:sz w:val="26"/>
                <w:rtl/>
              </w:rPr>
              <w:t>-</w:t>
            </w:r>
            <w:r w:rsidRPr="0037250A">
              <w:rPr>
                <w:rFonts w:ascii="David" w:hAnsi="David"/>
                <w:sz w:val="26"/>
                <w:rtl/>
              </w:rPr>
              <w:t>(7) של סעיף 1;</w:t>
            </w:r>
          </w:p>
        </w:tc>
      </w:tr>
      <w:tr w:rsidR="00274CC1" w:rsidRPr="0037250A" w14:paraId="4EB8B589" w14:textId="77777777" w:rsidTr="00E22EE1">
        <w:trPr>
          <w:cantSplit/>
        </w:trPr>
        <w:tc>
          <w:tcPr>
            <w:tcW w:w="1869" w:type="dxa"/>
            <w:tcMar>
              <w:top w:w="91" w:type="dxa"/>
              <w:left w:w="0" w:type="dxa"/>
              <w:bottom w:w="91" w:type="dxa"/>
              <w:right w:w="0" w:type="dxa"/>
            </w:tcMar>
          </w:tcPr>
          <w:p w14:paraId="1F64607B"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68D6224D"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79EED915"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5B0AF729"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3</w:t>
            </w:r>
            <w:r w:rsidRPr="0037250A">
              <w:rPr>
                <w:rFonts w:ascii="David" w:hAnsi="David"/>
                <w:sz w:val="26"/>
                <w:rtl/>
              </w:rPr>
              <w:t>)</w:t>
            </w:r>
            <w:r w:rsidRPr="0037250A">
              <w:rPr>
                <w:rFonts w:ascii="David" w:hAnsi="David"/>
                <w:sz w:val="26"/>
                <w:rtl/>
              </w:rPr>
              <w:tab/>
              <w:t>ההסדר לעניין שמירת טביעת אצבעות במאגר הקבוע בפסקה (2) של סעיף 1;</w:t>
            </w:r>
          </w:p>
        </w:tc>
      </w:tr>
      <w:tr w:rsidR="00274CC1" w:rsidRPr="0037250A" w14:paraId="0A2F554B" w14:textId="77777777" w:rsidTr="00E22EE1">
        <w:trPr>
          <w:cantSplit/>
        </w:trPr>
        <w:tc>
          <w:tcPr>
            <w:tcW w:w="1869" w:type="dxa"/>
            <w:tcMar>
              <w:top w:w="91" w:type="dxa"/>
              <w:left w:w="0" w:type="dxa"/>
              <w:bottom w:w="91" w:type="dxa"/>
              <w:right w:w="0" w:type="dxa"/>
            </w:tcMar>
          </w:tcPr>
          <w:p w14:paraId="1F193A37"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25DB039C" w14:textId="77777777" w:rsidR="00274CC1" w:rsidRPr="0037250A" w:rsidRDefault="00274CC1" w:rsidP="001E0F7C">
            <w:pPr>
              <w:pStyle w:val="TableText"/>
              <w:jc w:val="both"/>
              <w:rPr>
                <w:rFonts w:ascii="David" w:hAnsi="David"/>
                <w:sz w:val="26"/>
                <w:rtl/>
              </w:rPr>
            </w:pPr>
          </w:p>
        </w:tc>
        <w:tc>
          <w:tcPr>
            <w:tcW w:w="624" w:type="dxa"/>
            <w:tcMar>
              <w:top w:w="91" w:type="dxa"/>
              <w:left w:w="0" w:type="dxa"/>
              <w:bottom w:w="91" w:type="dxa"/>
              <w:right w:w="0" w:type="dxa"/>
            </w:tcMar>
          </w:tcPr>
          <w:p w14:paraId="5E2630EA" w14:textId="77777777" w:rsidR="00274CC1" w:rsidRPr="0037250A" w:rsidRDefault="00274CC1" w:rsidP="001E0F7C">
            <w:pPr>
              <w:pStyle w:val="TableText"/>
              <w:jc w:val="both"/>
              <w:rPr>
                <w:rFonts w:ascii="David" w:hAnsi="David"/>
                <w:sz w:val="26"/>
                <w:rtl/>
              </w:rPr>
            </w:pPr>
          </w:p>
        </w:tc>
        <w:tc>
          <w:tcPr>
            <w:tcW w:w="6519" w:type="dxa"/>
            <w:gridSpan w:val="5"/>
            <w:tcMar>
              <w:top w:w="91" w:type="dxa"/>
              <w:left w:w="0" w:type="dxa"/>
              <w:bottom w:w="91" w:type="dxa"/>
              <w:right w:w="0" w:type="dxa"/>
            </w:tcMar>
          </w:tcPr>
          <w:p w14:paraId="7A2F7884"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4</w:t>
            </w:r>
            <w:r w:rsidRPr="0037250A">
              <w:rPr>
                <w:rFonts w:ascii="David" w:hAnsi="David"/>
                <w:sz w:val="26"/>
                <w:rtl/>
              </w:rPr>
              <w:t>)</w:t>
            </w:r>
            <w:r w:rsidRPr="0037250A">
              <w:rPr>
                <w:rFonts w:ascii="David" w:hAnsi="David"/>
                <w:sz w:val="26"/>
                <w:rtl/>
              </w:rPr>
              <w:tab/>
              <w:t>ההסדר לעניין שימוש בתמונות תווי פנים הקבוע בפסקה (6) של</w:t>
            </w:r>
            <w:r>
              <w:rPr>
                <w:rFonts w:ascii="David" w:hAnsi="David" w:hint="cs"/>
                <w:sz w:val="26"/>
                <w:rtl/>
              </w:rPr>
              <w:t xml:space="preserve"> </w:t>
            </w:r>
            <w:r w:rsidRPr="0037250A">
              <w:rPr>
                <w:rFonts w:ascii="David" w:hAnsi="David"/>
                <w:sz w:val="26"/>
                <w:rtl/>
              </w:rPr>
              <w:t>סעיף 1</w:t>
            </w:r>
            <w:r>
              <w:rPr>
                <w:rFonts w:ascii="David" w:hAnsi="David" w:hint="cs"/>
                <w:sz w:val="26"/>
                <w:rtl/>
              </w:rPr>
              <w:t>.</w:t>
            </w:r>
          </w:p>
        </w:tc>
      </w:tr>
      <w:tr w:rsidR="00274CC1" w:rsidRPr="0037250A" w14:paraId="1F308B42" w14:textId="77777777" w:rsidTr="00E22EE1">
        <w:trPr>
          <w:cantSplit/>
        </w:trPr>
        <w:tc>
          <w:tcPr>
            <w:tcW w:w="1869" w:type="dxa"/>
            <w:tcMar>
              <w:top w:w="91" w:type="dxa"/>
              <w:left w:w="0" w:type="dxa"/>
              <w:bottom w:w="91" w:type="dxa"/>
              <w:right w:w="0" w:type="dxa"/>
            </w:tcMar>
          </w:tcPr>
          <w:p w14:paraId="54E7E31B"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F0059E0"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2B84C2C3" w14:textId="35574922"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ג</w:t>
            </w:r>
            <w:r w:rsidRPr="0037250A">
              <w:rPr>
                <w:rFonts w:ascii="David" w:hAnsi="David"/>
                <w:sz w:val="26"/>
                <w:rtl/>
              </w:rPr>
              <w:t>)</w:t>
            </w:r>
            <w:r w:rsidRPr="0037250A">
              <w:rPr>
                <w:rFonts w:ascii="David" w:hAnsi="David"/>
                <w:sz w:val="26"/>
                <w:rtl/>
              </w:rPr>
              <w:tab/>
              <w:t xml:space="preserve">השר </w:t>
            </w:r>
            <w:r w:rsidRPr="00B94EA5">
              <w:rPr>
                <w:rFonts w:ascii="David" w:hAnsi="David"/>
                <w:sz w:val="26"/>
                <w:rtl/>
              </w:rPr>
              <w:t xml:space="preserve">לביטחון לאומי, באישור ועדה </w:t>
            </w:r>
            <w:r w:rsidRPr="00B94EA5">
              <w:rPr>
                <w:rFonts w:ascii="David" w:hAnsi="David" w:hint="cs"/>
                <w:sz w:val="26"/>
                <w:rtl/>
              </w:rPr>
              <w:t xml:space="preserve">מוועדות </w:t>
            </w:r>
            <w:r w:rsidRPr="00B94EA5">
              <w:rPr>
                <w:rFonts w:ascii="David" w:hAnsi="David"/>
                <w:sz w:val="26"/>
                <w:rtl/>
              </w:rPr>
              <w:t>הכנסת</w:t>
            </w:r>
            <w:r w:rsidRPr="00B94EA5">
              <w:rPr>
                <w:rFonts w:ascii="David" w:hAnsi="David" w:hint="cs"/>
                <w:sz w:val="26"/>
                <w:rtl/>
              </w:rPr>
              <w:t xml:space="preserve"> כפי שתקבע ועדת הכנסת</w:t>
            </w:r>
            <w:r w:rsidRPr="00B94EA5">
              <w:rPr>
                <w:rFonts w:ascii="David" w:hAnsi="David"/>
                <w:sz w:val="26"/>
                <w:rtl/>
              </w:rPr>
              <w:t xml:space="preserve">, </w:t>
            </w:r>
            <w:r w:rsidRPr="00B94EA5">
              <w:rPr>
                <w:rFonts w:ascii="David" w:hAnsi="David" w:hint="cs"/>
                <w:sz w:val="26"/>
                <w:rtl/>
              </w:rPr>
              <w:t xml:space="preserve">רשאי </w:t>
            </w:r>
            <w:r w:rsidRPr="00B94EA5">
              <w:rPr>
                <w:rFonts w:ascii="David" w:hAnsi="David"/>
                <w:sz w:val="26"/>
                <w:rtl/>
              </w:rPr>
              <w:t>להאריך</w:t>
            </w:r>
            <w:r w:rsidR="00E951AA">
              <w:rPr>
                <w:rFonts w:ascii="David" w:hAnsi="David" w:hint="cs"/>
                <w:sz w:val="26"/>
                <w:rtl/>
              </w:rPr>
              <w:t>,</w:t>
            </w:r>
            <w:r w:rsidRPr="00B94EA5">
              <w:rPr>
                <w:rFonts w:ascii="David" w:hAnsi="David"/>
                <w:sz w:val="26"/>
                <w:rtl/>
              </w:rPr>
              <w:t xml:space="preserve"> בצו</w:t>
            </w:r>
            <w:r w:rsidR="00E951AA">
              <w:rPr>
                <w:rFonts w:ascii="David" w:hAnsi="David" w:hint="cs"/>
                <w:sz w:val="26"/>
                <w:rtl/>
              </w:rPr>
              <w:t>,</w:t>
            </w:r>
            <w:r w:rsidRPr="00B94EA5">
              <w:rPr>
                <w:rFonts w:ascii="David" w:hAnsi="David"/>
                <w:sz w:val="26"/>
                <w:rtl/>
              </w:rPr>
              <w:t xml:space="preserve"> את תקופת תוקפו של סעיף 2 בתקופות נוספות אשר לא יעלו על </w:t>
            </w:r>
            <w:r w:rsidRPr="00B94EA5">
              <w:rPr>
                <w:rFonts w:ascii="David" w:hAnsi="David" w:hint="cs"/>
                <w:sz w:val="26"/>
                <w:rtl/>
              </w:rPr>
              <w:t xml:space="preserve">12 </w:t>
            </w:r>
            <w:r w:rsidRPr="00B94EA5">
              <w:rPr>
                <w:rFonts w:ascii="David" w:hAnsi="David"/>
                <w:sz w:val="26"/>
                <w:rtl/>
              </w:rPr>
              <w:t xml:space="preserve">חודשים </w:t>
            </w:r>
            <w:r w:rsidRPr="00B94EA5">
              <w:rPr>
                <w:rFonts w:ascii="David" w:hAnsi="David" w:hint="cs"/>
                <w:sz w:val="26"/>
                <w:rtl/>
              </w:rPr>
              <w:t>במצטבר</w:t>
            </w:r>
            <w:r>
              <w:rPr>
                <w:rFonts w:ascii="David" w:hAnsi="David" w:hint="cs"/>
                <w:sz w:val="26"/>
                <w:rtl/>
              </w:rPr>
              <w:t>,</w:t>
            </w:r>
            <w:r w:rsidRPr="0037250A">
              <w:rPr>
                <w:rFonts w:ascii="David" w:hAnsi="David"/>
                <w:sz w:val="26"/>
                <w:rtl/>
              </w:rPr>
              <w:t xml:space="preserve"> מהטעמים המנויים </w:t>
            </w:r>
            <w:r>
              <w:rPr>
                <w:rFonts w:ascii="David" w:hAnsi="David" w:hint="cs"/>
                <w:sz w:val="26"/>
                <w:rtl/>
              </w:rPr>
              <w:t>בסעיף קטן (ב)</w:t>
            </w:r>
            <w:r w:rsidRPr="0037250A">
              <w:rPr>
                <w:rFonts w:ascii="David" w:hAnsi="David"/>
                <w:sz w:val="26"/>
                <w:rtl/>
              </w:rPr>
              <w:t>.</w:t>
            </w:r>
          </w:p>
        </w:tc>
      </w:tr>
      <w:tr w:rsidR="00274CC1" w:rsidRPr="0037250A" w14:paraId="5E612EBD" w14:textId="77777777" w:rsidTr="00E22EE1">
        <w:trPr>
          <w:cantSplit/>
        </w:trPr>
        <w:tc>
          <w:tcPr>
            <w:tcW w:w="1869" w:type="dxa"/>
            <w:tcMar>
              <w:top w:w="91" w:type="dxa"/>
              <w:left w:w="0" w:type="dxa"/>
              <w:bottom w:w="91" w:type="dxa"/>
              <w:right w:w="0" w:type="dxa"/>
            </w:tcMar>
          </w:tcPr>
          <w:p w14:paraId="245B2358"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57679B91"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3CC7F726" w14:textId="5697BFA4"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ד</w:t>
            </w:r>
            <w:r w:rsidRPr="0037250A">
              <w:rPr>
                <w:rFonts w:ascii="David" w:hAnsi="David"/>
                <w:sz w:val="26"/>
                <w:rtl/>
              </w:rPr>
              <w:t>)</w:t>
            </w:r>
            <w:r w:rsidRPr="0037250A">
              <w:rPr>
                <w:rFonts w:ascii="David" w:hAnsi="David"/>
                <w:sz w:val="26"/>
                <w:rtl/>
              </w:rPr>
              <w:tab/>
              <w:t xml:space="preserve">שר הביטחון, באישור ועדת החוץ והביטחון של הכנסת, </w:t>
            </w:r>
            <w:r>
              <w:rPr>
                <w:rFonts w:ascii="David" w:hAnsi="David" w:hint="cs"/>
                <w:sz w:val="26"/>
                <w:rtl/>
              </w:rPr>
              <w:t xml:space="preserve">רשאי </w:t>
            </w:r>
            <w:r w:rsidRPr="0037250A">
              <w:rPr>
                <w:rFonts w:ascii="David" w:hAnsi="David"/>
                <w:sz w:val="26"/>
                <w:rtl/>
              </w:rPr>
              <w:t>להאריך</w:t>
            </w:r>
            <w:r w:rsidR="00E951AA">
              <w:rPr>
                <w:rFonts w:ascii="David" w:hAnsi="David" w:hint="cs"/>
                <w:sz w:val="26"/>
                <w:rtl/>
              </w:rPr>
              <w:t>,</w:t>
            </w:r>
            <w:r w:rsidRPr="0037250A">
              <w:rPr>
                <w:rFonts w:ascii="David" w:hAnsi="David"/>
                <w:sz w:val="26"/>
                <w:rtl/>
              </w:rPr>
              <w:t xml:space="preserve"> בצו</w:t>
            </w:r>
            <w:r w:rsidR="00E951AA">
              <w:rPr>
                <w:rFonts w:ascii="David" w:hAnsi="David" w:hint="cs"/>
                <w:sz w:val="26"/>
                <w:rtl/>
              </w:rPr>
              <w:t>,</w:t>
            </w:r>
            <w:r w:rsidRPr="0037250A">
              <w:rPr>
                <w:rFonts w:ascii="David" w:hAnsi="David"/>
                <w:sz w:val="26"/>
                <w:rtl/>
              </w:rPr>
              <w:t xml:space="preserve"> את תקופת תוקפו של סעיף 3 בתקופות נוספות אשר לא יעלו על </w:t>
            </w:r>
            <w:r>
              <w:rPr>
                <w:rFonts w:ascii="David" w:hAnsi="David" w:hint="cs"/>
                <w:sz w:val="26"/>
                <w:rtl/>
              </w:rPr>
              <w:t xml:space="preserve">12 </w:t>
            </w:r>
            <w:r w:rsidRPr="0037250A">
              <w:rPr>
                <w:rFonts w:ascii="David" w:hAnsi="David"/>
                <w:sz w:val="26"/>
                <w:rtl/>
              </w:rPr>
              <w:t xml:space="preserve">חודשים </w:t>
            </w:r>
            <w:r>
              <w:rPr>
                <w:rFonts w:ascii="David" w:hAnsi="David" w:hint="cs"/>
                <w:sz w:val="26"/>
                <w:rtl/>
              </w:rPr>
              <w:t>במצטבר</w:t>
            </w:r>
            <w:r w:rsidRPr="0037250A">
              <w:rPr>
                <w:rFonts w:ascii="David" w:hAnsi="David"/>
                <w:sz w:val="26"/>
                <w:rtl/>
              </w:rPr>
              <w:t xml:space="preserve">, אם מצא שהדבר נדרש עקב </w:t>
            </w:r>
            <w:r w:rsidRPr="00BB1EDD">
              <w:rPr>
                <w:rFonts w:ascii="David" w:hAnsi="David"/>
                <w:sz w:val="26"/>
                <w:rtl/>
              </w:rPr>
              <w:t>הימשכותן של פעולות האיבה או פעולות המלחמה או לצורך איתור נעדר כאמור בסעיף 3(א).</w:t>
            </w:r>
          </w:p>
        </w:tc>
      </w:tr>
      <w:tr w:rsidR="00274CC1" w:rsidRPr="0037250A" w14:paraId="2DDEFFB2" w14:textId="77777777" w:rsidTr="00E22EE1">
        <w:trPr>
          <w:cantSplit/>
        </w:trPr>
        <w:tc>
          <w:tcPr>
            <w:tcW w:w="1869" w:type="dxa"/>
            <w:tcMar>
              <w:top w:w="91" w:type="dxa"/>
              <w:left w:w="0" w:type="dxa"/>
              <w:bottom w:w="91" w:type="dxa"/>
              <w:right w:w="0" w:type="dxa"/>
            </w:tcMar>
          </w:tcPr>
          <w:p w14:paraId="514B02DE" w14:textId="77777777" w:rsidR="00274CC1" w:rsidRPr="0037250A" w:rsidRDefault="00274CC1" w:rsidP="001E0F7C">
            <w:pPr>
              <w:pStyle w:val="TableSideHeading"/>
              <w:outlineLvl w:val="9"/>
              <w:rPr>
                <w:rFonts w:ascii="David" w:hAnsi="David"/>
                <w:sz w:val="26"/>
                <w:rtl/>
              </w:rPr>
            </w:pPr>
          </w:p>
        </w:tc>
        <w:tc>
          <w:tcPr>
            <w:tcW w:w="624" w:type="dxa"/>
            <w:tcMar>
              <w:top w:w="91" w:type="dxa"/>
              <w:left w:w="0" w:type="dxa"/>
              <w:bottom w:w="91" w:type="dxa"/>
              <w:right w:w="0" w:type="dxa"/>
            </w:tcMar>
          </w:tcPr>
          <w:p w14:paraId="45B9E24E" w14:textId="77777777" w:rsidR="00274CC1" w:rsidRPr="0037250A" w:rsidRDefault="00274CC1" w:rsidP="001E0F7C">
            <w:pPr>
              <w:pStyle w:val="TableText"/>
              <w:jc w:val="both"/>
              <w:rPr>
                <w:rFonts w:ascii="David" w:hAnsi="David"/>
                <w:sz w:val="26"/>
                <w:rtl/>
              </w:rPr>
            </w:pPr>
          </w:p>
        </w:tc>
        <w:tc>
          <w:tcPr>
            <w:tcW w:w="7143" w:type="dxa"/>
            <w:gridSpan w:val="6"/>
            <w:tcMar>
              <w:top w:w="91" w:type="dxa"/>
              <w:left w:w="0" w:type="dxa"/>
              <w:bottom w:w="91" w:type="dxa"/>
              <w:right w:w="0" w:type="dxa"/>
            </w:tcMar>
          </w:tcPr>
          <w:p w14:paraId="072B9425" w14:textId="77777777" w:rsidR="00274CC1" w:rsidRPr="0037250A" w:rsidRDefault="00274CC1" w:rsidP="00E22EE1">
            <w:pPr>
              <w:pStyle w:val="TableBlock"/>
              <w:rPr>
                <w:rFonts w:ascii="David" w:hAnsi="David"/>
                <w:sz w:val="26"/>
                <w:rtl/>
              </w:rPr>
            </w:pPr>
            <w:r w:rsidRPr="0037250A">
              <w:rPr>
                <w:rFonts w:ascii="David" w:hAnsi="David"/>
                <w:sz w:val="26"/>
                <w:rtl/>
              </w:rPr>
              <w:t>(</w:t>
            </w:r>
            <w:r>
              <w:rPr>
                <w:rFonts w:ascii="David" w:hAnsi="David" w:hint="cs"/>
                <w:sz w:val="26"/>
                <w:rtl/>
              </w:rPr>
              <w:t>ה</w:t>
            </w:r>
            <w:r w:rsidRPr="0037250A">
              <w:rPr>
                <w:rFonts w:ascii="David" w:hAnsi="David"/>
                <w:sz w:val="26"/>
                <w:rtl/>
              </w:rPr>
              <w:t>)</w:t>
            </w:r>
            <w:r w:rsidRPr="0037250A">
              <w:rPr>
                <w:rFonts w:ascii="David" w:hAnsi="David"/>
                <w:sz w:val="26"/>
                <w:rtl/>
              </w:rPr>
              <w:tab/>
            </w:r>
            <w:r w:rsidRPr="00BB1EDD">
              <w:rPr>
                <w:rFonts w:ascii="David" w:hAnsi="David" w:hint="cs"/>
                <w:sz w:val="26"/>
                <w:rtl/>
              </w:rPr>
              <w:t>ב</w:t>
            </w:r>
            <w:r w:rsidRPr="00BB1EDD">
              <w:rPr>
                <w:rFonts w:ascii="David" w:hAnsi="David"/>
                <w:sz w:val="26"/>
                <w:rtl/>
              </w:rPr>
              <w:t>סעיף זה, "פעולות האיבה או פעולות המלחמה" – כהגדרתן בסעיף 3(ה).</w:t>
            </w:r>
          </w:p>
        </w:tc>
      </w:tr>
      <w:tr w:rsidR="00274CC1" w:rsidRPr="0037250A" w14:paraId="0B6E10B1" w14:textId="77777777" w:rsidTr="00E22EE1">
        <w:trPr>
          <w:cantSplit/>
        </w:trPr>
        <w:tc>
          <w:tcPr>
            <w:tcW w:w="1869" w:type="dxa"/>
            <w:tcMar>
              <w:top w:w="91" w:type="dxa"/>
              <w:left w:w="0" w:type="dxa"/>
              <w:bottom w:w="91" w:type="dxa"/>
              <w:right w:w="0" w:type="dxa"/>
            </w:tcMar>
          </w:tcPr>
          <w:p w14:paraId="5F04289A" w14:textId="77777777" w:rsidR="00274CC1" w:rsidRPr="0037250A" w:rsidRDefault="00274CC1" w:rsidP="001E0F7C">
            <w:pPr>
              <w:pStyle w:val="TableSideHeading"/>
              <w:rPr>
                <w:rFonts w:ascii="David" w:hAnsi="David"/>
                <w:sz w:val="26"/>
                <w:rtl/>
              </w:rPr>
            </w:pPr>
            <w:r w:rsidRPr="0037250A">
              <w:rPr>
                <w:rFonts w:ascii="David" w:hAnsi="David"/>
                <w:sz w:val="26"/>
                <w:rtl/>
              </w:rPr>
              <w:t xml:space="preserve">הוראת מעבר </w:t>
            </w:r>
          </w:p>
        </w:tc>
        <w:tc>
          <w:tcPr>
            <w:tcW w:w="624" w:type="dxa"/>
            <w:tcMar>
              <w:top w:w="91" w:type="dxa"/>
              <w:left w:w="0" w:type="dxa"/>
              <w:bottom w:w="91" w:type="dxa"/>
              <w:right w:w="0" w:type="dxa"/>
            </w:tcMar>
          </w:tcPr>
          <w:p w14:paraId="3D968D16" w14:textId="77777777" w:rsidR="00274CC1" w:rsidRPr="0037250A" w:rsidRDefault="00274CC1" w:rsidP="001E0F7C">
            <w:pPr>
              <w:pStyle w:val="TableText"/>
              <w:rPr>
                <w:rFonts w:ascii="David" w:hAnsi="David"/>
                <w:sz w:val="26"/>
                <w:rtl/>
              </w:rPr>
            </w:pPr>
            <w:r w:rsidRPr="0037250A">
              <w:rPr>
                <w:rFonts w:ascii="David" w:hAnsi="David"/>
                <w:sz w:val="26"/>
                <w:rtl/>
              </w:rPr>
              <w:t>5.</w:t>
            </w:r>
          </w:p>
        </w:tc>
        <w:tc>
          <w:tcPr>
            <w:tcW w:w="7143" w:type="dxa"/>
            <w:gridSpan w:val="6"/>
            <w:tcMar>
              <w:top w:w="91" w:type="dxa"/>
              <w:left w:w="0" w:type="dxa"/>
              <w:bottom w:w="91" w:type="dxa"/>
              <w:right w:w="0" w:type="dxa"/>
            </w:tcMar>
          </w:tcPr>
          <w:p w14:paraId="53AF6978" w14:textId="61B2EAFF" w:rsidR="00274CC1" w:rsidRPr="0037250A" w:rsidRDefault="00274CC1" w:rsidP="00CB2292">
            <w:pPr>
              <w:pStyle w:val="TableBlock"/>
              <w:rPr>
                <w:rFonts w:ascii="David" w:hAnsi="David"/>
                <w:sz w:val="26"/>
                <w:rtl/>
              </w:rPr>
            </w:pPr>
            <w:r w:rsidRPr="0037250A">
              <w:rPr>
                <w:rFonts w:ascii="David" w:hAnsi="David"/>
                <w:sz w:val="26"/>
                <w:rtl/>
              </w:rPr>
              <w:t>הוראות חוק הכללת אמצעי זיהוי ביומטריים ונתוני זיהוי ביומטריים במסמכי זיהוי ובמאגר מידע, התש"ע</w:t>
            </w:r>
            <w:r>
              <w:rPr>
                <w:rFonts w:ascii="David" w:hAnsi="David"/>
                <w:sz w:val="26"/>
                <w:rtl/>
              </w:rPr>
              <w:t>–</w:t>
            </w:r>
            <w:r w:rsidRPr="0037250A">
              <w:rPr>
                <w:rFonts w:ascii="David" w:hAnsi="David"/>
                <w:sz w:val="26"/>
                <w:rtl/>
              </w:rPr>
              <w:t xml:space="preserve">2009, כנוסחו </w:t>
            </w:r>
            <w:r>
              <w:rPr>
                <w:rFonts w:ascii="David" w:hAnsi="David" w:hint="cs"/>
                <w:sz w:val="26"/>
                <w:rtl/>
              </w:rPr>
              <w:t>ב</w:t>
            </w:r>
            <w:r w:rsidRPr="0037250A">
              <w:rPr>
                <w:rFonts w:ascii="David" w:hAnsi="David"/>
                <w:sz w:val="26"/>
                <w:rtl/>
              </w:rPr>
              <w:t>חוק זה, יחולו גם על מידע שהועבר למשטרת ישראל לפי תקנות שעת חירום (חרבות ברזל) (מסירת מידע לצורך זיהוי או אימות זהות של אדם או גופה ולצורך איתור נעדרים או שבויים</w:t>
            </w:r>
            <w:r w:rsidR="00CB2292">
              <w:rPr>
                <w:rFonts w:ascii="David" w:hAnsi="David" w:hint="cs"/>
                <w:sz w:val="26"/>
                <w:rtl/>
              </w:rPr>
              <w:t>)</w:t>
            </w:r>
            <w:r w:rsidRPr="0037250A">
              <w:rPr>
                <w:rFonts w:ascii="David" w:hAnsi="David"/>
                <w:sz w:val="26"/>
                <w:rtl/>
              </w:rPr>
              <w:t>, התשפ"ד</w:t>
            </w:r>
            <w:r>
              <w:rPr>
                <w:rFonts w:ascii="David" w:hAnsi="David"/>
                <w:sz w:val="26"/>
                <w:rtl/>
              </w:rPr>
              <w:t>–</w:t>
            </w:r>
            <w:r w:rsidRPr="0037250A">
              <w:rPr>
                <w:rFonts w:ascii="David" w:hAnsi="David"/>
                <w:sz w:val="26"/>
                <w:rtl/>
              </w:rPr>
              <w:t>2023‏</w:t>
            </w:r>
            <w:r w:rsidRPr="00E22EE1">
              <w:rPr>
                <w:rStyle w:val="a9"/>
                <w:rFonts w:ascii="David" w:hAnsi="David"/>
                <w:sz w:val="26"/>
                <w:rtl/>
              </w:rPr>
              <w:footnoteReference w:id="9"/>
            </w:r>
            <w:r w:rsidRPr="0037250A">
              <w:rPr>
                <w:rFonts w:ascii="David" w:hAnsi="David"/>
                <w:sz w:val="26"/>
                <w:rtl/>
              </w:rPr>
              <w:t>, ועל מידע שהועבר לצבא</w:t>
            </w:r>
            <w:r>
              <w:rPr>
                <w:rFonts w:ascii="David" w:hAnsi="David" w:hint="cs"/>
                <w:sz w:val="26"/>
                <w:rtl/>
              </w:rPr>
              <w:t xml:space="preserve"> </w:t>
            </w:r>
            <w:r w:rsidRPr="0037250A">
              <w:rPr>
                <w:rFonts w:ascii="David" w:hAnsi="David"/>
                <w:sz w:val="26"/>
                <w:rtl/>
              </w:rPr>
              <w:t>הגנה לישראל ולרשויות הביטחון לפי תקנות שעת חירום (חרבות ברזל) (מסירת מידע לגופי ביטחון לצורך זיהוי, אימות זהות או איתור של גופה, נעדר או שבוי</w:t>
            </w:r>
            <w:r w:rsidR="00CB2292">
              <w:rPr>
                <w:rFonts w:ascii="David" w:hAnsi="David" w:hint="cs"/>
                <w:sz w:val="26"/>
                <w:rtl/>
              </w:rPr>
              <w:t>)</w:t>
            </w:r>
            <w:r w:rsidRPr="0037250A">
              <w:rPr>
                <w:rFonts w:ascii="David" w:hAnsi="David"/>
                <w:sz w:val="26"/>
                <w:rtl/>
              </w:rPr>
              <w:t>, התשפ"ד</w:t>
            </w:r>
            <w:r>
              <w:rPr>
                <w:rFonts w:ascii="David" w:hAnsi="David"/>
                <w:sz w:val="26"/>
                <w:rtl/>
              </w:rPr>
              <w:t>–</w:t>
            </w:r>
            <w:r w:rsidRPr="0037250A">
              <w:rPr>
                <w:rFonts w:ascii="David" w:hAnsi="David"/>
                <w:sz w:val="26"/>
                <w:rtl/>
              </w:rPr>
              <w:t>2023‏</w:t>
            </w:r>
            <w:r w:rsidRPr="00E22EE1">
              <w:rPr>
                <w:rStyle w:val="a9"/>
                <w:rFonts w:ascii="David" w:hAnsi="David"/>
                <w:sz w:val="26"/>
                <w:rtl/>
              </w:rPr>
              <w:footnoteReference w:id="10"/>
            </w:r>
            <w:r w:rsidRPr="0037250A">
              <w:rPr>
                <w:rFonts w:ascii="David" w:hAnsi="David"/>
                <w:sz w:val="26"/>
                <w:rtl/>
              </w:rPr>
              <w:t>, לפני תחילתו של חוק זה.</w:t>
            </w:r>
          </w:p>
        </w:tc>
      </w:tr>
    </w:tbl>
    <w:p w14:paraId="11F1CEAE" w14:textId="77777777" w:rsidR="008525E2" w:rsidRPr="00274CC1"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10736" w:type="dxa"/>
        <w:jc w:val="center"/>
        <w:tblLook w:val="00A0" w:firstRow="1" w:lastRow="0" w:firstColumn="1" w:lastColumn="0" w:noHBand="0" w:noVBand="0"/>
      </w:tblPr>
      <w:tblGrid>
        <w:gridCol w:w="2409"/>
        <w:gridCol w:w="2410"/>
        <w:gridCol w:w="2410"/>
        <w:gridCol w:w="3507"/>
      </w:tblGrid>
      <w:tr w:rsidR="00964F7E" w14:paraId="3575FE4B" w14:textId="77777777" w:rsidTr="001E0F7C">
        <w:trPr>
          <w:jc w:val="center"/>
        </w:trPr>
        <w:tc>
          <w:tcPr>
            <w:tcW w:w="2409" w:type="dxa"/>
          </w:tcPr>
          <w:p w14:paraId="247A02C0" w14:textId="77777777" w:rsidR="00964F7E" w:rsidRPr="00D466D4" w:rsidRDefault="00964F7E" w:rsidP="001E0F7C">
            <w:pPr>
              <w:ind w:left="0"/>
              <w:jc w:val="center"/>
              <w:rPr>
                <w:sz w:val="26"/>
                <w:szCs w:val="26"/>
                <w:rtl/>
              </w:rPr>
            </w:pPr>
            <w:bookmarkStart w:id="8" w:name="PrimeMinistryName"/>
            <w:r>
              <w:rPr>
                <w:rFonts w:hint="cs"/>
                <w:sz w:val="26"/>
                <w:szCs w:val="26"/>
                <w:rtl/>
              </w:rPr>
              <w:t>בנימין נתניהו</w:t>
            </w:r>
            <w:bookmarkEnd w:id="8"/>
          </w:p>
          <w:p w14:paraId="77C85132" w14:textId="77777777" w:rsidR="00964F7E" w:rsidRDefault="00964F7E" w:rsidP="001E0F7C">
            <w:pPr>
              <w:rPr>
                <w:sz w:val="26"/>
                <w:szCs w:val="26"/>
              </w:rPr>
            </w:pPr>
            <w:r w:rsidRPr="00D466D4">
              <w:rPr>
                <w:rFonts w:hint="cs"/>
                <w:sz w:val="26"/>
                <w:szCs w:val="26"/>
                <w:rtl/>
              </w:rPr>
              <w:t>ראש הממשלה</w:t>
            </w:r>
          </w:p>
        </w:tc>
        <w:tc>
          <w:tcPr>
            <w:tcW w:w="2410" w:type="dxa"/>
          </w:tcPr>
          <w:p w14:paraId="5ADFD603" w14:textId="77777777" w:rsidR="00964F7E" w:rsidRPr="00D466D4" w:rsidRDefault="00964F7E" w:rsidP="001E0F7C">
            <w:pPr>
              <w:jc w:val="center"/>
              <w:rPr>
                <w:sz w:val="26"/>
                <w:szCs w:val="26"/>
                <w:rtl/>
              </w:rPr>
            </w:pPr>
            <w:r>
              <w:rPr>
                <w:rFonts w:hint="cs"/>
                <w:sz w:val="26"/>
                <w:szCs w:val="26"/>
                <w:rtl/>
              </w:rPr>
              <w:t>משה ארבל</w:t>
            </w:r>
          </w:p>
          <w:p w14:paraId="58220BD4" w14:textId="77777777" w:rsidR="00964F7E" w:rsidRDefault="00964F7E" w:rsidP="001E0F7C">
            <w:pPr>
              <w:jc w:val="center"/>
              <w:rPr>
                <w:sz w:val="26"/>
                <w:szCs w:val="26"/>
                <w:rtl/>
              </w:rPr>
            </w:pPr>
            <w:r w:rsidRPr="00D466D4">
              <w:rPr>
                <w:rFonts w:hint="cs"/>
                <w:sz w:val="26"/>
                <w:szCs w:val="26"/>
                <w:rtl/>
              </w:rPr>
              <w:t>שר ה</w:t>
            </w:r>
            <w:r>
              <w:rPr>
                <w:rFonts w:hint="cs"/>
                <w:sz w:val="26"/>
                <w:szCs w:val="26"/>
                <w:rtl/>
              </w:rPr>
              <w:t>פנים</w:t>
            </w:r>
          </w:p>
        </w:tc>
        <w:tc>
          <w:tcPr>
            <w:tcW w:w="2410" w:type="dxa"/>
          </w:tcPr>
          <w:p w14:paraId="2D2C9C95" w14:textId="77777777" w:rsidR="00964F7E" w:rsidRDefault="00964F7E" w:rsidP="001E0F7C">
            <w:pPr>
              <w:ind w:left="0"/>
              <w:jc w:val="center"/>
              <w:rPr>
                <w:sz w:val="26"/>
                <w:szCs w:val="26"/>
                <w:rtl/>
              </w:rPr>
            </w:pPr>
            <w:r>
              <w:rPr>
                <w:rFonts w:hint="cs"/>
                <w:sz w:val="26"/>
                <w:szCs w:val="26"/>
                <w:rtl/>
              </w:rPr>
              <w:t>יואב גלנט</w:t>
            </w:r>
          </w:p>
          <w:p w14:paraId="237FCE6E" w14:textId="77777777" w:rsidR="00964F7E" w:rsidRDefault="00964F7E" w:rsidP="001E0F7C">
            <w:pPr>
              <w:rPr>
                <w:sz w:val="26"/>
                <w:szCs w:val="26"/>
                <w:rtl/>
              </w:rPr>
            </w:pPr>
            <w:r>
              <w:rPr>
                <w:rFonts w:hint="cs"/>
                <w:sz w:val="26"/>
                <w:szCs w:val="26"/>
                <w:rtl/>
              </w:rPr>
              <w:t xml:space="preserve">    שר הביטחון</w:t>
            </w:r>
          </w:p>
        </w:tc>
        <w:tc>
          <w:tcPr>
            <w:tcW w:w="3507" w:type="dxa"/>
          </w:tcPr>
          <w:p w14:paraId="791F24AE" w14:textId="77777777" w:rsidR="00964F7E" w:rsidRDefault="00964F7E" w:rsidP="001E0F7C">
            <w:pPr>
              <w:ind w:left="0"/>
              <w:jc w:val="center"/>
              <w:rPr>
                <w:sz w:val="26"/>
                <w:szCs w:val="26"/>
                <w:rtl/>
              </w:rPr>
            </w:pPr>
            <w:r>
              <w:rPr>
                <w:rFonts w:hint="cs"/>
                <w:sz w:val="26"/>
                <w:szCs w:val="26"/>
                <w:rtl/>
              </w:rPr>
              <w:t xml:space="preserve">    איתמר בן גביר</w:t>
            </w:r>
          </w:p>
          <w:p w14:paraId="3ACF156E" w14:textId="77777777" w:rsidR="00964F7E" w:rsidRDefault="00964F7E" w:rsidP="001E0F7C">
            <w:pPr>
              <w:jc w:val="center"/>
              <w:rPr>
                <w:sz w:val="26"/>
                <w:szCs w:val="26"/>
                <w:rtl/>
              </w:rPr>
            </w:pPr>
            <w:r>
              <w:rPr>
                <w:rFonts w:hint="cs"/>
                <w:sz w:val="26"/>
                <w:szCs w:val="26"/>
                <w:rtl/>
              </w:rPr>
              <w:t>השר לביטחון לאומי</w:t>
            </w:r>
          </w:p>
        </w:tc>
      </w:tr>
      <w:tr w:rsidR="00964F7E" w14:paraId="31663B89" w14:textId="77777777" w:rsidTr="001E0F7C">
        <w:trPr>
          <w:jc w:val="center"/>
        </w:trPr>
        <w:tc>
          <w:tcPr>
            <w:tcW w:w="2409" w:type="dxa"/>
          </w:tcPr>
          <w:p w14:paraId="0AA95B37" w14:textId="77777777" w:rsidR="00964F7E" w:rsidRDefault="00964F7E" w:rsidP="001E0F7C">
            <w:pPr>
              <w:jc w:val="center"/>
              <w:rPr>
                <w:sz w:val="26"/>
                <w:szCs w:val="26"/>
                <w:rtl/>
              </w:rPr>
            </w:pPr>
          </w:p>
          <w:p w14:paraId="1E1D09E6" w14:textId="77777777" w:rsidR="00964F7E" w:rsidRDefault="00964F7E" w:rsidP="001E0F7C">
            <w:pPr>
              <w:jc w:val="center"/>
              <w:rPr>
                <w:sz w:val="26"/>
                <w:szCs w:val="26"/>
                <w:rtl/>
              </w:rPr>
            </w:pPr>
          </w:p>
        </w:tc>
        <w:tc>
          <w:tcPr>
            <w:tcW w:w="2410" w:type="dxa"/>
          </w:tcPr>
          <w:p w14:paraId="5B1189E1" w14:textId="77777777" w:rsidR="00964F7E" w:rsidRDefault="00964F7E" w:rsidP="001E0F7C">
            <w:pPr>
              <w:jc w:val="center"/>
              <w:rPr>
                <w:sz w:val="26"/>
                <w:szCs w:val="26"/>
                <w:rtl/>
              </w:rPr>
            </w:pPr>
          </w:p>
        </w:tc>
        <w:tc>
          <w:tcPr>
            <w:tcW w:w="2410" w:type="dxa"/>
          </w:tcPr>
          <w:p w14:paraId="4AE367F6" w14:textId="77777777" w:rsidR="00964F7E" w:rsidRDefault="00964F7E" w:rsidP="001E0F7C">
            <w:pPr>
              <w:jc w:val="center"/>
              <w:rPr>
                <w:sz w:val="26"/>
                <w:szCs w:val="26"/>
                <w:rtl/>
              </w:rPr>
            </w:pPr>
          </w:p>
        </w:tc>
        <w:tc>
          <w:tcPr>
            <w:tcW w:w="3507" w:type="dxa"/>
          </w:tcPr>
          <w:p w14:paraId="11181F70" w14:textId="77777777" w:rsidR="00964F7E" w:rsidRDefault="00964F7E" w:rsidP="001E0F7C">
            <w:pPr>
              <w:jc w:val="center"/>
              <w:rPr>
                <w:sz w:val="26"/>
                <w:szCs w:val="26"/>
                <w:rtl/>
              </w:rPr>
            </w:pPr>
          </w:p>
          <w:p w14:paraId="657AC1B5" w14:textId="77777777" w:rsidR="00964F7E" w:rsidRDefault="00964F7E" w:rsidP="001E0F7C">
            <w:pPr>
              <w:jc w:val="center"/>
              <w:rPr>
                <w:sz w:val="26"/>
                <w:szCs w:val="26"/>
                <w:rtl/>
              </w:rPr>
            </w:pPr>
          </w:p>
        </w:tc>
      </w:tr>
      <w:tr w:rsidR="00964F7E" w14:paraId="71B55899" w14:textId="77777777" w:rsidTr="001E0F7C">
        <w:trPr>
          <w:jc w:val="center"/>
        </w:trPr>
        <w:tc>
          <w:tcPr>
            <w:tcW w:w="4819" w:type="dxa"/>
            <w:gridSpan w:val="2"/>
            <w:hideMark/>
          </w:tcPr>
          <w:p w14:paraId="3A06B722" w14:textId="77777777" w:rsidR="00964F7E" w:rsidRDefault="00964F7E" w:rsidP="001E0F7C">
            <w:pPr>
              <w:jc w:val="center"/>
              <w:rPr>
                <w:sz w:val="26"/>
                <w:szCs w:val="26"/>
                <w:rtl/>
              </w:rPr>
            </w:pPr>
            <w:r>
              <w:rPr>
                <w:rFonts w:hint="cs"/>
                <w:sz w:val="26"/>
                <w:szCs w:val="26"/>
                <w:rtl/>
              </w:rPr>
              <w:t>יצחק הרצוג</w:t>
            </w:r>
          </w:p>
          <w:p w14:paraId="2EAC6E51" w14:textId="77777777" w:rsidR="00964F7E" w:rsidRDefault="00964F7E" w:rsidP="001E0F7C">
            <w:pPr>
              <w:jc w:val="center"/>
              <w:rPr>
                <w:sz w:val="26"/>
                <w:szCs w:val="26"/>
                <w:rtl/>
              </w:rPr>
            </w:pPr>
            <w:r>
              <w:rPr>
                <w:rFonts w:hint="cs"/>
                <w:sz w:val="26"/>
                <w:szCs w:val="26"/>
                <w:rtl/>
              </w:rPr>
              <w:t>נשיא המדינה</w:t>
            </w:r>
          </w:p>
        </w:tc>
        <w:tc>
          <w:tcPr>
            <w:tcW w:w="5917" w:type="dxa"/>
            <w:gridSpan w:val="2"/>
            <w:hideMark/>
          </w:tcPr>
          <w:p w14:paraId="2810E089" w14:textId="77777777" w:rsidR="00964F7E" w:rsidRDefault="00964F7E" w:rsidP="001E0F7C">
            <w:pPr>
              <w:jc w:val="center"/>
              <w:rPr>
                <w:sz w:val="26"/>
                <w:szCs w:val="26"/>
                <w:rtl/>
              </w:rPr>
            </w:pPr>
            <w:r>
              <w:rPr>
                <w:rFonts w:hint="cs"/>
                <w:sz w:val="26"/>
                <w:szCs w:val="26"/>
                <w:rtl/>
              </w:rPr>
              <w:t>אמיר אוחנה</w:t>
            </w:r>
          </w:p>
          <w:p w14:paraId="2A82A9B5" w14:textId="77777777" w:rsidR="00964F7E" w:rsidRDefault="00964F7E" w:rsidP="001E0F7C">
            <w:pPr>
              <w:jc w:val="center"/>
              <w:rPr>
                <w:sz w:val="26"/>
                <w:szCs w:val="26"/>
                <w:rtl/>
              </w:rPr>
            </w:pPr>
            <w:r>
              <w:rPr>
                <w:rFonts w:hint="cs"/>
                <w:sz w:val="26"/>
                <w:szCs w:val="26"/>
                <w:rtl/>
              </w:rPr>
              <w:t>יושב ראש הכנסת</w:t>
            </w:r>
          </w:p>
        </w:tc>
      </w:tr>
    </w:tbl>
    <w:p w14:paraId="11F1CEC8" w14:textId="77777777" w:rsidR="008525E2" w:rsidRPr="00964F7E"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E22EE1">
      <w:headerReference w:type="even" r:id="rId12"/>
      <w:headerReference w:type="default" r:id="rId13"/>
      <w:footerReference w:type="even" r:id="rId14"/>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4892F" w14:textId="77777777" w:rsidR="00DD65EA" w:rsidRDefault="00DD65EA" w:rsidP="00B416AF">
      <w:pPr>
        <w:pStyle w:val="HeadHatzaotHok"/>
      </w:pPr>
      <w:r>
        <w:separator/>
      </w:r>
    </w:p>
  </w:endnote>
  <w:endnote w:type="continuationSeparator" w:id="0">
    <w:p w14:paraId="5B7FFB01" w14:textId="77777777" w:rsidR="00DD65EA" w:rsidRDefault="00DD65EA"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8"/>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14:paraId="11F1CED6" w14:textId="77777777" w:rsidR="002137F8" w:rsidRDefault="002137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C31D" w14:textId="77777777" w:rsidR="00DD65EA" w:rsidRDefault="00DD65EA" w:rsidP="00E22EE1">
      <w:pPr>
        <w:pStyle w:val="HeadHatzaotHok"/>
        <w:spacing w:before="0"/>
        <w:ind w:left="0"/>
        <w:jc w:val="left"/>
      </w:pPr>
      <w:r>
        <w:separator/>
      </w:r>
    </w:p>
  </w:footnote>
  <w:footnote w:type="continuationSeparator" w:id="0">
    <w:p w14:paraId="671FE330" w14:textId="77777777" w:rsidR="00DD65EA" w:rsidRPr="00696C5E" w:rsidRDefault="00DD65EA" w:rsidP="00696C5E">
      <w:pPr>
        <w:pStyle w:val="HeadHatzaotHok"/>
        <w:spacing w:before="0"/>
        <w:jc w:val="left"/>
      </w:pPr>
      <w:r>
        <w:separator/>
      </w:r>
    </w:p>
  </w:footnote>
  <w:footnote w:id="1">
    <w:p w14:paraId="11F1CED7" w14:textId="6DC17195" w:rsidR="008525E2" w:rsidRDefault="008525E2" w:rsidP="00BC0B7A">
      <w:pPr>
        <w:pStyle w:val="aa"/>
        <w:rPr>
          <w:rtl/>
        </w:rPr>
      </w:pPr>
      <w:r>
        <w:rPr>
          <w:rStyle w:val="a9"/>
        </w:rPr>
        <w:t>*</w:t>
      </w:r>
      <w:r>
        <w:rPr>
          <w:rFonts w:hint="cs"/>
          <w:rtl/>
        </w:rPr>
        <w:t xml:space="preserve"> התקבל </w:t>
      </w:r>
      <w:r w:rsidRPr="00BC0B7A">
        <w:rPr>
          <w:rFonts w:hint="cs"/>
          <w:rtl/>
        </w:rPr>
        <w:t xml:space="preserve">בכנסת ביום </w:t>
      </w:r>
      <w:bookmarkStart w:id="1" w:name="LGSVote3Date"/>
      <w:r w:rsidR="00BC0B7A" w:rsidRPr="00BC0B7A">
        <w:rPr>
          <w:rFonts w:hint="cs"/>
          <w:rtl/>
        </w:rPr>
        <w:t>כ"ד בחשוון התשפ"ד (8 בנובמבר 2023</w:t>
      </w:r>
      <w:r w:rsidR="00E22EE1" w:rsidRPr="00BC0B7A">
        <w:rPr>
          <w:rFonts w:hint="cs"/>
          <w:rtl/>
        </w:rPr>
        <w:t>)</w:t>
      </w:r>
      <w:bookmarkEnd w:id="1"/>
      <w:r w:rsidRPr="00BC0B7A">
        <w:rPr>
          <w:rFonts w:hint="cs"/>
          <w:rtl/>
        </w:rPr>
        <w:t>; הצעת</w:t>
      </w:r>
      <w:r>
        <w:rPr>
          <w:rFonts w:hint="cs"/>
          <w:rtl/>
        </w:rPr>
        <w:t xml:space="preserve">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1675</w:t>
      </w:r>
      <w:bookmarkEnd w:id="3"/>
      <w:r>
        <w:rPr>
          <w:rFonts w:hint="eastAsia"/>
          <w:rtl/>
        </w:rPr>
        <w:t xml:space="preserve">, מיום </w:t>
      </w:r>
      <w:bookmarkStart w:id="4" w:name="HebDate"/>
      <w:r>
        <w:rPr>
          <w:rFonts w:hint="cs"/>
          <w:rtl/>
        </w:rPr>
        <w:t>כ"ב בחשוון התשפ"ד</w:t>
      </w:r>
      <w:bookmarkEnd w:id="4"/>
      <w:r w:rsidRPr="00827E61">
        <w:rPr>
          <w:rFonts w:hint="cs"/>
          <w:rtl/>
        </w:rPr>
        <w:t xml:space="preserve"> (</w:t>
      </w:r>
      <w:bookmarkStart w:id="5" w:name="EngDate"/>
      <w:r>
        <w:rPr>
          <w:rFonts w:hint="cs"/>
          <w:rtl/>
        </w:rPr>
        <w:t>6 בנובמבר 2023</w:t>
      </w:r>
      <w:bookmarkEnd w:id="5"/>
      <w:r w:rsidRPr="00827E61">
        <w:rPr>
          <w:rFonts w:hint="cs"/>
          <w:rtl/>
        </w:rPr>
        <w:t>), עמ'</w:t>
      </w:r>
      <w:r>
        <w:rPr>
          <w:rFonts w:hint="cs"/>
          <w:rtl/>
        </w:rPr>
        <w:t xml:space="preserve"> </w:t>
      </w:r>
      <w:bookmarkStart w:id="6" w:name="PageNumFirstCall"/>
      <w:r>
        <w:rPr>
          <w:rFonts w:hint="cs"/>
          <w:rtl/>
        </w:rPr>
        <w:t>192</w:t>
      </w:r>
      <w:bookmarkEnd w:id="6"/>
      <w:r w:rsidR="0031473A">
        <w:t>.</w:t>
      </w:r>
    </w:p>
  </w:footnote>
  <w:footnote w:id="2">
    <w:p w14:paraId="1882FF97" w14:textId="444A2142" w:rsidR="00274CC1" w:rsidRDefault="00274CC1" w:rsidP="00E951AA">
      <w:pPr>
        <w:pStyle w:val="aa"/>
      </w:pPr>
      <w:r>
        <w:rPr>
          <w:rStyle w:val="a9"/>
        </w:rPr>
        <w:footnoteRef/>
      </w:r>
      <w:r>
        <w:rPr>
          <w:rtl/>
        </w:rPr>
        <w:t xml:space="preserve"> ס"ח התש"ע, עמ' 256; התש</w:t>
      </w:r>
      <w:r w:rsidR="00E951AA">
        <w:rPr>
          <w:rFonts w:hint="cs"/>
          <w:rtl/>
        </w:rPr>
        <w:t>"ף</w:t>
      </w:r>
      <w:r>
        <w:rPr>
          <w:rtl/>
        </w:rPr>
        <w:t xml:space="preserve">, עמ' </w:t>
      </w:r>
      <w:r w:rsidR="00E951AA">
        <w:rPr>
          <w:rFonts w:hint="cs"/>
          <w:rtl/>
        </w:rPr>
        <w:t>403</w:t>
      </w:r>
      <w:r>
        <w:rPr>
          <w:rtl/>
        </w:rPr>
        <w:t>.</w:t>
      </w:r>
    </w:p>
  </w:footnote>
  <w:footnote w:id="3">
    <w:p w14:paraId="6BFFE3FD" w14:textId="77777777" w:rsidR="00274CC1" w:rsidRDefault="00274CC1" w:rsidP="00274CC1">
      <w:pPr>
        <w:pStyle w:val="aa"/>
      </w:pPr>
      <w:r>
        <w:rPr>
          <w:rStyle w:val="a9"/>
        </w:rPr>
        <w:footnoteRef/>
      </w:r>
      <w:r>
        <w:rPr>
          <w:rtl/>
        </w:rPr>
        <w:t xml:space="preserve"> ס"ח התשס"א, עמ' 158.</w:t>
      </w:r>
    </w:p>
  </w:footnote>
  <w:footnote w:id="4">
    <w:p w14:paraId="1B2ED0ED" w14:textId="40FD0F73" w:rsidR="00274CC1" w:rsidRDefault="00274CC1" w:rsidP="00274CC1">
      <w:pPr>
        <w:pStyle w:val="aa"/>
      </w:pPr>
      <w:r>
        <w:rPr>
          <w:rStyle w:val="a9"/>
        </w:rPr>
        <w:footnoteRef/>
      </w:r>
      <w:r>
        <w:rPr>
          <w:rtl/>
        </w:rPr>
        <w:t xml:space="preserve"> דיני מדינת ישראל, נוסח חדש 17, עמ' 390</w:t>
      </w:r>
      <w:r w:rsidR="00114AAD">
        <w:rPr>
          <w:rFonts w:hint="cs"/>
          <w:rtl/>
        </w:rPr>
        <w:t>; ס"ח התשפ"ג, עמ' 22</w:t>
      </w:r>
      <w:r>
        <w:rPr>
          <w:rtl/>
        </w:rPr>
        <w:t>.</w:t>
      </w:r>
    </w:p>
  </w:footnote>
  <w:footnote w:id="5">
    <w:p w14:paraId="6E11E4B8" w14:textId="77777777" w:rsidR="00274CC1" w:rsidRDefault="00274CC1" w:rsidP="00274CC1">
      <w:pPr>
        <w:pStyle w:val="aa"/>
      </w:pPr>
      <w:r>
        <w:rPr>
          <w:rStyle w:val="a9"/>
        </w:rPr>
        <w:footnoteRef/>
      </w:r>
      <w:r>
        <w:rPr>
          <w:rtl/>
        </w:rPr>
        <w:t xml:space="preserve"> ס"ח התש"ע, עמ' 256; התשפ"ד, עמ' 88.</w:t>
      </w:r>
    </w:p>
  </w:footnote>
  <w:footnote w:id="6">
    <w:p w14:paraId="3F8051C4" w14:textId="77777777" w:rsidR="00274CC1" w:rsidRDefault="00274CC1" w:rsidP="00274CC1">
      <w:pPr>
        <w:pStyle w:val="aa"/>
      </w:pPr>
      <w:r>
        <w:rPr>
          <w:rStyle w:val="a9"/>
        </w:rPr>
        <w:footnoteRef/>
      </w:r>
      <w:r>
        <w:rPr>
          <w:rtl/>
        </w:rPr>
        <w:t xml:space="preserve"> ס"ח התשס"א, עמ' 62.</w:t>
      </w:r>
    </w:p>
  </w:footnote>
  <w:footnote w:id="7">
    <w:p w14:paraId="38CDADD6" w14:textId="77777777" w:rsidR="00274CC1" w:rsidRDefault="00274CC1" w:rsidP="00274CC1">
      <w:pPr>
        <w:pStyle w:val="aa"/>
      </w:pPr>
      <w:r>
        <w:rPr>
          <w:rStyle w:val="a9"/>
        </w:rPr>
        <w:footnoteRef/>
      </w:r>
      <w:r>
        <w:rPr>
          <w:rtl/>
        </w:rPr>
        <w:t xml:space="preserve"> ס"ח התשנ"ו, עמ' 327.</w:t>
      </w:r>
    </w:p>
  </w:footnote>
  <w:footnote w:id="8">
    <w:p w14:paraId="4592B838" w14:textId="77777777" w:rsidR="00274CC1" w:rsidRDefault="00274CC1" w:rsidP="00274CC1">
      <w:pPr>
        <w:pStyle w:val="aa"/>
      </w:pPr>
      <w:r>
        <w:rPr>
          <w:rStyle w:val="a9"/>
        </w:rPr>
        <w:footnoteRef/>
      </w:r>
      <w:r>
        <w:rPr>
          <w:rtl/>
        </w:rPr>
        <w:t xml:space="preserve"> ס"ח התשנ"ה, עמ' 366.</w:t>
      </w:r>
    </w:p>
  </w:footnote>
  <w:footnote w:id="9">
    <w:p w14:paraId="51FBA6E7" w14:textId="77777777" w:rsidR="00274CC1" w:rsidRDefault="00274CC1" w:rsidP="00274CC1">
      <w:pPr>
        <w:pStyle w:val="aa"/>
      </w:pPr>
      <w:r>
        <w:rPr>
          <w:rStyle w:val="a9"/>
        </w:rPr>
        <w:footnoteRef/>
      </w:r>
      <w:r>
        <w:rPr>
          <w:rtl/>
        </w:rPr>
        <w:t xml:space="preserve"> ק"ת התשפ"ד, עמ' 74.</w:t>
      </w:r>
    </w:p>
  </w:footnote>
  <w:footnote w:id="10">
    <w:p w14:paraId="3E3EC90E" w14:textId="77777777" w:rsidR="00274CC1" w:rsidRDefault="00274CC1" w:rsidP="00274CC1">
      <w:pPr>
        <w:pStyle w:val="aa"/>
      </w:pPr>
      <w:r>
        <w:rPr>
          <w:rStyle w:val="a9"/>
        </w:rPr>
        <w:footnoteRef/>
      </w:r>
      <w:r>
        <w:rPr>
          <w:rtl/>
        </w:rPr>
        <w:t xml:space="preserve"> ק"ת התשפ"ד, עמ'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c"/>
      <w:framePr w:wrap="around" w:vAnchor="text" w:hAnchor="margin" w:xAlign="center" w:y="1"/>
      <w:rPr>
        <w:rStyle w:val="ad"/>
        <w:rtl/>
      </w:rPr>
    </w:pPr>
    <w:r>
      <w:rPr>
        <w:rStyle w:val="ad"/>
        <w:rtl/>
      </w:rPr>
      <w:fldChar w:fldCharType="begin"/>
    </w:r>
    <w:r>
      <w:rPr>
        <w:rStyle w:val="ad"/>
      </w:rPr>
      <w:instrText xml:space="preserve">PAGE  </w:instrText>
    </w:r>
    <w:r>
      <w:rPr>
        <w:rStyle w:val="ad"/>
        <w:rtl/>
      </w:rPr>
      <w:fldChar w:fldCharType="end"/>
    </w:r>
  </w:p>
  <w:p w14:paraId="11F1CED2" w14:textId="77777777" w:rsidR="002137F8" w:rsidRDefault="002137F8">
    <w:pPr>
      <w:pStyle w:val="ac"/>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169A4D19" w:rsidR="002137F8" w:rsidRPr="00E125CC" w:rsidRDefault="002137F8">
    <w:pPr>
      <w:pStyle w:val="ac"/>
      <w:framePr w:wrap="around" w:vAnchor="text" w:hAnchor="margin" w:xAlign="center" w:y="1"/>
      <w:rPr>
        <w:rStyle w:val="ad"/>
        <w:rtl/>
      </w:rPr>
    </w:pPr>
    <w:r>
      <w:rPr>
        <w:rStyle w:val="ad"/>
        <w:rFonts w:hint="cs"/>
        <w:rtl/>
      </w:rPr>
      <w:t xml:space="preserve">- </w:t>
    </w:r>
    <w:r w:rsidRPr="00E125CC">
      <w:rPr>
        <w:rStyle w:val="ad"/>
        <w:rtl/>
      </w:rPr>
      <w:fldChar w:fldCharType="begin"/>
    </w:r>
    <w:r w:rsidRPr="00E125CC">
      <w:rPr>
        <w:rStyle w:val="ad"/>
      </w:rPr>
      <w:instrText xml:space="preserve">PAGE  </w:instrText>
    </w:r>
    <w:r w:rsidRPr="00E125CC">
      <w:rPr>
        <w:rStyle w:val="ad"/>
        <w:rtl/>
      </w:rPr>
      <w:fldChar w:fldCharType="separate"/>
    </w:r>
    <w:r w:rsidR="0061777E">
      <w:rPr>
        <w:rStyle w:val="ad"/>
        <w:noProof/>
        <w:rtl/>
      </w:rPr>
      <w:t>11</w:t>
    </w:r>
    <w:r w:rsidRPr="00E125CC">
      <w:rPr>
        <w:rStyle w:val="ad"/>
        <w:rtl/>
      </w:rPr>
      <w:fldChar w:fldCharType="end"/>
    </w:r>
    <w:r>
      <w:rPr>
        <w:rStyle w:val="ad"/>
        <w:rFonts w:hint="cs"/>
        <w:rtl/>
      </w:rPr>
      <w:t xml:space="preserve"> -</w:t>
    </w:r>
  </w:p>
  <w:p w14:paraId="11F1CED4" w14:textId="77777777" w:rsidR="002137F8" w:rsidRDefault="002137F8">
    <w:pPr>
      <w:pStyle w:val="ac"/>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12"/>
  </w:num>
  <w:num w:numId="5">
    <w:abstractNumId w:val="16"/>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5C46"/>
    <w:rsid w:val="000F6D7C"/>
    <w:rsid w:val="00114AAD"/>
    <w:rsid w:val="001253F6"/>
    <w:rsid w:val="00135743"/>
    <w:rsid w:val="001C4A6C"/>
    <w:rsid w:val="002000B0"/>
    <w:rsid w:val="00205DFF"/>
    <w:rsid w:val="0020610D"/>
    <w:rsid w:val="0020793A"/>
    <w:rsid w:val="002137F8"/>
    <w:rsid w:val="00220CAF"/>
    <w:rsid w:val="002214B4"/>
    <w:rsid w:val="00222DA1"/>
    <w:rsid w:val="0024044E"/>
    <w:rsid w:val="00274CC1"/>
    <w:rsid w:val="00280B87"/>
    <w:rsid w:val="002C4285"/>
    <w:rsid w:val="002C4FF8"/>
    <w:rsid w:val="002E1F11"/>
    <w:rsid w:val="002E6458"/>
    <w:rsid w:val="0031473A"/>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1033A"/>
    <w:rsid w:val="0052521E"/>
    <w:rsid w:val="005527D3"/>
    <w:rsid w:val="00553EAC"/>
    <w:rsid w:val="005652C2"/>
    <w:rsid w:val="0057628C"/>
    <w:rsid w:val="005A2EB8"/>
    <w:rsid w:val="005B6107"/>
    <w:rsid w:val="005C5383"/>
    <w:rsid w:val="005D1A36"/>
    <w:rsid w:val="005E4470"/>
    <w:rsid w:val="005F20ED"/>
    <w:rsid w:val="00606368"/>
    <w:rsid w:val="0061777E"/>
    <w:rsid w:val="00696C5E"/>
    <w:rsid w:val="006B4B3F"/>
    <w:rsid w:val="006C2108"/>
    <w:rsid w:val="006D0910"/>
    <w:rsid w:val="006E08DB"/>
    <w:rsid w:val="006F219C"/>
    <w:rsid w:val="006F3CC7"/>
    <w:rsid w:val="00700EE6"/>
    <w:rsid w:val="00707F31"/>
    <w:rsid w:val="00732EFC"/>
    <w:rsid w:val="007428E7"/>
    <w:rsid w:val="00765153"/>
    <w:rsid w:val="00787D9C"/>
    <w:rsid w:val="007C2914"/>
    <w:rsid w:val="007C4213"/>
    <w:rsid w:val="007E362D"/>
    <w:rsid w:val="00826811"/>
    <w:rsid w:val="00827E61"/>
    <w:rsid w:val="0083056F"/>
    <w:rsid w:val="00847132"/>
    <w:rsid w:val="008500DB"/>
    <w:rsid w:val="008525E2"/>
    <w:rsid w:val="00854E28"/>
    <w:rsid w:val="00855A92"/>
    <w:rsid w:val="00861CDE"/>
    <w:rsid w:val="008836D8"/>
    <w:rsid w:val="00885A35"/>
    <w:rsid w:val="00890350"/>
    <w:rsid w:val="008A5C70"/>
    <w:rsid w:val="008B055C"/>
    <w:rsid w:val="009579F7"/>
    <w:rsid w:val="00964F7E"/>
    <w:rsid w:val="00995362"/>
    <w:rsid w:val="009B1679"/>
    <w:rsid w:val="009C37CC"/>
    <w:rsid w:val="009C7FC7"/>
    <w:rsid w:val="009E19BF"/>
    <w:rsid w:val="009F0EF8"/>
    <w:rsid w:val="00A03A03"/>
    <w:rsid w:val="00A15945"/>
    <w:rsid w:val="00A54DE5"/>
    <w:rsid w:val="00A80656"/>
    <w:rsid w:val="00A9474C"/>
    <w:rsid w:val="00AA5399"/>
    <w:rsid w:val="00AC4CCE"/>
    <w:rsid w:val="00B16515"/>
    <w:rsid w:val="00B416AF"/>
    <w:rsid w:val="00B4412A"/>
    <w:rsid w:val="00B6418A"/>
    <w:rsid w:val="00B65A9C"/>
    <w:rsid w:val="00BA09A3"/>
    <w:rsid w:val="00BA2FCA"/>
    <w:rsid w:val="00BC0B7A"/>
    <w:rsid w:val="00BD0880"/>
    <w:rsid w:val="00C0211F"/>
    <w:rsid w:val="00C35CC5"/>
    <w:rsid w:val="00C61EBB"/>
    <w:rsid w:val="00C63E8C"/>
    <w:rsid w:val="00C7276B"/>
    <w:rsid w:val="00C72DFC"/>
    <w:rsid w:val="00CA7AA2"/>
    <w:rsid w:val="00CA7D8A"/>
    <w:rsid w:val="00CA7E27"/>
    <w:rsid w:val="00CB2292"/>
    <w:rsid w:val="00CC515F"/>
    <w:rsid w:val="00CD1A3B"/>
    <w:rsid w:val="00CD2734"/>
    <w:rsid w:val="00CD5774"/>
    <w:rsid w:val="00D24673"/>
    <w:rsid w:val="00D4588A"/>
    <w:rsid w:val="00D82284"/>
    <w:rsid w:val="00D92FDC"/>
    <w:rsid w:val="00D9552D"/>
    <w:rsid w:val="00DD65EA"/>
    <w:rsid w:val="00DF5CB6"/>
    <w:rsid w:val="00E22EE1"/>
    <w:rsid w:val="00E26850"/>
    <w:rsid w:val="00E36A7E"/>
    <w:rsid w:val="00E449A1"/>
    <w:rsid w:val="00E61062"/>
    <w:rsid w:val="00E951AA"/>
    <w:rsid w:val="00EC7E05"/>
    <w:rsid w:val="00ED2936"/>
    <w:rsid w:val="00EE492B"/>
    <w:rsid w:val="00F05158"/>
    <w:rsid w:val="00F93ADC"/>
    <w:rsid w:val="00FD1D3D"/>
    <w:rsid w:val="00FD6E55"/>
    <w:rsid w:val="00FF0DFF"/>
    <w:rsid w:val="00FF38BA"/>
    <w:rsid w:val="00FF3F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EE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22EE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22EE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22EE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22EE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22EE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link w:val="a5"/>
    <w:semiHidden/>
    <w:rsid w:val="009579F7"/>
    <w:rPr>
      <w:sz w:val="20"/>
      <w:szCs w:val="20"/>
    </w:rPr>
  </w:style>
  <w:style w:type="paragraph" w:customStyle="1" w:styleId="Cover1-Reshumot">
    <w:name w:val="Cover 1-Reshumot"/>
    <w:basedOn w:val="a"/>
    <w:rsid w:val="00E22EE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22EE1"/>
    <w:rPr>
      <w:sz w:val="36"/>
      <w:szCs w:val="52"/>
    </w:rPr>
  </w:style>
  <w:style w:type="paragraph" w:customStyle="1" w:styleId="Cover3-Haknesset">
    <w:name w:val="Cover 3-Haknesset"/>
    <w:basedOn w:val="Cover1-Reshumot"/>
    <w:rsid w:val="00E22EE1"/>
    <w:rPr>
      <w:b/>
      <w:bCs/>
      <w:spacing w:val="60"/>
    </w:rPr>
  </w:style>
  <w:style w:type="paragraph" w:customStyle="1" w:styleId="Cover4-Date">
    <w:name w:val="Cover 4-Date"/>
    <w:basedOn w:val="a"/>
    <w:rsid w:val="00E22EE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0"/>
    <w:semiHidden/>
    <w:rsid w:val="00E22EE1"/>
    <w:rPr>
      <w:vertAlign w:val="superscript"/>
    </w:rPr>
  </w:style>
  <w:style w:type="paragraph" w:customStyle="1" w:styleId="Ragil">
    <w:name w:val="Ragil"/>
    <w:basedOn w:val="a"/>
    <w:rsid w:val="00E22EE1"/>
    <w:pPr>
      <w:snapToGrid w:val="0"/>
      <w:jc w:val="left"/>
    </w:pPr>
    <w:rPr>
      <w:rFonts w:ascii="Arial" w:eastAsia="Arial Unicode MS" w:hAnsi="Arial"/>
      <w:snapToGrid w:val="0"/>
      <w:sz w:val="20"/>
      <w:szCs w:val="26"/>
    </w:rPr>
  </w:style>
  <w:style w:type="paragraph" w:styleId="a7">
    <w:name w:val="endnote text"/>
    <w:basedOn w:val="a"/>
    <w:semiHidden/>
    <w:rsid w:val="00E22EE1"/>
    <w:pPr>
      <w:ind w:left="227" w:hanging="227"/>
    </w:pPr>
    <w:rPr>
      <w:sz w:val="14"/>
      <w:szCs w:val="22"/>
    </w:rPr>
  </w:style>
  <w:style w:type="paragraph" w:styleId="a8">
    <w:name w:val="footer"/>
    <w:basedOn w:val="a"/>
    <w:rsid w:val="00E22EE1"/>
    <w:pPr>
      <w:tabs>
        <w:tab w:val="center" w:pos="4153"/>
        <w:tab w:val="right" w:pos="8306"/>
      </w:tabs>
    </w:pPr>
  </w:style>
  <w:style w:type="character" w:styleId="a9">
    <w:name w:val="footnote reference"/>
    <w:aliases w:val="Footnote Reference"/>
    <w:basedOn w:val="a0"/>
    <w:semiHidden/>
    <w:rsid w:val="00E22EE1"/>
    <w:rPr>
      <w:vertAlign w:val="superscript"/>
    </w:rPr>
  </w:style>
  <w:style w:type="paragraph" w:styleId="aa">
    <w:name w:val="footnote text"/>
    <w:basedOn w:val="a"/>
    <w:link w:val="ab"/>
    <w:autoRedefine/>
    <w:semiHidden/>
    <w:rsid w:val="00E22EE1"/>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E22EE1"/>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E22EE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22EE1"/>
    <w:pPr>
      <w:spacing w:before="120" w:after="120"/>
    </w:pPr>
    <w:rPr>
      <w:color w:val="FF0000"/>
      <w:w w:val="80"/>
    </w:rPr>
  </w:style>
  <w:style w:type="paragraph" w:customStyle="1" w:styleId="HeadMitparsemetBaze">
    <w:name w:val="Head MitparsemetBaze"/>
    <w:basedOn w:val="a"/>
    <w:rsid w:val="00E22EE1"/>
    <w:pPr>
      <w:keepNext/>
      <w:keepLines/>
      <w:pageBreakBefore/>
      <w:snapToGrid w:val="0"/>
      <w:spacing w:before="480"/>
    </w:pPr>
    <w:rPr>
      <w:rFonts w:ascii="Arial" w:eastAsia="Arial Unicode MS" w:hAnsi="Arial"/>
      <w:b/>
      <w:bCs/>
      <w:snapToGrid w:val="0"/>
      <w:sz w:val="20"/>
      <w:szCs w:val="26"/>
    </w:rPr>
  </w:style>
  <w:style w:type="paragraph" w:styleId="ac">
    <w:name w:val="header"/>
    <w:basedOn w:val="a"/>
    <w:rsid w:val="00E22EE1"/>
    <w:pPr>
      <w:tabs>
        <w:tab w:val="center" w:pos="4153"/>
        <w:tab w:val="right" w:pos="8306"/>
      </w:tabs>
    </w:pPr>
  </w:style>
  <w:style w:type="paragraph" w:customStyle="1" w:styleId="Hesber">
    <w:name w:val="Hesber"/>
    <w:basedOn w:val="a"/>
    <w:rsid w:val="00E22EE1"/>
    <w:pPr>
      <w:snapToGrid w:val="0"/>
      <w:ind w:left="0" w:firstLine="340"/>
    </w:pPr>
    <w:rPr>
      <w:rFonts w:ascii="Arial" w:eastAsia="Arial Unicode MS" w:hAnsi="Arial"/>
      <w:snapToGrid w:val="0"/>
      <w:sz w:val="20"/>
      <w:szCs w:val="26"/>
    </w:rPr>
  </w:style>
  <w:style w:type="paragraph" w:customStyle="1" w:styleId="Hesber1st">
    <w:name w:val="Hesber 1st"/>
    <w:basedOn w:val="Hesber"/>
    <w:rsid w:val="00E22EE1"/>
    <w:pPr>
      <w:tabs>
        <w:tab w:val="left" w:pos="680"/>
        <w:tab w:val="left" w:pos="1020"/>
      </w:tabs>
      <w:ind w:firstLine="0"/>
    </w:pPr>
  </w:style>
  <w:style w:type="paragraph" w:customStyle="1" w:styleId="HesberHeading">
    <w:name w:val="Hesber Heading"/>
    <w:basedOn w:val="Hesber"/>
    <w:rsid w:val="00E22EE1"/>
    <w:pPr>
      <w:tabs>
        <w:tab w:val="left" w:pos="624"/>
        <w:tab w:val="left" w:pos="1247"/>
      </w:tabs>
    </w:pPr>
    <w:rPr>
      <w:b/>
      <w:bCs/>
    </w:rPr>
  </w:style>
  <w:style w:type="paragraph" w:customStyle="1" w:styleId="HesberWriters">
    <w:name w:val="Hesber Writers"/>
    <w:basedOn w:val="Hesber"/>
    <w:rsid w:val="00E22EE1"/>
    <w:pPr>
      <w:spacing w:before="120" w:after="120"/>
      <w:ind w:left="1418"/>
      <w:jc w:val="right"/>
    </w:pPr>
    <w:rPr>
      <w:b/>
      <w:bCs/>
    </w:rPr>
  </w:style>
  <w:style w:type="character" w:styleId="Hyperlink">
    <w:name w:val="Hyperlink"/>
    <w:basedOn w:val="a0"/>
    <w:uiPriority w:val="99"/>
    <w:unhideWhenUsed/>
    <w:rsid w:val="00E22EE1"/>
    <w:rPr>
      <w:color w:val="0563C1" w:themeColor="hyperlink"/>
      <w:u w:val="single"/>
    </w:rPr>
  </w:style>
  <w:style w:type="character" w:styleId="ad">
    <w:name w:val="page number"/>
    <w:basedOn w:val="a0"/>
    <w:rsid w:val="00E22EE1"/>
  </w:style>
  <w:style w:type="paragraph" w:customStyle="1" w:styleId="TableText">
    <w:name w:val="Table Text"/>
    <w:basedOn w:val="a"/>
    <w:rsid w:val="00E22EE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E22EE1"/>
    <w:pPr>
      <w:jc w:val="both"/>
    </w:pPr>
  </w:style>
  <w:style w:type="paragraph" w:customStyle="1" w:styleId="TableBlockOutdent">
    <w:name w:val="Table BlockOutdent"/>
    <w:basedOn w:val="TableBlock"/>
    <w:rsid w:val="00E22EE1"/>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E22EE1"/>
    <w:pPr>
      <w:jc w:val="center"/>
      <w:outlineLvl w:val="1"/>
    </w:pPr>
    <w:rPr>
      <w:b/>
      <w:bCs/>
    </w:rPr>
  </w:style>
  <w:style w:type="paragraph" w:customStyle="1" w:styleId="TableSideHeading">
    <w:name w:val="Table SideHeading"/>
    <w:basedOn w:val="TableText"/>
    <w:rsid w:val="00E22EE1"/>
    <w:pPr>
      <w:outlineLvl w:val="2"/>
    </w:pPr>
  </w:style>
  <w:style w:type="paragraph" w:customStyle="1" w:styleId="TableInnerSideHeading">
    <w:name w:val="Table InnerSideHeading"/>
    <w:basedOn w:val="TableSideHeading"/>
    <w:rsid w:val="00E22EE1"/>
    <w:pPr>
      <w:outlineLvl w:val="9"/>
    </w:pPr>
  </w:style>
  <w:style w:type="paragraph" w:customStyle="1" w:styleId="TableText2">
    <w:name w:val="Table Text2"/>
    <w:basedOn w:val="TableText"/>
    <w:rsid w:val="009579F7"/>
  </w:style>
  <w:style w:type="paragraph" w:styleId="ae">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b">
    <w:name w:val="טקסט הערת שוליים תו"/>
    <w:link w:val="aa"/>
    <w:semiHidden/>
    <w:rsid w:val="008525E2"/>
    <w:rPr>
      <w:rFonts w:ascii="Arial" w:eastAsia="Arial Unicode MS" w:hAnsi="Arial" w:cs="David"/>
      <w:snapToGrid w:val="0"/>
      <w:sz w:val="14"/>
    </w:rPr>
  </w:style>
  <w:style w:type="paragraph" w:styleId="af">
    <w:name w:val="Balloon Text"/>
    <w:basedOn w:val="a"/>
    <w:link w:val="af0"/>
    <w:rsid w:val="0024044E"/>
    <w:pPr>
      <w:spacing w:line="240" w:lineRule="auto"/>
    </w:pPr>
    <w:rPr>
      <w:rFonts w:ascii="Tahoma" w:hAnsi="Tahoma" w:cs="Tahoma"/>
      <w:sz w:val="16"/>
      <w:szCs w:val="16"/>
    </w:rPr>
  </w:style>
  <w:style w:type="character" w:customStyle="1" w:styleId="af0">
    <w:name w:val="טקסט בלונים תו"/>
    <w:basedOn w:val="a0"/>
    <w:link w:val="af"/>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E22EE1"/>
    <w:rPr>
      <w:rFonts w:asciiTheme="majorHAnsi" w:eastAsiaTheme="majorEastAsia" w:hAnsiTheme="majorHAnsi" w:cs="David"/>
      <w:sz w:val="24"/>
      <w:szCs w:val="28"/>
      <w:u w:val="double"/>
    </w:rPr>
  </w:style>
  <w:style w:type="character" w:customStyle="1" w:styleId="40">
    <w:name w:val="כותרת 4 תו"/>
    <w:basedOn w:val="a0"/>
    <w:link w:val="4"/>
    <w:uiPriority w:val="9"/>
    <w:rsid w:val="00E22EE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22EE1"/>
    <w:rPr>
      <w:rFonts w:ascii="David" w:eastAsiaTheme="minorHAnsi" w:hAnsi="David" w:cs="David"/>
      <w:color w:val="000000" w:themeColor="text1"/>
      <w:sz w:val="24"/>
      <w:szCs w:val="24"/>
    </w:rPr>
  </w:style>
  <w:style w:type="character" w:customStyle="1" w:styleId="10">
    <w:name w:val="כותרת 1 תו"/>
    <w:basedOn w:val="a0"/>
    <w:link w:val="1"/>
    <w:uiPriority w:val="9"/>
    <w:rsid w:val="00E22EE1"/>
    <w:rPr>
      <w:rFonts w:asciiTheme="majorHAnsi" w:eastAsiaTheme="majorEastAsia" w:hAnsiTheme="majorHAnsi" w:cs="David"/>
      <w:bCs/>
      <w:sz w:val="32"/>
      <w:szCs w:val="36"/>
    </w:rPr>
  </w:style>
  <w:style w:type="paragraph" w:styleId="af1">
    <w:name w:val="TOC Heading"/>
    <w:basedOn w:val="1"/>
    <w:next w:val="a"/>
    <w:uiPriority w:val="39"/>
    <w:unhideWhenUsed/>
    <w:qFormat/>
    <w:rsid w:val="00E22EE1"/>
    <w:pPr>
      <w:widowControl/>
      <w:spacing w:before="120" w:after="120"/>
      <w:outlineLvl w:val="9"/>
    </w:pPr>
    <w:rPr>
      <w:rtl/>
      <w:cs/>
    </w:rPr>
  </w:style>
  <w:style w:type="paragraph" w:styleId="TOC1">
    <w:name w:val="toc 1"/>
    <w:basedOn w:val="a"/>
    <w:next w:val="a"/>
    <w:autoRedefine/>
    <w:uiPriority w:val="39"/>
    <w:unhideWhenUsed/>
    <w:rsid w:val="00E22EE1"/>
    <w:pPr>
      <w:tabs>
        <w:tab w:val="right" w:leader="dot" w:pos="9629"/>
      </w:tabs>
      <w:spacing w:after="100"/>
    </w:pPr>
    <w:rPr>
      <w:bCs/>
      <w:szCs w:val="22"/>
    </w:rPr>
  </w:style>
  <w:style w:type="paragraph" w:styleId="TOC2">
    <w:name w:val="toc 2"/>
    <w:basedOn w:val="a"/>
    <w:next w:val="a"/>
    <w:uiPriority w:val="39"/>
    <w:unhideWhenUsed/>
    <w:rsid w:val="00E22EE1"/>
    <w:pPr>
      <w:tabs>
        <w:tab w:val="right" w:leader="dot" w:pos="9628"/>
      </w:tabs>
      <w:spacing w:after="100"/>
    </w:pPr>
    <w:rPr>
      <w:szCs w:val="22"/>
    </w:rPr>
  </w:style>
  <w:style w:type="paragraph" w:styleId="TOC3">
    <w:name w:val="toc 3"/>
    <w:basedOn w:val="a"/>
    <w:next w:val="a"/>
    <w:uiPriority w:val="39"/>
    <w:unhideWhenUsed/>
    <w:rsid w:val="00E22EE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22EE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22EE1"/>
    <w:pPr>
      <w:tabs>
        <w:tab w:val="right" w:leader="dot" w:pos="9628"/>
      </w:tabs>
      <w:spacing w:after="100"/>
      <w:ind w:left="567"/>
    </w:pPr>
    <w:rPr>
      <w:szCs w:val="22"/>
    </w:rPr>
  </w:style>
  <w:style w:type="paragraph" w:styleId="TOC6">
    <w:name w:val="toc 6"/>
    <w:basedOn w:val="a"/>
    <w:next w:val="a"/>
    <w:autoRedefine/>
    <w:semiHidden/>
    <w:unhideWhenUsed/>
    <w:rsid w:val="00E22EE1"/>
    <w:pPr>
      <w:spacing w:after="100"/>
      <w:ind w:left="850"/>
    </w:pPr>
  </w:style>
  <w:style w:type="paragraph" w:styleId="TOC7">
    <w:name w:val="toc 7"/>
    <w:basedOn w:val="a"/>
    <w:next w:val="a"/>
    <w:autoRedefine/>
    <w:semiHidden/>
    <w:unhideWhenUsed/>
    <w:rsid w:val="00E22EE1"/>
    <w:pPr>
      <w:spacing w:after="100"/>
      <w:ind w:left="1020"/>
    </w:pPr>
  </w:style>
  <w:style w:type="paragraph" w:styleId="TOC8">
    <w:name w:val="toc 8"/>
    <w:basedOn w:val="a"/>
    <w:next w:val="a"/>
    <w:autoRedefine/>
    <w:semiHidden/>
    <w:unhideWhenUsed/>
    <w:rsid w:val="00E22EE1"/>
    <w:pPr>
      <w:spacing w:after="100"/>
      <w:ind w:left="1190"/>
    </w:pPr>
  </w:style>
  <w:style w:type="paragraph" w:styleId="TOC9">
    <w:name w:val="toc 9"/>
    <w:basedOn w:val="a"/>
    <w:next w:val="a"/>
    <w:autoRedefine/>
    <w:semiHidden/>
    <w:unhideWhenUsed/>
    <w:rsid w:val="00E22EE1"/>
    <w:pPr>
      <w:spacing w:after="100"/>
      <w:ind w:left="1360"/>
    </w:pPr>
  </w:style>
  <w:style w:type="character" w:customStyle="1" w:styleId="20">
    <w:name w:val="כותרת 2 תו"/>
    <w:basedOn w:val="a0"/>
    <w:link w:val="2"/>
    <w:rsid w:val="00E22EE1"/>
    <w:rPr>
      <w:rFonts w:asciiTheme="majorHAnsi" w:eastAsiaTheme="majorEastAsia" w:hAnsiTheme="majorHAnsi" w:cs="David"/>
      <w:bCs/>
      <w:sz w:val="26"/>
      <w:szCs w:val="36"/>
      <w:u w:val="single"/>
    </w:rPr>
  </w:style>
  <w:style w:type="paragraph" w:customStyle="1" w:styleId="TableHead2">
    <w:name w:val="Table Head2"/>
    <w:basedOn w:val="TableHead"/>
    <w:qFormat/>
    <w:rsid w:val="00E22EE1"/>
    <w:pPr>
      <w:outlineLvl w:val="9"/>
    </w:pPr>
  </w:style>
  <w:style w:type="paragraph" w:customStyle="1" w:styleId="TableSideHeading2">
    <w:name w:val="Table SideHeading2"/>
    <w:basedOn w:val="TableSideHeading"/>
    <w:autoRedefine/>
    <w:qFormat/>
    <w:rsid w:val="00E22EE1"/>
    <w:pPr>
      <w:keepLines w:val="0"/>
      <w:outlineLvl w:val="9"/>
    </w:pPr>
  </w:style>
  <w:style w:type="paragraph" w:customStyle="1" w:styleId="0">
    <w:name w:val="סגנון שורה ראשונה:  0  ס''מ"/>
    <w:basedOn w:val="2"/>
    <w:rsid w:val="00E22EE1"/>
    <w:rPr>
      <w:rFonts w:eastAsia="Times New Roman"/>
    </w:rPr>
  </w:style>
  <w:style w:type="paragraph" w:styleId="af2">
    <w:name w:val="List Paragraph"/>
    <w:basedOn w:val="a"/>
    <w:uiPriority w:val="34"/>
    <w:qFormat/>
    <w:rsid w:val="00E22EE1"/>
    <w:pPr>
      <w:widowControl/>
      <w:spacing w:line="259" w:lineRule="auto"/>
    </w:pPr>
    <w:rPr>
      <w:rFonts w:asciiTheme="minorHAnsi" w:hAnsiTheme="minorHAnsi"/>
      <w:sz w:val="22"/>
    </w:rPr>
  </w:style>
  <w:style w:type="table" w:styleId="af3">
    <w:name w:val="Table Grid"/>
    <w:basedOn w:val="a1"/>
    <w:rsid w:val="00E22EE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E22EE1"/>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E22EE1"/>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4">
    <w:name w:val="טבלת חקיקה"/>
    <w:basedOn w:val="a1"/>
    <w:uiPriority w:val="99"/>
    <w:rsid w:val="00E22EE1"/>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E22EE1"/>
    <w:rPr>
      <w:rFonts w:eastAsia="MS Mincho"/>
    </w:rPr>
    <w:tblPr/>
    <w:tblStylePr w:type="firstCol">
      <w:pPr>
        <w:keepNext w:val="0"/>
        <w:keepLines/>
        <w:pageBreakBefore w:val="0"/>
        <w:widowControl w:val="0"/>
        <w:suppressLineNumbers w:val="0"/>
        <w:suppressAutoHyphens w:val="0"/>
        <w:wordWrap/>
      </w:pPr>
    </w:tblStylePr>
  </w:style>
  <w:style w:type="paragraph" w:styleId="af5">
    <w:name w:val="annotation subject"/>
    <w:basedOn w:val="a4"/>
    <w:next w:val="a4"/>
    <w:link w:val="af6"/>
    <w:semiHidden/>
    <w:unhideWhenUsed/>
    <w:rsid w:val="00CB2292"/>
    <w:pPr>
      <w:spacing w:line="240" w:lineRule="auto"/>
    </w:pPr>
    <w:rPr>
      <w:b/>
      <w:bCs/>
    </w:rPr>
  </w:style>
  <w:style w:type="character" w:customStyle="1" w:styleId="a5">
    <w:name w:val="טקסט הערה תו"/>
    <w:basedOn w:val="a0"/>
    <w:link w:val="a4"/>
    <w:semiHidden/>
    <w:rsid w:val="00CB2292"/>
    <w:rPr>
      <w:rFonts w:ascii="David" w:eastAsiaTheme="minorHAnsi" w:hAnsi="David" w:cs="David"/>
    </w:rPr>
  </w:style>
  <w:style w:type="character" w:customStyle="1" w:styleId="af6">
    <w:name w:val="נושא הערה תו"/>
    <w:basedOn w:val="a5"/>
    <w:link w:val="af5"/>
    <w:semiHidden/>
    <w:rsid w:val="00CB2292"/>
    <w:rPr>
      <w:rFonts w:ascii="David" w:eastAsiaTheme="minorHAnsi" w:hAnsi="David"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2.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3.xml><?xml version="1.0" encoding="utf-8"?>
<ds:datastoreItem xmlns:ds="http://schemas.openxmlformats.org/officeDocument/2006/customXml" ds:itemID="{9AAD3E59-1685-4866-88AE-10917921A27A}">
  <ds:schemaRef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121482B-B8C4-4F73-BA32-F6328074B3CA}"/>
</file>

<file path=docProps/app.xml><?xml version="1.0" encoding="utf-8"?>
<Properties xmlns="http://schemas.openxmlformats.org/officeDocument/2006/extended-properties" xmlns:vt="http://schemas.openxmlformats.org/officeDocument/2006/docPropsVTypes">
  <Template>Normal</Template>
  <TotalTime>154</TotalTime>
  <Pages>12</Pages>
  <Words>2057</Words>
  <Characters>11727</Characters>
  <Application>Microsoft Office Word</Application>
  <DocSecurity>0</DocSecurity>
  <Lines>97</Lines>
  <Paragraphs>27</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13757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טליה ווייס עמר</cp:lastModifiedBy>
  <cp:revision>21</cp:revision>
  <cp:lastPrinted>1900-12-31T21:00:00Z</cp:lastPrinted>
  <dcterms:created xsi:type="dcterms:W3CDTF">2015-06-14T12:44:00Z</dcterms:created>
  <dcterms:modified xsi:type="dcterms:W3CDTF">2023-11-12T13:11:00Z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f252ae8a-a95b-4509-be43-846f7ec23416</vt:lpwstr>
  </property>
  <property fmtid="{D5CDD505-2E9C-101B-9397-08002B2CF9AE}" pid="20" name="SanhedrinItemID">
    <vt:r8>2211218</vt:r8>
  </property>
  <property fmtid="{D5CDD505-2E9C-101B-9397-08002B2CF9AE}" pid="21" name="SanhedrinDocumentType">
    <vt:r8>42</vt:r8>
  </property>
</Properties>
</file>