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1CEA6" w14:textId="77777777" w:rsidR="008525E2" w:rsidRDefault="00C7276B" w:rsidP="008525E2">
      <w:pPr>
        <w:jc w:val="center"/>
        <w:rPr>
          <w:b/>
          <w:bCs/>
          <w:sz w:val="28"/>
          <w:szCs w:val="28"/>
          <w:rtl/>
        </w:rPr>
      </w:pPr>
      <w:r>
        <w:rPr>
          <w:noProof/>
        </w:rPr>
        <w:drawing>
          <wp:inline distT="0" distB="0" distL="0" distR="0" wp14:anchorId="11F1CECB" wp14:editId="11F1CECC">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11F1CEA7" w14:textId="77777777" w:rsidR="008525E2" w:rsidRDefault="008525E2" w:rsidP="008525E2">
      <w:pPr>
        <w:jc w:val="center"/>
        <w:rPr>
          <w:b/>
          <w:bCs/>
          <w:sz w:val="28"/>
          <w:szCs w:val="28"/>
          <w:rtl/>
        </w:rPr>
      </w:pPr>
    </w:p>
    <w:p w14:paraId="11F1CEA8" w14:textId="539F6C7F" w:rsidR="008525E2" w:rsidRDefault="00220CAF" w:rsidP="003A6179">
      <w:pPr>
        <w:jc w:val="center"/>
        <w:rPr>
          <w:b/>
          <w:bCs/>
          <w:sz w:val="28"/>
          <w:szCs w:val="28"/>
          <w:rtl/>
        </w:rPr>
      </w:pPr>
      <w:bookmarkStart w:id="0" w:name="LGSName"/>
      <w:r>
        <w:rPr>
          <w:rStyle w:val="HeadHatzaotHok0"/>
          <w:rFonts w:hint="cs"/>
          <w:rtl/>
        </w:rPr>
        <w:t xml:space="preserve">חוק למניעת העסקה במוסדות מסוימים של מי שהורשע באלימות כלפי ילדים וחסרי ישע, </w:t>
      </w:r>
      <w:proofErr w:type="spellStart"/>
      <w:r>
        <w:rPr>
          <w:rStyle w:val="HeadHatzaotHok0"/>
          <w:rFonts w:hint="cs"/>
          <w:rtl/>
        </w:rPr>
        <w:t>התשפ"ג</w:t>
      </w:r>
      <w:proofErr w:type="spellEnd"/>
      <w:r w:rsidR="003A6179">
        <w:rPr>
          <w:rStyle w:val="HeadHatzaotHok0"/>
          <w:rFonts w:hint="eastAsia"/>
          <w:rtl/>
        </w:rPr>
        <w:t>–</w:t>
      </w:r>
      <w:r>
        <w:rPr>
          <w:rStyle w:val="HeadHatzaotHok0"/>
          <w:rFonts w:hint="cs"/>
          <w:rtl/>
        </w:rPr>
        <w:t>2023</w:t>
      </w:r>
      <w:bookmarkEnd w:id="0"/>
      <w:r w:rsidR="008525E2">
        <w:rPr>
          <w:rStyle w:val="aa"/>
          <w:b/>
          <w:bCs/>
          <w:sz w:val="28"/>
          <w:szCs w:val="28"/>
          <w:rtl/>
        </w:rPr>
        <w:footnoteReference w:customMarkFollows="1" w:id="1"/>
        <w:t>*</w:t>
      </w:r>
    </w:p>
    <w:tbl>
      <w:tblPr>
        <w:bidiVisual/>
        <w:tblW w:w="9637" w:type="dxa"/>
        <w:tblLayout w:type="fixed"/>
        <w:tblCellMar>
          <w:top w:w="57" w:type="dxa"/>
          <w:left w:w="0" w:type="dxa"/>
          <w:bottom w:w="57" w:type="dxa"/>
          <w:right w:w="0" w:type="dxa"/>
        </w:tblCellMar>
        <w:tblLook w:val="0000" w:firstRow="0" w:lastRow="0" w:firstColumn="0" w:lastColumn="0" w:noHBand="0" w:noVBand="0"/>
      </w:tblPr>
      <w:tblGrid>
        <w:gridCol w:w="1870"/>
        <w:gridCol w:w="624"/>
        <w:gridCol w:w="624"/>
        <w:gridCol w:w="6519"/>
      </w:tblGrid>
      <w:tr w:rsidR="00FA3A5B" w:rsidRPr="009D7811" w14:paraId="74D89B95" w14:textId="77777777" w:rsidTr="00FA3A5B">
        <w:trPr>
          <w:cantSplit/>
        </w:trPr>
        <w:tc>
          <w:tcPr>
            <w:tcW w:w="1870" w:type="dxa"/>
            <w:shd w:val="clear" w:color="auto" w:fill="auto"/>
            <w:tcMar>
              <w:top w:w="91" w:type="dxa"/>
              <w:left w:w="0" w:type="dxa"/>
              <w:bottom w:w="91" w:type="dxa"/>
              <w:right w:w="0" w:type="dxa"/>
            </w:tcMar>
          </w:tcPr>
          <w:p w14:paraId="48137AC9" w14:textId="77777777" w:rsidR="00FA3A5B" w:rsidRPr="009D7811" w:rsidRDefault="00FA3A5B" w:rsidP="000A3FBD">
            <w:pPr>
              <w:pStyle w:val="TableSideHeading"/>
              <w:rPr>
                <w:rtl/>
              </w:rPr>
            </w:pPr>
            <w:r w:rsidRPr="009D7811">
              <w:rPr>
                <w:rtl/>
              </w:rPr>
              <w:t>הגדרות</w:t>
            </w:r>
          </w:p>
        </w:tc>
        <w:tc>
          <w:tcPr>
            <w:tcW w:w="624" w:type="dxa"/>
            <w:shd w:val="clear" w:color="auto" w:fill="auto"/>
            <w:tcMar>
              <w:top w:w="91" w:type="dxa"/>
              <w:left w:w="0" w:type="dxa"/>
              <w:bottom w:w="91" w:type="dxa"/>
              <w:right w:w="0" w:type="dxa"/>
            </w:tcMar>
          </w:tcPr>
          <w:p w14:paraId="2E5A3BCD" w14:textId="77777777" w:rsidR="00FA3A5B" w:rsidRPr="009D7811" w:rsidRDefault="00FA3A5B" w:rsidP="000A3FBD">
            <w:pPr>
              <w:pStyle w:val="TableText"/>
              <w:rPr>
                <w:rtl/>
              </w:rPr>
            </w:pPr>
            <w:r w:rsidRPr="009D7811">
              <w:rPr>
                <w:rtl/>
              </w:rPr>
              <w:t>1.</w:t>
            </w:r>
          </w:p>
        </w:tc>
        <w:tc>
          <w:tcPr>
            <w:tcW w:w="7143" w:type="dxa"/>
            <w:gridSpan w:val="2"/>
            <w:shd w:val="clear" w:color="auto" w:fill="auto"/>
            <w:tcMar>
              <w:top w:w="91" w:type="dxa"/>
              <w:left w:w="0" w:type="dxa"/>
              <w:bottom w:w="91" w:type="dxa"/>
              <w:right w:w="0" w:type="dxa"/>
            </w:tcMar>
          </w:tcPr>
          <w:p w14:paraId="56B4E596" w14:textId="77777777" w:rsidR="00FA3A5B" w:rsidRPr="009D7811" w:rsidRDefault="00FA3A5B" w:rsidP="00FA3A5B">
            <w:pPr>
              <w:pStyle w:val="TableBlock"/>
              <w:rPr>
                <w:rtl/>
              </w:rPr>
            </w:pPr>
            <w:r w:rsidRPr="009D7811">
              <w:rPr>
                <w:rtl/>
              </w:rPr>
              <w:t>בחוק זה –</w:t>
            </w:r>
          </w:p>
        </w:tc>
      </w:tr>
      <w:tr w:rsidR="00FA3A5B" w:rsidRPr="009D7811" w14:paraId="0EBEA294" w14:textId="77777777" w:rsidTr="00FA3A5B">
        <w:trPr>
          <w:cantSplit/>
        </w:trPr>
        <w:tc>
          <w:tcPr>
            <w:tcW w:w="1870" w:type="dxa"/>
            <w:shd w:val="clear" w:color="auto" w:fill="auto"/>
            <w:tcMar>
              <w:top w:w="91" w:type="dxa"/>
              <w:left w:w="0" w:type="dxa"/>
              <w:bottom w:w="91" w:type="dxa"/>
              <w:right w:w="0" w:type="dxa"/>
            </w:tcMar>
          </w:tcPr>
          <w:p w14:paraId="34D59924" w14:textId="77777777" w:rsidR="00FA3A5B" w:rsidRPr="009D7811" w:rsidRDefault="00FA3A5B" w:rsidP="000A3FBD">
            <w:pPr>
              <w:pStyle w:val="TableSideHeading"/>
              <w:rPr>
                <w:rtl/>
              </w:rPr>
            </w:pPr>
          </w:p>
        </w:tc>
        <w:tc>
          <w:tcPr>
            <w:tcW w:w="624" w:type="dxa"/>
            <w:shd w:val="clear" w:color="auto" w:fill="auto"/>
            <w:tcMar>
              <w:top w:w="91" w:type="dxa"/>
              <w:left w:w="0" w:type="dxa"/>
              <w:bottom w:w="91" w:type="dxa"/>
              <w:right w:w="0" w:type="dxa"/>
            </w:tcMar>
          </w:tcPr>
          <w:p w14:paraId="0160D738" w14:textId="77777777" w:rsidR="00FA3A5B" w:rsidRPr="009D7811" w:rsidRDefault="00FA3A5B" w:rsidP="000A3FBD">
            <w:pPr>
              <w:pStyle w:val="TableText"/>
              <w:rPr>
                <w:rtl/>
              </w:rPr>
            </w:pPr>
          </w:p>
        </w:tc>
        <w:tc>
          <w:tcPr>
            <w:tcW w:w="7143" w:type="dxa"/>
            <w:gridSpan w:val="2"/>
            <w:shd w:val="clear" w:color="auto" w:fill="auto"/>
            <w:tcMar>
              <w:top w:w="91" w:type="dxa"/>
              <w:left w:w="0" w:type="dxa"/>
              <w:bottom w:w="91" w:type="dxa"/>
              <w:right w:w="0" w:type="dxa"/>
            </w:tcMar>
          </w:tcPr>
          <w:p w14:paraId="7B2D2A59" w14:textId="77777777" w:rsidR="00FA3A5B" w:rsidRPr="009D7811" w:rsidRDefault="00FA3A5B" w:rsidP="00FA3A5B">
            <w:pPr>
              <w:pStyle w:val="TableBlockOutdent"/>
              <w:rPr>
                <w:rtl/>
              </w:rPr>
            </w:pPr>
            <w:r w:rsidRPr="009D7811">
              <w:rPr>
                <w:rtl/>
              </w:rPr>
              <w:t>"בגיר"</w:t>
            </w:r>
            <w:r w:rsidRPr="009D7811">
              <w:rPr>
                <w:rFonts w:hint="cs"/>
                <w:rtl/>
              </w:rPr>
              <w:t xml:space="preserve"> </w:t>
            </w:r>
            <w:r w:rsidRPr="009D7811">
              <w:rPr>
                <w:rtl/>
              </w:rPr>
              <w:t>– מי שמלאו לו 18 שנים;</w:t>
            </w:r>
          </w:p>
        </w:tc>
      </w:tr>
      <w:tr w:rsidR="00FA3A5B" w:rsidRPr="009D7811" w14:paraId="7E53406B" w14:textId="77777777" w:rsidTr="00FA3A5B">
        <w:trPr>
          <w:cantSplit/>
        </w:trPr>
        <w:tc>
          <w:tcPr>
            <w:tcW w:w="1870" w:type="dxa"/>
            <w:shd w:val="clear" w:color="auto" w:fill="auto"/>
            <w:tcMar>
              <w:top w:w="91" w:type="dxa"/>
              <w:left w:w="0" w:type="dxa"/>
              <w:bottom w:w="91" w:type="dxa"/>
              <w:right w:w="0" w:type="dxa"/>
            </w:tcMar>
          </w:tcPr>
          <w:p w14:paraId="426FCBBA" w14:textId="77777777" w:rsidR="00FA3A5B" w:rsidRPr="009D7811" w:rsidRDefault="00FA3A5B" w:rsidP="000A3FBD">
            <w:pPr>
              <w:pStyle w:val="TableSideHeading"/>
              <w:rPr>
                <w:rtl/>
              </w:rPr>
            </w:pPr>
          </w:p>
        </w:tc>
        <w:tc>
          <w:tcPr>
            <w:tcW w:w="624" w:type="dxa"/>
            <w:shd w:val="clear" w:color="auto" w:fill="auto"/>
            <w:tcMar>
              <w:top w:w="91" w:type="dxa"/>
              <w:left w:w="0" w:type="dxa"/>
              <w:bottom w:w="91" w:type="dxa"/>
              <w:right w:w="0" w:type="dxa"/>
            </w:tcMar>
          </w:tcPr>
          <w:p w14:paraId="55E76EBE" w14:textId="77777777" w:rsidR="00FA3A5B" w:rsidRPr="009D7811" w:rsidRDefault="00FA3A5B" w:rsidP="000A3FBD">
            <w:pPr>
              <w:pStyle w:val="TableText"/>
              <w:rPr>
                <w:rtl/>
              </w:rPr>
            </w:pPr>
          </w:p>
        </w:tc>
        <w:tc>
          <w:tcPr>
            <w:tcW w:w="7143" w:type="dxa"/>
            <w:gridSpan w:val="2"/>
            <w:shd w:val="clear" w:color="auto" w:fill="auto"/>
            <w:tcMar>
              <w:top w:w="91" w:type="dxa"/>
              <w:left w:w="0" w:type="dxa"/>
              <w:bottom w:w="91" w:type="dxa"/>
              <w:right w:w="0" w:type="dxa"/>
            </w:tcMar>
          </w:tcPr>
          <w:p w14:paraId="2A905680" w14:textId="77777777" w:rsidR="00FA3A5B" w:rsidRPr="009D7811" w:rsidRDefault="00FA3A5B" w:rsidP="00FA3A5B">
            <w:pPr>
              <w:pStyle w:val="TableBlock"/>
              <w:rPr>
                <w:rtl/>
              </w:rPr>
            </w:pPr>
            <w:r w:rsidRPr="009D7811">
              <w:rPr>
                <w:rtl/>
              </w:rPr>
              <w:t>"ועדת המומחים" – כמשמעותה בסעיף 5;</w:t>
            </w:r>
          </w:p>
        </w:tc>
      </w:tr>
      <w:tr w:rsidR="00FA3A5B" w:rsidRPr="009D7811" w14:paraId="44A1B077" w14:textId="77777777" w:rsidTr="00FA3A5B">
        <w:trPr>
          <w:cantSplit/>
        </w:trPr>
        <w:tc>
          <w:tcPr>
            <w:tcW w:w="1870" w:type="dxa"/>
            <w:shd w:val="clear" w:color="auto" w:fill="auto"/>
            <w:tcMar>
              <w:top w:w="91" w:type="dxa"/>
              <w:left w:w="0" w:type="dxa"/>
              <w:bottom w:w="91" w:type="dxa"/>
              <w:right w:w="0" w:type="dxa"/>
            </w:tcMar>
          </w:tcPr>
          <w:p w14:paraId="5ADB337E" w14:textId="77777777" w:rsidR="00FA3A5B" w:rsidRPr="009D7811" w:rsidRDefault="00FA3A5B" w:rsidP="000A3FBD">
            <w:pPr>
              <w:pStyle w:val="TableSideHeading"/>
              <w:rPr>
                <w:rtl/>
              </w:rPr>
            </w:pPr>
          </w:p>
        </w:tc>
        <w:tc>
          <w:tcPr>
            <w:tcW w:w="624" w:type="dxa"/>
            <w:shd w:val="clear" w:color="auto" w:fill="auto"/>
            <w:tcMar>
              <w:top w:w="91" w:type="dxa"/>
              <w:left w:w="0" w:type="dxa"/>
              <w:bottom w:w="91" w:type="dxa"/>
              <w:right w:w="0" w:type="dxa"/>
            </w:tcMar>
          </w:tcPr>
          <w:p w14:paraId="265354E6" w14:textId="77777777" w:rsidR="00FA3A5B" w:rsidRPr="009D7811" w:rsidRDefault="00FA3A5B" w:rsidP="000A3FBD">
            <w:pPr>
              <w:pStyle w:val="TableText"/>
              <w:rPr>
                <w:rtl/>
              </w:rPr>
            </w:pPr>
          </w:p>
        </w:tc>
        <w:tc>
          <w:tcPr>
            <w:tcW w:w="7143" w:type="dxa"/>
            <w:gridSpan w:val="2"/>
            <w:shd w:val="clear" w:color="auto" w:fill="auto"/>
            <w:tcMar>
              <w:top w:w="91" w:type="dxa"/>
              <w:left w:w="0" w:type="dxa"/>
              <w:bottom w:w="91" w:type="dxa"/>
              <w:right w:w="0" w:type="dxa"/>
            </w:tcMar>
          </w:tcPr>
          <w:p w14:paraId="65ECB326" w14:textId="77777777" w:rsidR="00FA3A5B" w:rsidRPr="009D7811" w:rsidRDefault="00FA3A5B" w:rsidP="00FA3A5B">
            <w:pPr>
              <w:pStyle w:val="TableBlockOutdent"/>
              <w:rPr>
                <w:rtl/>
              </w:rPr>
            </w:pPr>
            <w:r w:rsidRPr="009D7811">
              <w:rPr>
                <w:rtl/>
              </w:rPr>
              <w:t xml:space="preserve">"חוק המידע הפלילי" – חוק המידע הפלילי ותקנת השבים, </w:t>
            </w:r>
            <w:proofErr w:type="spellStart"/>
            <w:r w:rsidRPr="009D7811">
              <w:rPr>
                <w:rtl/>
              </w:rPr>
              <w:t>התשע"ט</w:t>
            </w:r>
            <w:proofErr w:type="spellEnd"/>
            <w:r w:rsidRPr="009D7811">
              <w:rPr>
                <w:rtl/>
              </w:rPr>
              <w:t>–2019‏</w:t>
            </w:r>
            <w:r w:rsidRPr="00FA3A5B">
              <w:rPr>
                <w:rStyle w:val="aa"/>
                <w:rFonts w:ascii="David" w:hAnsi="David"/>
                <w:sz w:val="26"/>
                <w:rtl/>
              </w:rPr>
              <w:footnoteReference w:id="2"/>
            </w:r>
            <w:r w:rsidRPr="009D7811">
              <w:rPr>
                <w:rtl/>
              </w:rPr>
              <w:t>;</w:t>
            </w:r>
          </w:p>
        </w:tc>
      </w:tr>
      <w:tr w:rsidR="00FA3A5B" w:rsidRPr="009D7811" w14:paraId="176C3F45" w14:textId="77777777" w:rsidTr="00FA3A5B">
        <w:trPr>
          <w:cantSplit/>
        </w:trPr>
        <w:tc>
          <w:tcPr>
            <w:tcW w:w="1870" w:type="dxa"/>
            <w:shd w:val="clear" w:color="auto" w:fill="auto"/>
            <w:tcMar>
              <w:top w:w="91" w:type="dxa"/>
              <w:left w:w="0" w:type="dxa"/>
              <w:bottom w:w="91" w:type="dxa"/>
              <w:right w:w="0" w:type="dxa"/>
            </w:tcMar>
          </w:tcPr>
          <w:p w14:paraId="09FBA225" w14:textId="77777777" w:rsidR="00FA3A5B" w:rsidRPr="009D7811" w:rsidRDefault="00FA3A5B" w:rsidP="000A3FBD">
            <w:pPr>
              <w:pStyle w:val="TableSideHeading"/>
              <w:rPr>
                <w:rtl/>
              </w:rPr>
            </w:pPr>
          </w:p>
        </w:tc>
        <w:tc>
          <w:tcPr>
            <w:tcW w:w="624" w:type="dxa"/>
            <w:shd w:val="clear" w:color="auto" w:fill="auto"/>
            <w:tcMar>
              <w:top w:w="91" w:type="dxa"/>
              <w:left w:w="0" w:type="dxa"/>
              <w:bottom w:w="91" w:type="dxa"/>
              <w:right w:w="0" w:type="dxa"/>
            </w:tcMar>
          </w:tcPr>
          <w:p w14:paraId="158821E9" w14:textId="77777777" w:rsidR="00FA3A5B" w:rsidRPr="009D7811" w:rsidRDefault="00FA3A5B" w:rsidP="000A3FBD">
            <w:pPr>
              <w:pStyle w:val="TableText"/>
              <w:rPr>
                <w:rtl/>
              </w:rPr>
            </w:pPr>
          </w:p>
        </w:tc>
        <w:tc>
          <w:tcPr>
            <w:tcW w:w="7143" w:type="dxa"/>
            <w:gridSpan w:val="2"/>
            <w:shd w:val="clear" w:color="auto" w:fill="auto"/>
            <w:tcMar>
              <w:top w:w="91" w:type="dxa"/>
              <w:left w:w="0" w:type="dxa"/>
              <w:bottom w:w="91" w:type="dxa"/>
              <w:right w:w="0" w:type="dxa"/>
            </w:tcMar>
          </w:tcPr>
          <w:p w14:paraId="2289B187" w14:textId="77777777" w:rsidR="00FA3A5B" w:rsidRPr="009D7811" w:rsidRDefault="00FA3A5B" w:rsidP="00FA3A5B">
            <w:pPr>
              <w:pStyle w:val="TableBlock"/>
              <w:rPr>
                <w:rtl/>
              </w:rPr>
            </w:pPr>
            <w:r w:rsidRPr="009D7811">
              <w:rPr>
                <w:rtl/>
              </w:rPr>
              <w:t xml:space="preserve">"חוק העונשין" – חוק העונשין, </w:t>
            </w:r>
            <w:proofErr w:type="spellStart"/>
            <w:r w:rsidRPr="009D7811">
              <w:rPr>
                <w:rtl/>
              </w:rPr>
              <w:t>התשל"ז</w:t>
            </w:r>
            <w:proofErr w:type="spellEnd"/>
            <w:r w:rsidRPr="009D7811">
              <w:rPr>
                <w:rtl/>
              </w:rPr>
              <w:t>–1977‏</w:t>
            </w:r>
            <w:r w:rsidRPr="00FA3A5B">
              <w:rPr>
                <w:rStyle w:val="aa"/>
                <w:rFonts w:ascii="David" w:hAnsi="David"/>
                <w:sz w:val="26"/>
                <w:rtl/>
              </w:rPr>
              <w:footnoteReference w:id="3"/>
            </w:r>
            <w:r w:rsidRPr="009D7811">
              <w:rPr>
                <w:rtl/>
              </w:rPr>
              <w:t>;</w:t>
            </w:r>
          </w:p>
        </w:tc>
      </w:tr>
      <w:tr w:rsidR="00FA3A5B" w:rsidRPr="009D7811" w14:paraId="422D79BB" w14:textId="77777777" w:rsidTr="00FA3A5B">
        <w:trPr>
          <w:cantSplit/>
        </w:trPr>
        <w:tc>
          <w:tcPr>
            <w:tcW w:w="1870" w:type="dxa"/>
            <w:shd w:val="clear" w:color="auto" w:fill="auto"/>
            <w:tcMar>
              <w:top w:w="91" w:type="dxa"/>
              <w:left w:w="0" w:type="dxa"/>
              <w:bottom w:w="91" w:type="dxa"/>
              <w:right w:w="0" w:type="dxa"/>
            </w:tcMar>
          </w:tcPr>
          <w:p w14:paraId="2EC3E886" w14:textId="77777777" w:rsidR="00FA3A5B" w:rsidRPr="009D7811" w:rsidRDefault="00FA3A5B" w:rsidP="000A3FBD">
            <w:pPr>
              <w:pStyle w:val="TableSideHeading"/>
              <w:rPr>
                <w:rtl/>
              </w:rPr>
            </w:pPr>
          </w:p>
        </w:tc>
        <w:tc>
          <w:tcPr>
            <w:tcW w:w="624" w:type="dxa"/>
            <w:shd w:val="clear" w:color="auto" w:fill="auto"/>
            <w:tcMar>
              <w:top w:w="91" w:type="dxa"/>
              <w:left w:w="0" w:type="dxa"/>
              <w:bottom w:w="91" w:type="dxa"/>
              <w:right w:w="0" w:type="dxa"/>
            </w:tcMar>
          </w:tcPr>
          <w:p w14:paraId="2CBC27D6" w14:textId="77777777" w:rsidR="00FA3A5B" w:rsidRPr="009D7811" w:rsidRDefault="00FA3A5B" w:rsidP="000A3FBD">
            <w:pPr>
              <w:pStyle w:val="TableText"/>
              <w:rPr>
                <w:rtl/>
              </w:rPr>
            </w:pPr>
          </w:p>
        </w:tc>
        <w:tc>
          <w:tcPr>
            <w:tcW w:w="7143" w:type="dxa"/>
            <w:gridSpan w:val="2"/>
            <w:shd w:val="clear" w:color="auto" w:fill="auto"/>
            <w:tcMar>
              <w:top w:w="91" w:type="dxa"/>
              <w:left w:w="0" w:type="dxa"/>
              <w:bottom w:w="91" w:type="dxa"/>
              <w:right w:w="0" w:type="dxa"/>
            </w:tcMar>
          </w:tcPr>
          <w:p w14:paraId="4950F756" w14:textId="77777777" w:rsidR="00FA3A5B" w:rsidRPr="009D7811" w:rsidRDefault="00FA3A5B" w:rsidP="00FA3A5B">
            <w:pPr>
              <w:pStyle w:val="TableBlock"/>
              <w:rPr>
                <w:rtl/>
              </w:rPr>
            </w:pPr>
            <w:r w:rsidRPr="009D7811">
              <w:rPr>
                <w:rtl/>
              </w:rPr>
              <w:t>"חסר ישע"</w:t>
            </w:r>
            <w:r w:rsidRPr="009D7811">
              <w:rPr>
                <w:rFonts w:hint="cs"/>
                <w:rtl/>
              </w:rPr>
              <w:t xml:space="preserve"> </w:t>
            </w:r>
            <w:r w:rsidRPr="009D7811">
              <w:rPr>
                <w:rtl/>
              </w:rPr>
              <w:t>–</w:t>
            </w:r>
            <w:r w:rsidRPr="009D7811">
              <w:rPr>
                <w:rFonts w:hint="cs"/>
                <w:rtl/>
              </w:rPr>
              <w:t xml:space="preserve"> כהגדרתו בסעיף 368א לחוק העונשין;</w:t>
            </w:r>
          </w:p>
        </w:tc>
      </w:tr>
      <w:tr w:rsidR="00FA3A5B" w:rsidRPr="009D7811" w14:paraId="613AC18D" w14:textId="77777777" w:rsidTr="00FA3A5B">
        <w:trPr>
          <w:cantSplit/>
        </w:trPr>
        <w:tc>
          <w:tcPr>
            <w:tcW w:w="1870" w:type="dxa"/>
            <w:shd w:val="clear" w:color="auto" w:fill="auto"/>
            <w:tcMar>
              <w:top w:w="91" w:type="dxa"/>
              <w:left w:w="0" w:type="dxa"/>
              <w:bottom w:w="91" w:type="dxa"/>
              <w:right w:w="0" w:type="dxa"/>
            </w:tcMar>
          </w:tcPr>
          <w:p w14:paraId="0C44BB4E"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43D26252"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7912CC76" w14:textId="4474F895" w:rsidR="00FA3A5B" w:rsidRPr="009D7811" w:rsidRDefault="00FA3A5B" w:rsidP="00FA3A5B">
            <w:pPr>
              <w:pStyle w:val="TableBlockOutdent"/>
              <w:rPr>
                <w:rtl/>
              </w:rPr>
            </w:pPr>
            <w:r w:rsidRPr="009D7811">
              <w:rPr>
                <w:rtl/>
              </w:rPr>
              <w:t xml:space="preserve">"טיפול" – למעט </w:t>
            </w:r>
            <w:r w:rsidRPr="009D7811">
              <w:rPr>
                <w:rFonts w:hint="cs"/>
                <w:rtl/>
              </w:rPr>
              <w:t xml:space="preserve">טיפול שעיקרו </w:t>
            </w:r>
            <w:r w:rsidRPr="009D7811">
              <w:rPr>
                <w:rtl/>
              </w:rPr>
              <w:t>טיפול רפואי;</w:t>
            </w:r>
          </w:p>
        </w:tc>
      </w:tr>
      <w:tr w:rsidR="00FA3A5B" w:rsidRPr="009D7811" w14:paraId="09B64CF7" w14:textId="77777777" w:rsidTr="00FA3A5B">
        <w:trPr>
          <w:cantSplit/>
        </w:trPr>
        <w:tc>
          <w:tcPr>
            <w:tcW w:w="1870" w:type="dxa"/>
            <w:shd w:val="clear" w:color="auto" w:fill="auto"/>
            <w:tcMar>
              <w:top w:w="91" w:type="dxa"/>
              <w:left w:w="0" w:type="dxa"/>
              <w:bottom w:w="91" w:type="dxa"/>
              <w:right w:w="0" w:type="dxa"/>
            </w:tcMar>
          </w:tcPr>
          <w:p w14:paraId="65A3CC74"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57E76FF5"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64BEE078" w14:textId="77777777" w:rsidR="00FA3A5B" w:rsidRPr="009D7811" w:rsidRDefault="00FA3A5B" w:rsidP="00FA3A5B">
            <w:pPr>
              <w:pStyle w:val="TableBlockOutdent"/>
              <w:rPr>
                <w:rtl/>
              </w:rPr>
            </w:pPr>
            <w:r w:rsidRPr="009D7811">
              <w:rPr>
                <w:rtl/>
              </w:rPr>
              <w:t>"ילד" – מי שטרם מלאו לו שש שנים;</w:t>
            </w:r>
          </w:p>
        </w:tc>
      </w:tr>
      <w:tr w:rsidR="00FA3A5B" w:rsidRPr="009D7811" w14:paraId="2D43C3A0" w14:textId="77777777" w:rsidTr="00FA3A5B">
        <w:trPr>
          <w:cantSplit/>
        </w:trPr>
        <w:tc>
          <w:tcPr>
            <w:tcW w:w="1870" w:type="dxa"/>
            <w:shd w:val="clear" w:color="auto" w:fill="auto"/>
            <w:tcMar>
              <w:top w:w="91" w:type="dxa"/>
              <w:left w:w="0" w:type="dxa"/>
              <w:bottom w:w="91" w:type="dxa"/>
              <w:right w:w="0" w:type="dxa"/>
            </w:tcMar>
          </w:tcPr>
          <w:p w14:paraId="78290163"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58272095"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7019EA70" w14:textId="77777777" w:rsidR="00FA3A5B" w:rsidRPr="009D7811" w:rsidRDefault="00FA3A5B" w:rsidP="00FA3A5B">
            <w:pPr>
              <w:pStyle w:val="TableBlockOutdent"/>
              <w:rPr>
                <w:rtl/>
              </w:rPr>
            </w:pPr>
            <w:r w:rsidRPr="009D7811">
              <w:rPr>
                <w:rtl/>
              </w:rPr>
              <w:t xml:space="preserve">"מוסד" – </w:t>
            </w:r>
          </w:p>
        </w:tc>
      </w:tr>
      <w:tr w:rsidR="00FA3A5B" w:rsidRPr="009D7811" w14:paraId="779B6EC3" w14:textId="77777777" w:rsidTr="00FA3A5B">
        <w:trPr>
          <w:cantSplit/>
        </w:trPr>
        <w:tc>
          <w:tcPr>
            <w:tcW w:w="1870" w:type="dxa"/>
            <w:shd w:val="clear" w:color="auto" w:fill="auto"/>
            <w:tcMar>
              <w:top w:w="91" w:type="dxa"/>
              <w:left w:w="0" w:type="dxa"/>
              <w:bottom w:w="91" w:type="dxa"/>
              <w:right w:w="0" w:type="dxa"/>
            </w:tcMar>
          </w:tcPr>
          <w:p w14:paraId="1BB48B32"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784CCE3C" w14:textId="77777777" w:rsidR="00FA3A5B" w:rsidRPr="009D7811" w:rsidRDefault="00FA3A5B" w:rsidP="00FA3A5B">
            <w:pPr>
              <w:pStyle w:val="TableText"/>
              <w:rPr>
                <w:rtl/>
              </w:rPr>
            </w:pPr>
          </w:p>
        </w:tc>
        <w:tc>
          <w:tcPr>
            <w:tcW w:w="624" w:type="dxa"/>
            <w:shd w:val="clear" w:color="auto" w:fill="auto"/>
            <w:tcMar>
              <w:top w:w="91" w:type="dxa"/>
              <w:left w:w="0" w:type="dxa"/>
              <w:bottom w:w="91" w:type="dxa"/>
              <w:right w:w="0" w:type="dxa"/>
            </w:tcMar>
          </w:tcPr>
          <w:p w14:paraId="3590C22B" w14:textId="77777777" w:rsidR="00FA3A5B" w:rsidRPr="009D7811" w:rsidRDefault="00FA3A5B" w:rsidP="00FA3A5B">
            <w:pPr>
              <w:pStyle w:val="TableText"/>
              <w:rPr>
                <w:rtl/>
              </w:rPr>
            </w:pPr>
          </w:p>
        </w:tc>
        <w:tc>
          <w:tcPr>
            <w:tcW w:w="6519" w:type="dxa"/>
            <w:shd w:val="clear" w:color="auto" w:fill="auto"/>
            <w:tcMar>
              <w:top w:w="91" w:type="dxa"/>
              <w:left w:w="0" w:type="dxa"/>
              <w:bottom w:w="91" w:type="dxa"/>
              <w:right w:w="0" w:type="dxa"/>
            </w:tcMar>
          </w:tcPr>
          <w:p w14:paraId="0D75B488" w14:textId="77777777" w:rsidR="00FA3A5B" w:rsidRPr="009D7811" w:rsidRDefault="00FA3A5B" w:rsidP="00FA3A5B">
            <w:pPr>
              <w:pStyle w:val="TableBlock"/>
              <w:rPr>
                <w:rtl/>
              </w:rPr>
            </w:pPr>
            <w:r w:rsidRPr="009D7811">
              <w:rPr>
                <w:rtl/>
              </w:rPr>
              <w:t>(1)</w:t>
            </w:r>
            <w:r w:rsidRPr="009D7811">
              <w:rPr>
                <w:rtl/>
              </w:rPr>
              <w:tab/>
              <w:t xml:space="preserve">מעון לילדים, מעון יום ומשפחתון לילדים, גן ילדים, קייטנה, פנימייה, </w:t>
            </w:r>
            <w:r w:rsidRPr="009D7811">
              <w:rPr>
                <w:rFonts w:hint="cs"/>
                <w:rtl/>
              </w:rPr>
              <w:t>מועדונית</w:t>
            </w:r>
            <w:r w:rsidRPr="009D7811">
              <w:rPr>
                <w:rtl/>
              </w:rPr>
              <w:t xml:space="preserve"> או צהרון שבהם שוהים ילדים</w:t>
            </w:r>
            <w:r w:rsidRPr="009D7811">
              <w:rPr>
                <w:rFonts w:hint="cs"/>
                <w:rtl/>
              </w:rPr>
              <w:t xml:space="preserve">, ולמעט אומנה לפי חוק אומנה לילדים, </w:t>
            </w:r>
            <w:proofErr w:type="spellStart"/>
            <w:r w:rsidRPr="009D7811">
              <w:rPr>
                <w:rFonts w:hint="cs"/>
                <w:rtl/>
              </w:rPr>
              <w:t>התשע"ו</w:t>
            </w:r>
            <w:proofErr w:type="spellEnd"/>
            <w:r w:rsidRPr="009D7811">
              <w:rPr>
                <w:rFonts w:hint="eastAsia"/>
                <w:rtl/>
              </w:rPr>
              <w:t>–</w:t>
            </w:r>
            <w:r w:rsidRPr="009D7811">
              <w:rPr>
                <w:rFonts w:hint="cs"/>
                <w:rtl/>
              </w:rPr>
              <w:t>2016</w:t>
            </w:r>
            <w:r w:rsidRPr="00FA3A5B">
              <w:rPr>
                <w:rStyle w:val="aa"/>
                <w:rFonts w:ascii="David" w:hAnsi="David"/>
                <w:sz w:val="26"/>
                <w:rtl/>
              </w:rPr>
              <w:footnoteReference w:id="4"/>
            </w:r>
            <w:r w:rsidRPr="009D7811">
              <w:rPr>
                <w:rtl/>
              </w:rPr>
              <w:t xml:space="preserve">; </w:t>
            </w:r>
          </w:p>
        </w:tc>
      </w:tr>
      <w:tr w:rsidR="00FA3A5B" w:rsidRPr="009D7811" w14:paraId="26119DCF" w14:textId="77777777" w:rsidTr="00FA3A5B">
        <w:trPr>
          <w:cantSplit/>
        </w:trPr>
        <w:tc>
          <w:tcPr>
            <w:tcW w:w="1870" w:type="dxa"/>
            <w:shd w:val="clear" w:color="auto" w:fill="auto"/>
            <w:tcMar>
              <w:top w:w="91" w:type="dxa"/>
              <w:left w:w="0" w:type="dxa"/>
              <w:bottom w:w="91" w:type="dxa"/>
              <w:right w:w="0" w:type="dxa"/>
            </w:tcMar>
          </w:tcPr>
          <w:p w14:paraId="20F5393C" w14:textId="77777777" w:rsidR="00FA3A5B" w:rsidRPr="009D7811" w:rsidRDefault="00FA3A5B" w:rsidP="00FA3A5B">
            <w:pPr>
              <w:pStyle w:val="TableSideHeading"/>
              <w:rPr>
                <w:rtl/>
              </w:rPr>
            </w:pPr>
            <w:r w:rsidRPr="009D7811">
              <w:rPr>
                <w:sz w:val="14"/>
                <w:szCs w:val="20"/>
              </w:rPr>
              <w:t xml:space="preserve"> </w:t>
            </w:r>
            <w:r w:rsidRPr="009D7811">
              <w:rPr>
                <w:rFonts w:hint="cs"/>
                <w:sz w:val="14"/>
                <w:szCs w:val="20"/>
                <w:rtl/>
              </w:rPr>
              <w:t xml:space="preserve"> </w:t>
            </w:r>
          </w:p>
        </w:tc>
        <w:tc>
          <w:tcPr>
            <w:tcW w:w="624" w:type="dxa"/>
            <w:shd w:val="clear" w:color="auto" w:fill="auto"/>
            <w:tcMar>
              <w:top w:w="91" w:type="dxa"/>
              <w:left w:w="0" w:type="dxa"/>
              <w:bottom w:w="91" w:type="dxa"/>
              <w:right w:w="0" w:type="dxa"/>
            </w:tcMar>
          </w:tcPr>
          <w:p w14:paraId="7AA17927" w14:textId="77777777" w:rsidR="00FA3A5B" w:rsidRPr="009D7811" w:rsidRDefault="00FA3A5B" w:rsidP="00FA3A5B">
            <w:pPr>
              <w:pStyle w:val="TableText"/>
              <w:rPr>
                <w:rtl/>
              </w:rPr>
            </w:pPr>
          </w:p>
        </w:tc>
        <w:tc>
          <w:tcPr>
            <w:tcW w:w="624" w:type="dxa"/>
            <w:shd w:val="clear" w:color="auto" w:fill="auto"/>
            <w:tcMar>
              <w:top w:w="91" w:type="dxa"/>
              <w:left w:w="0" w:type="dxa"/>
              <w:bottom w:w="91" w:type="dxa"/>
              <w:right w:w="0" w:type="dxa"/>
            </w:tcMar>
          </w:tcPr>
          <w:p w14:paraId="1FB1BC84" w14:textId="77777777" w:rsidR="00FA3A5B" w:rsidRPr="009D7811" w:rsidRDefault="00FA3A5B" w:rsidP="00FA3A5B">
            <w:pPr>
              <w:pStyle w:val="TableText"/>
              <w:rPr>
                <w:rtl/>
              </w:rPr>
            </w:pPr>
          </w:p>
        </w:tc>
        <w:tc>
          <w:tcPr>
            <w:tcW w:w="6519" w:type="dxa"/>
            <w:shd w:val="clear" w:color="auto" w:fill="auto"/>
            <w:tcMar>
              <w:top w:w="91" w:type="dxa"/>
              <w:left w:w="0" w:type="dxa"/>
              <w:bottom w:w="91" w:type="dxa"/>
              <w:right w:w="0" w:type="dxa"/>
            </w:tcMar>
          </w:tcPr>
          <w:p w14:paraId="0099C470" w14:textId="77777777" w:rsidR="00FA3A5B" w:rsidRPr="009D7811" w:rsidRDefault="00FA3A5B" w:rsidP="00FA3A5B">
            <w:pPr>
              <w:pStyle w:val="TableBlock"/>
              <w:rPr>
                <w:rtl/>
              </w:rPr>
            </w:pPr>
            <w:r w:rsidRPr="009D7811">
              <w:rPr>
                <w:rtl/>
              </w:rPr>
              <w:t>(2)</w:t>
            </w:r>
            <w:r w:rsidRPr="009D7811">
              <w:rPr>
                <w:rtl/>
              </w:rPr>
              <w:tab/>
              <w:t>מעון או מסגרת המשמש</w:t>
            </w:r>
            <w:r w:rsidRPr="009D7811">
              <w:rPr>
                <w:rFonts w:hint="cs"/>
                <w:rtl/>
              </w:rPr>
              <w:t>ים</w:t>
            </w:r>
            <w:r w:rsidRPr="009D7811">
              <w:rPr>
                <w:rtl/>
              </w:rPr>
              <w:t xml:space="preserve"> למגורים או לטיפול בחסרי ישע, </w:t>
            </w:r>
            <w:r w:rsidRPr="009D7811">
              <w:rPr>
                <w:rFonts w:hint="eastAsia"/>
                <w:rtl/>
              </w:rPr>
              <w:t>או</w:t>
            </w:r>
            <w:r w:rsidRPr="009D7811">
              <w:rPr>
                <w:rtl/>
              </w:rPr>
              <w:t xml:space="preserve"> </w:t>
            </w:r>
            <w:r w:rsidRPr="009D7811">
              <w:rPr>
                <w:rFonts w:hint="eastAsia"/>
                <w:rtl/>
              </w:rPr>
              <w:t>מרכז</w:t>
            </w:r>
            <w:r w:rsidRPr="009D7811">
              <w:rPr>
                <w:rtl/>
              </w:rPr>
              <w:t xml:space="preserve"> </w:t>
            </w:r>
            <w:r w:rsidRPr="009D7811">
              <w:rPr>
                <w:rFonts w:hint="eastAsia"/>
                <w:rtl/>
              </w:rPr>
              <w:t>עבודה</w:t>
            </w:r>
            <w:r w:rsidRPr="009D7811">
              <w:rPr>
                <w:rtl/>
              </w:rPr>
              <w:t xml:space="preserve"> </w:t>
            </w:r>
            <w:r w:rsidRPr="009D7811">
              <w:rPr>
                <w:rFonts w:hint="eastAsia"/>
                <w:rtl/>
              </w:rPr>
              <w:t>שיקומי</w:t>
            </w:r>
            <w:r w:rsidRPr="009D7811">
              <w:rPr>
                <w:rtl/>
              </w:rPr>
              <w:t xml:space="preserve"> </w:t>
            </w:r>
            <w:r w:rsidRPr="009D7811">
              <w:rPr>
                <w:rFonts w:hint="eastAsia"/>
                <w:rtl/>
              </w:rPr>
              <w:t>המיועד</w:t>
            </w:r>
            <w:r w:rsidRPr="009D7811">
              <w:rPr>
                <w:rtl/>
              </w:rPr>
              <w:t xml:space="preserve"> </w:t>
            </w:r>
            <w:r w:rsidRPr="009D7811">
              <w:rPr>
                <w:rFonts w:hint="eastAsia"/>
                <w:rtl/>
              </w:rPr>
              <w:t>לחסרי</w:t>
            </w:r>
            <w:r w:rsidRPr="009D7811">
              <w:rPr>
                <w:rtl/>
              </w:rPr>
              <w:t xml:space="preserve"> </w:t>
            </w:r>
            <w:r w:rsidRPr="009D7811">
              <w:rPr>
                <w:rFonts w:hint="eastAsia"/>
                <w:rtl/>
              </w:rPr>
              <w:t>ישע</w:t>
            </w:r>
            <w:r w:rsidRPr="009D7811">
              <w:rPr>
                <w:rtl/>
              </w:rPr>
              <w:t xml:space="preserve">, </w:t>
            </w:r>
            <w:r w:rsidRPr="009D7811">
              <w:rPr>
                <w:rFonts w:hint="eastAsia"/>
                <w:rtl/>
              </w:rPr>
              <w:t>ובכלל</w:t>
            </w:r>
            <w:r w:rsidRPr="009D7811">
              <w:rPr>
                <w:rtl/>
              </w:rPr>
              <w:t xml:space="preserve"> </w:t>
            </w:r>
            <w:r w:rsidRPr="009D7811">
              <w:rPr>
                <w:rFonts w:hint="eastAsia"/>
                <w:rtl/>
              </w:rPr>
              <w:t>זה</w:t>
            </w:r>
            <w:r w:rsidRPr="009D7811">
              <w:rPr>
                <w:rtl/>
              </w:rPr>
              <w:t xml:space="preserve"> </w:t>
            </w:r>
            <w:r w:rsidRPr="009D7811">
              <w:rPr>
                <w:rFonts w:hint="eastAsia"/>
                <w:rtl/>
              </w:rPr>
              <w:t>מסגרת</w:t>
            </w:r>
            <w:r w:rsidRPr="009D7811">
              <w:rPr>
                <w:rtl/>
              </w:rPr>
              <w:t xml:space="preserve"> </w:t>
            </w:r>
            <w:r w:rsidRPr="009D7811">
              <w:rPr>
                <w:rFonts w:hint="eastAsia"/>
                <w:rtl/>
              </w:rPr>
              <w:t>שהיא</w:t>
            </w:r>
            <w:r w:rsidRPr="009D7811">
              <w:rPr>
                <w:rtl/>
              </w:rPr>
              <w:t xml:space="preserve"> </w:t>
            </w:r>
            <w:r w:rsidRPr="009D7811">
              <w:rPr>
                <w:rFonts w:hint="eastAsia"/>
                <w:rtl/>
              </w:rPr>
              <w:t>מפעל</w:t>
            </w:r>
            <w:r w:rsidRPr="009D7811">
              <w:rPr>
                <w:rtl/>
              </w:rPr>
              <w:t xml:space="preserve"> </w:t>
            </w:r>
            <w:r w:rsidRPr="009D7811">
              <w:rPr>
                <w:rFonts w:hint="eastAsia"/>
                <w:rtl/>
              </w:rPr>
              <w:t>מוגן</w:t>
            </w:r>
            <w:r w:rsidRPr="009D7811">
              <w:rPr>
                <w:rtl/>
              </w:rPr>
              <w:t xml:space="preserve">, </w:t>
            </w:r>
            <w:r w:rsidRPr="009D7811">
              <w:rPr>
                <w:rFonts w:hint="eastAsia"/>
                <w:rtl/>
              </w:rPr>
              <w:t>דיור</w:t>
            </w:r>
            <w:r w:rsidRPr="009D7811">
              <w:rPr>
                <w:rtl/>
              </w:rPr>
              <w:t xml:space="preserve"> </w:t>
            </w:r>
            <w:r w:rsidRPr="009D7811">
              <w:rPr>
                <w:rFonts w:hint="eastAsia"/>
                <w:rtl/>
              </w:rPr>
              <w:t>מוגן</w:t>
            </w:r>
            <w:r w:rsidRPr="009D7811">
              <w:rPr>
                <w:rtl/>
              </w:rPr>
              <w:t xml:space="preserve"> </w:t>
            </w:r>
            <w:r w:rsidRPr="009D7811">
              <w:rPr>
                <w:rFonts w:hint="eastAsia"/>
                <w:rtl/>
              </w:rPr>
              <w:t>מתוגבר</w:t>
            </w:r>
            <w:r w:rsidRPr="009D7811">
              <w:rPr>
                <w:rtl/>
              </w:rPr>
              <w:t xml:space="preserve">, </w:t>
            </w:r>
            <w:r w:rsidRPr="009D7811">
              <w:rPr>
                <w:rFonts w:hint="eastAsia"/>
                <w:rtl/>
              </w:rPr>
              <w:t>הוסטל</w:t>
            </w:r>
            <w:r w:rsidRPr="009D7811">
              <w:rPr>
                <w:rtl/>
              </w:rPr>
              <w:t xml:space="preserve">, </w:t>
            </w:r>
            <w:r w:rsidRPr="009D7811">
              <w:rPr>
                <w:rFonts w:hint="eastAsia"/>
                <w:rtl/>
              </w:rPr>
              <w:t>הוסטל</w:t>
            </w:r>
            <w:r w:rsidRPr="009D7811">
              <w:rPr>
                <w:rtl/>
              </w:rPr>
              <w:t xml:space="preserve"> </w:t>
            </w:r>
            <w:r w:rsidRPr="009D7811">
              <w:rPr>
                <w:rFonts w:hint="eastAsia"/>
                <w:rtl/>
              </w:rPr>
              <w:t>לצעירים</w:t>
            </w:r>
            <w:r w:rsidRPr="009D7811">
              <w:rPr>
                <w:rtl/>
              </w:rPr>
              <w:t xml:space="preserve">, </w:t>
            </w:r>
            <w:r w:rsidRPr="009D7811">
              <w:rPr>
                <w:rFonts w:hint="eastAsia"/>
                <w:rtl/>
              </w:rPr>
              <w:t>הוסטל</w:t>
            </w:r>
            <w:r w:rsidRPr="009D7811">
              <w:rPr>
                <w:rtl/>
              </w:rPr>
              <w:t xml:space="preserve"> </w:t>
            </w:r>
            <w:r w:rsidRPr="009D7811">
              <w:rPr>
                <w:rFonts w:hint="eastAsia"/>
                <w:rtl/>
              </w:rPr>
              <w:t>מתוגבר</w:t>
            </w:r>
            <w:r w:rsidRPr="009D7811">
              <w:rPr>
                <w:rtl/>
              </w:rPr>
              <w:t xml:space="preserve"> </w:t>
            </w:r>
            <w:r w:rsidRPr="009D7811">
              <w:rPr>
                <w:rFonts w:hint="eastAsia"/>
                <w:rtl/>
              </w:rPr>
              <w:t>או</w:t>
            </w:r>
            <w:r w:rsidRPr="009D7811">
              <w:rPr>
                <w:rtl/>
              </w:rPr>
              <w:t xml:space="preserve"> </w:t>
            </w:r>
            <w:r w:rsidRPr="009D7811">
              <w:rPr>
                <w:rFonts w:hint="eastAsia"/>
                <w:rtl/>
              </w:rPr>
              <w:t>הוסטל</w:t>
            </w:r>
            <w:r w:rsidRPr="009D7811">
              <w:rPr>
                <w:rtl/>
              </w:rPr>
              <w:t xml:space="preserve"> </w:t>
            </w:r>
            <w:r w:rsidRPr="009D7811">
              <w:rPr>
                <w:rFonts w:hint="eastAsia"/>
                <w:rtl/>
              </w:rPr>
              <w:t>כוללני</w:t>
            </w:r>
            <w:r w:rsidRPr="009D7811">
              <w:rPr>
                <w:rtl/>
              </w:rPr>
              <w:t xml:space="preserve">, </w:t>
            </w:r>
            <w:r w:rsidRPr="009D7811">
              <w:rPr>
                <w:rFonts w:hint="eastAsia"/>
                <w:rtl/>
              </w:rPr>
              <w:t>המנויים</w:t>
            </w:r>
            <w:r w:rsidRPr="009D7811">
              <w:rPr>
                <w:rtl/>
              </w:rPr>
              <w:t xml:space="preserve"> </w:t>
            </w:r>
            <w:r w:rsidRPr="009D7811">
              <w:rPr>
                <w:rFonts w:hint="eastAsia"/>
                <w:rtl/>
              </w:rPr>
              <w:t>בפרטים</w:t>
            </w:r>
            <w:r w:rsidRPr="009D7811">
              <w:rPr>
                <w:rtl/>
              </w:rPr>
              <w:t xml:space="preserve"> </w:t>
            </w:r>
            <w:r w:rsidRPr="009D7811">
              <w:rPr>
                <w:rFonts w:hint="eastAsia"/>
                <w:rtl/>
              </w:rPr>
              <w:t>א</w:t>
            </w:r>
            <w:r w:rsidRPr="009D7811">
              <w:rPr>
                <w:rtl/>
              </w:rPr>
              <w:t xml:space="preserve">(3)(ג) </w:t>
            </w:r>
            <w:r w:rsidRPr="009D7811">
              <w:rPr>
                <w:rFonts w:hint="eastAsia"/>
                <w:rtl/>
              </w:rPr>
              <w:t>או</w:t>
            </w:r>
            <w:r w:rsidRPr="009D7811">
              <w:rPr>
                <w:rtl/>
              </w:rPr>
              <w:t xml:space="preserve"> </w:t>
            </w:r>
            <w:r w:rsidRPr="009D7811">
              <w:rPr>
                <w:rFonts w:hint="eastAsia"/>
                <w:rtl/>
              </w:rPr>
              <w:t>ב</w:t>
            </w:r>
            <w:r w:rsidRPr="009D7811">
              <w:rPr>
                <w:rtl/>
              </w:rPr>
              <w:t xml:space="preserve">(1)(ד) </w:t>
            </w:r>
            <w:r w:rsidRPr="009D7811">
              <w:rPr>
                <w:rFonts w:hint="eastAsia"/>
                <w:rtl/>
              </w:rPr>
              <w:t>עד</w:t>
            </w:r>
            <w:r w:rsidRPr="009D7811">
              <w:rPr>
                <w:rtl/>
              </w:rPr>
              <w:t xml:space="preserve"> (ח) </w:t>
            </w:r>
            <w:r w:rsidRPr="009D7811">
              <w:rPr>
                <w:rFonts w:hint="eastAsia"/>
                <w:rtl/>
              </w:rPr>
              <w:t>לתוספת</w:t>
            </w:r>
            <w:r w:rsidRPr="009D7811">
              <w:rPr>
                <w:rtl/>
              </w:rPr>
              <w:t xml:space="preserve"> </w:t>
            </w:r>
            <w:r w:rsidRPr="009D7811">
              <w:rPr>
                <w:rFonts w:hint="eastAsia"/>
                <w:rtl/>
              </w:rPr>
              <w:t>לחוק</w:t>
            </w:r>
            <w:r w:rsidRPr="009D7811">
              <w:rPr>
                <w:rtl/>
              </w:rPr>
              <w:t xml:space="preserve"> </w:t>
            </w:r>
            <w:r w:rsidRPr="009D7811">
              <w:rPr>
                <w:rFonts w:hint="eastAsia"/>
                <w:rtl/>
              </w:rPr>
              <w:t>שיקום</w:t>
            </w:r>
            <w:r w:rsidRPr="009D7811">
              <w:rPr>
                <w:rtl/>
              </w:rPr>
              <w:t xml:space="preserve"> </w:t>
            </w:r>
            <w:r w:rsidRPr="009D7811">
              <w:rPr>
                <w:rFonts w:hint="eastAsia"/>
                <w:rtl/>
              </w:rPr>
              <w:t>נכי</w:t>
            </w:r>
            <w:r w:rsidRPr="009D7811">
              <w:rPr>
                <w:rtl/>
              </w:rPr>
              <w:t xml:space="preserve"> </w:t>
            </w:r>
            <w:r w:rsidRPr="009D7811">
              <w:rPr>
                <w:rFonts w:hint="eastAsia"/>
                <w:rtl/>
              </w:rPr>
              <w:t>נפש</w:t>
            </w:r>
            <w:r w:rsidRPr="009D7811">
              <w:rPr>
                <w:rtl/>
              </w:rPr>
              <w:t xml:space="preserve"> </w:t>
            </w:r>
            <w:r w:rsidRPr="009D7811">
              <w:rPr>
                <w:rFonts w:hint="eastAsia"/>
                <w:rtl/>
              </w:rPr>
              <w:t>בקהילה</w:t>
            </w:r>
            <w:r w:rsidRPr="009D7811">
              <w:rPr>
                <w:rtl/>
              </w:rPr>
              <w:t xml:space="preserve">, </w:t>
            </w:r>
            <w:proofErr w:type="spellStart"/>
            <w:r w:rsidRPr="009D7811">
              <w:rPr>
                <w:rFonts w:hint="eastAsia"/>
                <w:rtl/>
              </w:rPr>
              <w:t>התש</w:t>
            </w:r>
            <w:r w:rsidRPr="009D7811">
              <w:rPr>
                <w:rtl/>
              </w:rPr>
              <w:t>"ס</w:t>
            </w:r>
            <w:proofErr w:type="spellEnd"/>
            <w:r w:rsidRPr="009D7811">
              <w:rPr>
                <w:rFonts w:hint="eastAsia"/>
                <w:rtl/>
              </w:rPr>
              <w:t>–</w:t>
            </w:r>
            <w:r w:rsidRPr="009D7811">
              <w:rPr>
                <w:rtl/>
              </w:rPr>
              <w:t>2000</w:t>
            </w:r>
            <w:r w:rsidRPr="00FA3A5B">
              <w:rPr>
                <w:rStyle w:val="aa"/>
                <w:rFonts w:ascii="David" w:hAnsi="David"/>
                <w:sz w:val="26"/>
                <w:rtl/>
              </w:rPr>
              <w:footnoteReference w:id="5"/>
            </w:r>
            <w:r w:rsidRPr="009D7811">
              <w:rPr>
                <w:rtl/>
              </w:rPr>
              <w:t>;</w:t>
            </w:r>
          </w:p>
        </w:tc>
      </w:tr>
      <w:tr w:rsidR="00FA3A5B" w:rsidRPr="009D7811" w14:paraId="700AFE6F" w14:textId="77777777" w:rsidTr="00FA3A5B">
        <w:trPr>
          <w:cantSplit/>
        </w:trPr>
        <w:tc>
          <w:tcPr>
            <w:tcW w:w="1870" w:type="dxa"/>
            <w:shd w:val="clear" w:color="auto" w:fill="auto"/>
            <w:tcMar>
              <w:top w:w="91" w:type="dxa"/>
              <w:left w:w="0" w:type="dxa"/>
              <w:bottom w:w="91" w:type="dxa"/>
              <w:right w:w="0" w:type="dxa"/>
            </w:tcMar>
          </w:tcPr>
          <w:p w14:paraId="0CDFCC9E"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00B99425" w14:textId="77777777" w:rsidR="00FA3A5B" w:rsidRPr="009D7811" w:rsidRDefault="00FA3A5B" w:rsidP="00FA3A5B">
            <w:pPr>
              <w:pStyle w:val="TableText"/>
              <w:rPr>
                <w:rtl/>
              </w:rPr>
            </w:pPr>
          </w:p>
        </w:tc>
        <w:tc>
          <w:tcPr>
            <w:tcW w:w="624" w:type="dxa"/>
            <w:shd w:val="clear" w:color="auto" w:fill="auto"/>
            <w:tcMar>
              <w:top w:w="91" w:type="dxa"/>
              <w:left w:w="0" w:type="dxa"/>
              <w:bottom w:w="91" w:type="dxa"/>
              <w:right w:w="0" w:type="dxa"/>
            </w:tcMar>
          </w:tcPr>
          <w:p w14:paraId="6A74F6E4" w14:textId="77777777" w:rsidR="00FA3A5B" w:rsidRPr="009D7811" w:rsidRDefault="00FA3A5B" w:rsidP="00FA3A5B">
            <w:pPr>
              <w:pStyle w:val="TableText"/>
              <w:rPr>
                <w:rtl/>
              </w:rPr>
            </w:pPr>
          </w:p>
        </w:tc>
        <w:tc>
          <w:tcPr>
            <w:tcW w:w="6519" w:type="dxa"/>
            <w:shd w:val="clear" w:color="auto" w:fill="auto"/>
            <w:tcMar>
              <w:top w:w="91" w:type="dxa"/>
              <w:left w:w="0" w:type="dxa"/>
              <w:bottom w:w="91" w:type="dxa"/>
              <w:right w:w="0" w:type="dxa"/>
            </w:tcMar>
          </w:tcPr>
          <w:p w14:paraId="243067CE" w14:textId="77777777" w:rsidR="00FA3A5B" w:rsidRPr="009D7811" w:rsidRDefault="00FA3A5B" w:rsidP="00FA3A5B">
            <w:pPr>
              <w:pStyle w:val="TableBlock"/>
              <w:rPr>
                <w:rtl/>
              </w:rPr>
            </w:pPr>
            <w:r w:rsidRPr="009D7811">
              <w:rPr>
                <w:rFonts w:hint="cs"/>
                <w:rtl/>
              </w:rPr>
              <w:t>(3)</w:t>
            </w:r>
            <w:r w:rsidRPr="009D7811">
              <w:rPr>
                <w:rtl/>
              </w:rPr>
              <w:tab/>
              <w:t>בית חולים או מחלקה המיועדים לאשפוז חולים סיעודיים; בפסקה זו, "חולה סיעודי" – חולה גריאטרי או תשוש נפש, לרבות חולה שמצב בריאותו ותפקודו ירודים כתוצאה ממחלה כרונית או מליקוי קבוע, הדורש מעקב רפואי מיומן במסגרת אשפוז, במשך 24 שעות ביממה לתקופה ממושכת;</w:t>
            </w:r>
          </w:p>
        </w:tc>
      </w:tr>
      <w:tr w:rsidR="00FA3A5B" w:rsidRPr="009D7811" w14:paraId="5582BDA0" w14:textId="77777777" w:rsidTr="00FA3A5B">
        <w:trPr>
          <w:cantSplit/>
        </w:trPr>
        <w:tc>
          <w:tcPr>
            <w:tcW w:w="1870" w:type="dxa"/>
            <w:shd w:val="clear" w:color="auto" w:fill="auto"/>
            <w:tcMar>
              <w:top w:w="91" w:type="dxa"/>
              <w:left w:w="0" w:type="dxa"/>
              <w:bottom w:w="91" w:type="dxa"/>
              <w:right w:w="0" w:type="dxa"/>
            </w:tcMar>
          </w:tcPr>
          <w:p w14:paraId="70CFD5CB"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7049B51E" w14:textId="77777777" w:rsidR="00FA3A5B" w:rsidRPr="009D7811" w:rsidRDefault="00FA3A5B" w:rsidP="00FA3A5B">
            <w:pPr>
              <w:pStyle w:val="TableText"/>
              <w:rPr>
                <w:rtl/>
              </w:rPr>
            </w:pPr>
          </w:p>
        </w:tc>
        <w:tc>
          <w:tcPr>
            <w:tcW w:w="624" w:type="dxa"/>
            <w:shd w:val="clear" w:color="auto" w:fill="auto"/>
            <w:tcMar>
              <w:top w:w="91" w:type="dxa"/>
              <w:left w:w="0" w:type="dxa"/>
              <w:bottom w:w="91" w:type="dxa"/>
              <w:right w:w="0" w:type="dxa"/>
            </w:tcMar>
          </w:tcPr>
          <w:p w14:paraId="56B64126" w14:textId="77777777" w:rsidR="00FA3A5B" w:rsidRPr="009D7811" w:rsidRDefault="00FA3A5B" w:rsidP="00FA3A5B">
            <w:pPr>
              <w:pStyle w:val="TableText"/>
              <w:rPr>
                <w:rtl/>
              </w:rPr>
            </w:pPr>
          </w:p>
        </w:tc>
        <w:tc>
          <w:tcPr>
            <w:tcW w:w="6519" w:type="dxa"/>
            <w:shd w:val="clear" w:color="auto" w:fill="auto"/>
            <w:tcMar>
              <w:top w:w="91" w:type="dxa"/>
              <w:left w:w="0" w:type="dxa"/>
              <w:bottom w:w="91" w:type="dxa"/>
              <w:right w:w="0" w:type="dxa"/>
            </w:tcMar>
          </w:tcPr>
          <w:p w14:paraId="28EE3562" w14:textId="77777777" w:rsidR="00FA3A5B" w:rsidRPr="009D7811" w:rsidRDefault="00FA3A5B" w:rsidP="00FA3A5B">
            <w:pPr>
              <w:pStyle w:val="TableBlock"/>
              <w:rPr>
                <w:rtl/>
              </w:rPr>
            </w:pPr>
            <w:r w:rsidRPr="009D7811">
              <w:rPr>
                <w:rFonts w:hint="cs"/>
                <w:rtl/>
              </w:rPr>
              <w:t>(4)</w:t>
            </w:r>
            <w:r w:rsidRPr="009D7811">
              <w:rPr>
                <w:rtl/>
              </w:rPr>
              <w:tab/>
            </w:r>
            <w:r w:rsidRPr="009D7811">
              <w:rPr>
                <w:rFonts w:hint="cs"/>
                <w:rtl/>
              </w:rPr>
              <w:t xml:space="preserve">בית חולים כהגדרתו בחוק טיפול בחולי נפש, </w:t>
            </w:r>
            <w:proofErr w:type="spellStart"/>
            <w:r w:rsidRPr="009D7811">
              <w:rPr>
                <w:rFonts w:hint="cs"/>
                <w:rtl/>
              </w:rPr>
              <w:t>התשנ"א</w:t>
            </w:r>
            <w:proofErr w:type="spellEnd"/>
            <w:r w:rsidRPr="009D7811">
              <w:rPr>
                <w:rFonts w:hint="eastAsia"/>
                <w:rtl/>
              </w:rPr>
              <w:t>–</w:t>
            </w:r>
            <w:r w:rsidRPr="009D7811">
              <w:rPr>
                <w:rFonts w:hint="cs"/>
                <w:rtl/>
              </w:rPr>
              <w:t>1991</w:t>
            </w:r>
            <w:r w:rsidRPr="00FA3A5B">
              <w:rPr>
                <w:rStyle w:val="aa"/>
                <w:rFonts w:ascii="David" w:hAnsi="David"/>
                <w:sz w:val="26"/>
                <w:rtl/>
              </w:rPr>
              <w:footnoteReference w:id="6"/>
            </w:r>
            <w:r w:rsidRPr="009D7811">
              <w:rPr>
                <w:rFonts w:hint="cs"/>
                <w:rtl/>
              </w:rPr>
              <w:t>;</w:t>
            </w:r>
          </w:p>
        </w:tc>
      </w:tr>
      <w:tr w:rsidR="00FA3A5B" w:rsidRPr="009D7811" w14:paraId="40BF2FDB" w14:textId="77777777" w:rsidTr="00FA3A5B">
        <w:tblPrEx>
          <w:tblLook w:val="01E0" w:firstRow="1" w:lastRow="1" w:firstColumn="1" w:lastColumn="1" w:noHBand="0" w:noVBand="0"/>
        </w:tblPrEx>
        <w:trPr>
          <w:cantSplit/>
        </w:trPr>
        <w:tc>
          <w:tcPr>
            <w:tcW w:w="1870" w:type="dxa"/>
          </w:tcPr>
          <w:p w14:paraId="13B198D7" w14:textId="77777777" w:rsidR="00FA3A5B" w:rsidRPr="009D7811" w:rsidRDefault="00FA3A5B" w:rsidP="00FA3A5B">
            <w:pPr>
              <w:pStyle w:val="TableSideHeading"/>
            </w:pPr>
          </w:p>
        </w:tc>
        <w:tc>
          <w:tcPr>
            <w:tcW w:w="624" w:type="dxa"/>
          </w:tcPr>
          <w:p w14:paraId="1F41314C" w14:textId="77777777" w:rsidR="00FA3A5B" w:rsidRPr="009D7811" w:rsidRDefault="00FA3A5B" w:rsidP="00FA3A5B">
            <w:pPr>
              <w:pStyle w:val="TableText"/>
            </w:pPr>
          </w:p>
        </w:tc>
        <w:tc>
          <w:tcPr>
            <w:tcW w:w="7143" w:type="dxa"/>
            <w:gridSpan w:val="2"/>
          </w:tcPr>
          <w:p w14:paraId="230CE523" w14:textId="11B5BEFE" w:rsidR="00FA3A5B" w:rsidRPr="009D7811" w:rsidRDefault="00FA3A5B" w:rsidP="00FA3A5B">
            <w:pPr>
              <w:pStyle w:val="TableBlockOutdent"/>
            </w:pPr>
            <w:r w:rsidRPr="009D7811">
              <w:rPr>
                <w:rFonts w:hint="cs"/>
                <w:rtl/>
              </w:rPr>
              <w:t xml:space="preserve">"מעסיק" </w:t>
            </w:r>
            <w:r w:rsidRPr="009D7811">
              <w:rPr>
                <w:rtl/>
              </w:rPr>
              <w:t>–</w:t>
            </w:r>
            <w:r w:rsidRPr="009D7811">
              <w:rPr>
                <w:rFonts w:hint="cs"/>
                <w:rtl/>
              </w:rPr>
              <w:t xml:space="preserve"> </w:t>
            </w:r>
            <w:r w:rsidRPr="009D7811">
              <w:rPr>
                <w:rtl/>
              </w:rPr>
              <w:t>לענ</w:t>
            </w:r>
            <w:r w:rsidRPr="009D7811">
              <w:rPr>
                <w:rFonts w:hint="cs"/>
                <w:rtl/>
              </w:rPr>
              <w:t>י</w:t>
            </w:r>
            <w:r w:rsidRPr="009D7811">
              <w:rPr>
                <w:rtl/>
              </w:rPr>
              <w:t>ין קבלת אדם לעבודה במוסד באמצעות משרד ממשלתי או רשות מקומית שהמוסד נתון לפיקוחם – האחראי במשרד הממשלתי או ברשות המקומית על קבלת אדם לעבודה במוסד; לענ</w:t>
            </w:r>
            <w:r w:rsidRPr="009D7811">
              <w:rPr>
                <w:rFonts w:hint="cs"/>
                <w:rtl/>
              </w:rPr>
              <w:t>י</w:t>
            </w:r>
            <w:r w:rsidRPr="009D7811">
              <w:rPr>
                <w:rtl/>
              </w:rPr>
              <w:t>ין קבלת אדם לעבודה במוסד שלא באמצעות משרד ממש</w:t>
            </w:r>
            <w:r>
              <w:rPr>
                <w:rtl/>
              </w:rPr>
              <w:t>לתי או רשות מקומית – מנהל המוסד</w:t>
            </w:r>
            <w:r>
              <w:rPr>
                <w:rFonts w:hint="cs"/>
                <w:rtl/>
              </w:rPr>
              <w:t xml:space="preserve">, </w:t>
            </w:r>
            <w:r w:rsidRPr="009D7811">
              <w:rPr>
                <w:rtl/>
              </w:rPr>
              <w:t>ובמוסד שהוא תאגיד גם התאגיד;</w:t>
            </w:r>
          </w:p>
        </w:tc>
      </w:tr>
      <w:tr w:rsidR="00FA3A5B" w:rsidRPr="009D7811" w14:paraId="5A56F986" w14:textId="77777777" w:rsidTr="00FA3A5B">
        <w:trPr>
          <w:cantSplit/>
        </w:trPr>
        <w:tc>
          <w:tcPr>
            <w:tcW w:w="1870" w:type="dxa"/>
            <w:shd w:val="clear" w:color="auto" w:fill="auto"/>
            <w:tcMar>
              <w:top w:w="91" w:type="dxa"/>
              <w:left w:w="0" w:type="dxa"/>
              <w:bottom w:w="91" w:type="dxa"/>
              <w:right w:w="0" w:type="dxa"/>
            </w:tcMar>
          </w:tcPr>
          <w:p w14:paraId="019BAA9F"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4BED42DE"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682B25D3" w14:textId="77777777" w:rsidR="00FA3A5B" w:rsidRPr="009D7811" w:rsidRDefault="00FA3A5B" w:rsidP="00FA3A5B">
            <w:pPr>
              <w:pStyle w:val="TableBlockOutdent"/>
              <w:rPr>
                <w:rtl/>
              </w:rPr>
            </w:pPr>
            <w:r w:rsidRPr="009D7811">
              <w:rPr>
                <w:rtl/>
              </w:rPr>
              <w:t>"עבודה" – בין בתמורה ובין בהתנדבות, לרבות במתן שירותים, הכרוכה בקשר קבוע או סדיר של טיפול, השגחה או אחריות לשלומם של ילדים או חסרי ישע;</w:t>
            </w:r>
          </w:p>
        </w:tc>
      </w:tr>
      <w:tr w:rsidR="00FA3A5B" w:rsidRPr="009D7811" w14:paraId="226EA988" w14:textId="77777777" w:rsidTr="00FA3A5B">
        <w:trPr>
          <w:cantSplit/>
        </w:trPr>
        <w:tc>
          <w:tcPr>
            <w:tcW w:w="1870" w:type="dxa"/>
            <w:shd w:val="clear" w:color="auto" w:fill="auto"/>
            <w:tcMar>
              <w:top w:w="91" w:type="dxa"/>
              <w:left w:w="0" w:type="dxa"/>
              <w:bottom w:w="91" w:type="dxa"/>
              <w:right w:w="0" w:type="dxa"/>
            </w:tcMar>
          </w:tcPr>
          <w:p w14:paraId="55AF7CC5"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48526B68"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1CEF4675" w14:textId="77777777" w:rsidR="00FA3A5B" w:rsidRPr="009D7811" w:rsidRDefault="00FA3A5B" w:rsidP="00FA3A5B">
            <w:pPr>
              <w:pStyle w:val="TableBlockOutdent"/>
              <w:rPr>
                <w:rtl/>
              </w:rPr>
            </w:pPr>
            <w:r w:rsidRPr="009D7811">
              <w:rPr>
                <w:rtl/>
              </w:rPr>
              <w:t>"עבירת אלימות או התעללות</w:t>
            </w:r>
            <w:r w:rsidRPr="009D7811">
              <w:rPr>
                <w:rFonts w:hint="cs"/>
                <w:rtl/>
              </w:rPr>
              <w:t xml:space="preserve"> בילד או בחסר ישע</w:t>
            </w:r>
            <w:r w:rsidRPr="009D7811">
              <w:rPr>
                <w:rtl/>
              </w:rPr>
              <w:t xml:space="preserve">" – כל אחת מאלה: </w:t>
            </w:r>
          </w:p>
        </w:tc>
      </w:tr>
      <w:tr w:rsidR="00FA3A5B" w:rsidRPr="009D7811" w14:paraId="13D814F1" w14:textId="77777777" w:rsidTr="00FA3A5B">
        <w:tblPrEx>
          <w:tblLook w:val="01E0" w:firstRow="1" w:lastRow="1" w:firstColumn="1" w:lastColumn="1" w:noHBand="0" w:noVBand="0"/>
        </w:tblPrEx>
        <w:trPr>
          <w:cantSplit/>
        </w:trPr>
        <w:tc>
          <w:tcPr>
            <w:tcW w:w="1870" w:type="dxa"/>
          </w:tcPr>
          <w:p w14:paraId="0A6A94A3" w14:textId="77777777" w:rsidR="00FA3A5B" w:rsidRPr="009D7811" w:rsidRDefault="00FA3A5B" w:rsidP="00FA3A5B">
            <w:pPr>
              <w:pStyle w:val="TableSideHeading"/>
              <w:rPr>
                <w:sz w:val="16"/>
                <w:szCs w:val="22"/>
              </w:rPr>
            </w:pPr>
          </w:p>
        </w:tc>
        <w:tc>
          <w:tcPr>
            <w:tcW w:w="624" w:type="dxa"/>
          </w:tcPr>
          <w:p w14:paraId="35D4D69B" w14:textId="77777777" w:rsidR="00FA3A5B" w:rsidRPr="009D7811" w:rsidRDefault="00FA3A5B" w:rsidP="00FA3A5B">
            <w:pPr>
              <w:pStyle w:val="TableText"/>
            </w:pPr>
          </w:p>
        </w:tc>
        <w:tc>
          <w:tcPr>
            <w:tcW w:w="624" w:type="dxa"/>
          </w:tcPr>
          <w:p w14:paraId="4139C449" w14:textId="77777777" w:rsidR="00FA3A5B" w:rsidRPr="009D7811" w:rsidRDefault="00FA3A5B" w:rsidP="00FA3A5B">
            <w:pPr>
              <w:pStyle w:val="TableText"/>
            </w:pPr>
          </w:p>
        </w:tc>
        <w:tc>
          <w:tcPr>
            <w:tcW w:w="6519" w:type="dxa"/>
          </w:tcPr>
          <w:p w14:paraId="602C0566" w14:textId="1D9AF95A" w:rsidR="00FA3A5B" w:rsidRPr="009D7811" w:rsidRDefault="00FA3A5B" w:rsidP="00FA3A5B">
            <w:pPr>
              <w:pStyle w:val="TableBlock"/>
            </w:pPr>
            <w:r w:rsidRPr="009D7811">
              <w:rPr>
                <w:rtl/>
              </w:rPr>
              <w:t>(1)</w:t>
            </w:r>
            <w:r w:rsidRPr="009D7811">
              <w:rPr>
                <w:rtl/>
              </w:rPr>
              <w:tab/>
              <w:t>עבירה לפי סעיף 335(ב)</w:t>
            </w:r>
            <w:r>
              <w:rPr>
                <w:rFonts w:hint="cs"/>
                <w:rtl/>
              </w:rPr>
              <w:t xml:space="preserve"> לחוק העונשין</w:t>
            </w:r>
            <w:r w:rsidRPr="009D7811">
              <w:rPr>
                <w:rtl/>
              </w:rPr>
              <w:t>, שבוצעה כלפי בן משפחה המנוי בפסקה (2) להגדרה "בן משפחתו" שבאותו סעיף, או לפי סעיף 382(ב), שבוצעה כלפי בן משפחה המנוי בפסקה (2) להגדרה "בן משפחתו" שבאותו סעיף, או לפי סעיף 382(ד) לחוק העונשין</w:t>
            </w:r>
            <w:r w:rsidRPr="009D7811">
              <w:rPr>
                <w:rFonts w:hint="cs"/>
                <w:rtl/>
              </w:rPr>
              <w:t xml:space="preserve">, </w:t>
            </w:r>
            <w:r w:rsidRPr="009D7811">
              <w:rPr>
                <w:rFonts w:hint="eastAsia"/>
                <w:rtl/>
              </w:rPr>
              <w:t>והכ</w:t>
            </w:r>
            <w:r>
              <w:rPr>
                <w:rFonts w:hint="cs"/>
                <w:rtl/>
              </w:rPr>
              <w:t>ו</w:t>
            </w:r>
            <w:r w:rsidRPr="009D7811">
              <w:rPr>
                <w:rFonts w:hint="eastAsia"/>
                <w:rtl/>
              </w:rPr>
              <w:t>ל</w:t>
            </w:r>
            <w:r w:rsidRPr="009D7811">
              <w:rPr>
                <w:rtl/>
              </w:rPr>
              <w:t xml:space="preserve"> </w:t>
            </w:r>
            <w:r w:rsidRPr="009D7811">
              <w:rPr>
                <w:rFonts w:hint="eastAsia"/>
                <w:rtl/>
              </w:rPr>
              <w:t>אם</w:t>
            </w:r>
            <w:r w:rsidRPr="009D7811">
              <w:rPr>
                <w:rtl/>
              </w:rPr>
              <w:t xml:space="preserve"> </w:t>
            </w:r>
            <w:r w:rsidRPr="009D7811">
              <w:rPr>
                <w:rFonts w:hint="eastAsia"/>
                <w:rtl/>
              </w:rPr>
              <w:t>העבירה</w:t>
            </w:r>
            <w:r w:rsidRPr="009D7811">
              <w:rPr>
                <w:rtl/>
              </w:rPr>
              <w:t xml:space="preserve"> </w:t>
            </w:r>
            <w:r w:rsidRPr="009D7811">
              <w:rPr>
                <w:rFonts w:hint="eastAsia"/>
                <w:rtl/>
              </w:rPr>
              <w:t>בוצעה</w:t>
            </w:r>
            <w:r w:rsidRPr="009D7811">
              <w:rPr>
                <w:rtl/>
              </w:rPr>
              <w:t xml:space="preserve"> </w:t>
            </w:r>
            <w:r w:rsidRPr="009D7811">
              <w:rPr>
                <w:rFonts w:hint="eastAsia"/>
                <w:rtl/>
              </w:rPr>
              <w:t>כלפי</w:t>
            </w:r>
            <w:r w:rsidRPr="009D7811">
              <w:rPr>
                <w:rtl/>
              </w:rPr>
              <w:t xml:space="preserve"> </w:t>
            </w:r>
            <w:r w:rsidRPr="009D7811">
              <w:rPr>
                <w:rFonts w:hint="eastAsia"/>
                <w:rtl/>
              </w:rPr>
              <w:t>ילד</w:t>
            </w:r>
            <w:r w:rsidRPr="009D7811">
              <w:rPr>
                <w:rtl/>
              </w:rPr>
              <w:t xml:space="preserve"> </w:t>
            </w:r>
            <w:r w:rsidRPr="009D7811">
              <w:rPr>
                <w:rFonts w:hint="eastAsia"/>
                <w:rtl/>
              </w:rPr>
              <w:t>או</w:t>
            </w:r>
            <w:r w:rsidRPr="009D7811">
              <w:rPr>
                <w:rtl/>
              </w:rPr>
              <w:t xml:space="preserve"> </w:t>
            </w:r>
            <w:r w:rsidRPr="009D7811">
              <w:rPr>
                <w:rFonts w:hint="eastAsia"/>
                <w:rtl/>
              </w:rPr>
              <w:t>חסר</w:t>
            </w:r>
            <w:r w:rsidRPr="009D7811">
              <w:rPr>
                <w:rtl/>
              </w:rPr>
              <w:t xml:space="preserve"> </w:t>
            </w:r>
            <w:r w:rsidRPr="009D7811">
              <w:rPr>
                <w:rFonts w:hint="eastAsia"/>
                <w:rtl/>
              </w:rPr>
              <w:t>ישע</w:t>
            </w:r>
            <w:r w:rsidRPr="009D7811">
              <w:rPr>
                <w:rtl/>
              </w:rPr>
              <w:t>;</w:t>
            </w:r>
          </w:p>
        </w:tc>
      </w:tr>
      <w:tr w:rsidR="00FA3A5B" w:rsidRPr="009D7811" w14:paraId="76342DBF" w14:textId="77777777" w:rsidTr="00FA3A5B">
        <w:tblPrEx>
          <w:tblLook w:val="01E0" w:firstRow="1" w:lastRow="1" w:firstColumn="1" w:lastColumn="1" w:noHBand="0" w:noVBand="0"/>
        </w:tblPrEx>
        <w:trPr>
          <w:cantSplit/>
        </w:trPr>
        <w:tc>
          <w:tcPr>
            <w:tcW w:w="1870" w:type="dxa"/>
          </w:tcPr>
          <w:p w14:paraId="63A810D4" w14:textId="77777777" w:rsidR="00FA3A5B" w:rsidRPr="009D7811" w:rsidRDefault="00FA3A5B" w:rsidP="00FA3A5B">
            <w:pPr>
              <w:pStyle w:val="TableSideHeading"/>
              <w:rPr>
                <w:sz w:val="16"/>
                <w:szCs w:val="22"/>
              </w:rPr>
            </w:pPr>
            <w:r w:rsidRPr="009D7811">
              <w:rPr>
                <w:sz w:val="12"/>
                <w:szCs w:val="18"/>
                <w:rtl/>
              </w:rPr>
              <w:t xml:space="preserve"> </w:t>
            </w:r>
          </w:p>
        </w:tc>
        <w:tc>
          <w:tcPr>
            <w:tcW w:w="624" w:type="dxa"/>
          </w:tcPr>
          <w:p w14:paraId="419A8675" w14:textId="77777777" w:rsidR="00FA3A5B" w:rsidRPr="009D7811" w:rsidRDefault="00FA3A5B" w:rsidP="00FA3A5B">
            <w:pPr>
              <w:pStyle w:val="TableText"/>
            </w:pPr>
          </w:p>
        </w:tc>
        <w:tc>
          <w:tcPr>
            <w:tcW w:w="624" w:type="dxa"/>
          </w:tcPr>
          <w:p w14:paraId="6025107E" w14:textId="77777777" w:rsidR="00FA3A5B" w:rsidRPr="009D7811" w:rsidRDefault="00FA3A5B" w:rsidP="00FA3A5B">
            <w:pPr>
              <w:pStyle w:val="TableText"/>
            </w:pPr>
          </w:p>
        </w:tc>
        <w:tc>
          <w:tcPr>
            <w:tcW w:w="6519" w:type="dxa"/>
          </w:tcPr>
          <w:p w14:paraId="08F69163" w14:textId="28C16060" w:rsidR="00FA3A5B" w:rsidRPr="009D7811" w:rsidRDefault="00FA3A5B" w:rsidP="00FA3A5B">
            <w:pPr>
              <w:pStyle w:val="TableBlock"/>
              <w:rPr>
                <w:rtl/>
              </w:rPr>
            </w:pPr>
            <w:r w:rsidRPr="009D7811">
              <w:rPr>
                <w:rtl/>
              </w:rPr>
              <w:t>(2)</w:t>
            </w:r>
            <w:r w:rsidRPr="009D7811">
              <w:rPr>
                <w:rtl/>
              </w:rPr>
              <w:tab/>
            </w:r>
            <w:r w:rsidRPr="009D7811">
              <w:rPr>
                <w:rFonts w:hint="eastAsia"/>
                <w:rtl/>
              </w:rPr>
              <w:t>עבירה</w:t>
            </w:r>
            <w:r w:rsidRPr="009D7811">
              <w:rPr>
                <w:rtl/>
              </w:rPr>
              <w:t xml:space="preserve"> </w:t>
            </w:r>
            <w:r w:rsidRPr="009D7811">
              <w:rPr>
                <w:rFonts w:hint="eastAsia"/>
                <w:rtl/>
              </w:rPr>
              <w:t>לפי</w:t>
            </w:r>
            <w:r w:rsidRPr="009D7811">
              <w:rPr>
                <w:rtl/>
              </w:rPr>
              <w:t xml:space="preserve"> סעיף 368ב</w:t>
            </w:r>
            <w:r w:rsidRPr="009D7811">
              <w:t xml:space="preserve"> </w:t>
            </w:r>
            <w:r w:rsidRPr="009D7811">
              <w:rPr>
                <w:rFonts w:hint="cs"/>
                <w:rtl/>
              </w:rPr>
              <w:t xml:space="preserve">או </w:t>
            </w:r>
            <w:r w:rsidRPr="009D7811">
              <w:rPr>
                <w:rtl/>
              </w:rPr>
              <w:t>368ג</w:t>
            </w:r>
            <w:r>
              <w:rPr>
                <w:rFonts w:hint="cs"/>
                <w:rtl/>
              </w:rPr>
              <w:t xml:space="preserve"> לחוק העונשין</w:t>
            </w:r>
            <w:r w:rsidRPr="009D7811">
              <w:rPr>
                <w:rtl/>
              </w:rPr>
              <w:t xml:space="preserve">, שבוצעה כלפי ילד או חסר ישע;  </w:t>
            </w:r>
          </w:p>
        </w:tc>
      </w:tr>
      <w:tr w:rsidR="00FA3A5B" w:rsidRPr="009D7811" w14:paraId="0DBDA6E1" w14:textId="77777777" w:rsidTr="00FA3A5B">
        <w:tblPrEx>
          <w:tblLook w:val="01E0" w:firstRow="1" w:lastRow="1" w:firstColumn="1" w:lastColumn="1" w:noHBand="0" w:noVBand="0"/>
        </w:tblPrEx>
        <w:trPr>
          <w:cantSplit/>
        </w:trPr>
        <w:tc>
          <w:tcPr>
            <w:tcW w:w="1870" w:type="dxa"/>
          </w:tcPr>
          <w:p w14:paraId="4ACBEDB9" w14:textId="77777777" w:rsidR="00FA3A5B" w:rsidRPr="009D7811" w:rsidRDefault="00FA3A5B" w:rsidP="00FA3A5B">
            <w:pPr>
              <w:pStyle w:val="TableSideHeading"/>
              <w:rPr>
                <w:sz w:val="16"/>
                <w:szCs w:val="22"/>
                <w:rtl/>
              </w:rPr>
            </w:pPr>
          </w:p>
        </w:tc>
        <w:tc>
          <w:tcPr>
            <w:tcW w:w="624" w:type="dxa"/>
          </w:tcPr>
          <w:p w14:paraId="0C6BBD6F" w14:textId="77777777" w:rsidR="00FA3A5B" w:rsidRPr="009D7811" w:rsidRDefault="00FA3A5B" w:rsidP="00FA3A5B">
            <w:pPr>
              <w:pStyle w:val="TableText"/>
            </w:pPr>
          </w:p>
        </w:tc>
        <w:tc>
          <w:tcPr>
            <w:tcW w:w="624" w:type="dxa"/>
          </w:tcPr>
          <w:p w14:paraId="1C4EFC08" w14:textId="77777777" w:rsidR="00FA3A5B" w:rsidRPr="009D7811" w:rsidRDefault="00FA3A5B" w:rsidP="00FA3A5B">
            <w:pPr>
              <w:pStyle w:val="TableText"/>
            </w:pPr>
          </w:p>
        </w:tc>
        <w:tc>
          <w:tcPr>
            <w:tcW w:w="6519" w:type="dxa"/>
          </w:tcPr>
          <w:p w14:paraId="1D2774EF" w14:textId="77777777" w:rsidR="00FA3A5B" w:rsidRPr="009D7811" w:rsidRDefault="00FA3A5B" w:rsidP="00FA3A5B">
            <w:pPr>
              <w:pStyle w:val="TableBlock"/>
              <w:rPr>
                <w:rtl/>
              </w:rPr>
            </w:pPr>
            <w:r w:rsidRPr="009D7811">
              <w:rPr>
                <w:rtl/>
              </w:rPr>
              <w:t>(3)</w:t>
            </w:r>
            <w:r w:rsidRPr="009D7811">
              <w:rPr>
                <w:rtl/>
              </w:rPr>
              <w:tab/>
            </w:r>
            <w:r w:rsidRPr="009D7811">
              <w:rPr>
                <w:rFonts w:hint="eastAsia"/>
                <w:rtl/>
              </w:rPr>
              <w:t>עבירה</w:t>
            </w:r>
            <w:r w:rsidRPr="009D7811">
              <w:rPr>
                <w:rtl/>
              </w:rPr>
              <w:t xml:space="preserve"> לפי סעיף 379 או 380 </w:t>
            </w:r>
            <w:r w:rsidRPr="009D7811">
              <w:rPr>
                <w:rFonts w:hint="eastAsia"/>
                <w:rtl/>
              </w:rPr>
              <w:t>לחוק</w:t>
            </w:r>
            <w:r w:rsidRPr="009D7811">
              <w:rPr>
                <w:rtl/>
              </w:rPr>
              <w:t xml:space="preserve"> העונשין ש</w:t>
            </w:r>
            <w:r w:rsidRPr="009D7811">
              <w:rPr>
                <w:rFonts w:hint="eastAsia"/>
                <w:rtl/>
              </w:rPr>
              <w:t>בוצעה</w:t>
            </w:r>
            <w:r w:rsidRPr="009D7811">
              <w:rPr>
                <w:rtl/>
              </w:rPr>
              <w:t xml:space="preserve"> </w:t>
            </w:r>
            <w:r w:rsidRPr="009D7811">
              <w:rPr>
                <w:rFonts w:hint="eastAsia"/>
                <w:rtl/>
              </w:rPr>
              <w:t>כלפי</w:t>
            </w:r>
            <w:r w:rsidRPr="009D7811">
              <w:rPr>
                <w:rtl/>
              </w:rPr>
              <w:t xml:space="preserve"> </w:t>
            </w:r>
            <w:r w:rsidRPr="009D7811">
              <w:rPr>
                <w:rFonts w:hint="eastAsia"/>
                <w:rtl/>
              </w:rPr>
              <w:t>ילד</w:t>
            </w:r>
            <w:r w:rsidRPr="009D7811">
              <w:rPr>
                <w:rFonts w:hint="cs"/>
                <w:rtl/>
              </w:rPr>
              <w:t>.</w:t>
            </w:r>
          </w:p>
        </w:tc>
      </w:tr>
      <w:tr w:rsidR="00FA3A5B" w:rsidRPr="009D7811" w14:paraId="1111B48E" w14:textId="77777777" w:rsidTr="00FA3A5B">
        <w:trPr>
          <w:cantSplit/>
        </w:trPr>
        <w:tc>
          <w:tcPr>
            <w:tcW w:w="1870" w:type="dxa"/>
            <w:shd w:val="clear" w:color="auto" w:fill="auto"/>
            <w:tcMar>
              <w:top w:w="91" w:type="dxa"/>
              <w:left w:w="0" w:type="dxa"/>
              <w:bottom w:w="91" w:type="dxa"/>
              <w:right w:w="0" w:type="dxa"/>
            </w:tcMar>
          </w:tcPr>
          <w:p w14:paraId="3FB7C61A" w14:textId="77777777" w:rsidR="00FA3A5B" w:rsidRPr="009D7811" w:rsidRDefault="00FA3A5B" w:rsidP="00FA3A5B">
            <w:pPr>
              <w:pStyle w:val="TableSideHeading"/>
              <w:rPr>
                <w:rtl/>
              </w:rPr>
            </w:pPr>
            <w:r w:rsidRPr="009D7811">
              <w:rPr>
                <w:rtl/>
              </w:rPr>
              <w:t>איסור העסקה ועיסוק</w:t>
            </w:r>
          </w:p>
        </w:tc>
        <w:tc>
          <w:tcPr>
            <w:tcW w:w="624" w:type="dxa"/>
            <w:shd w:val="clear" w:color="auto" w:fill="auto"/>
            <w:tcMar>
              <w:top w:w="91" w:type="dxa"/>
              <w:left w:w="0" w:type="dxa"/>
              <w:bottom w:w="91" w:type="dxa"/>
              <w:right w:w="0" w:type="dxa"/>
            </w:tcMar>
          </w:tcPr>
          <w:p w14:paraId="0837AE69" w14:textId="77777777" w:rsidR="00FA3A5B" w:rsidRPr="009D7811" w:rsidRDefault="00FA3A5B" w:rsidP="00FA3A5B">
            <w:pPr>
              <w:pStyle w:val="TableText"/>
              <w:rPr>
                <w:rtl/>
              </w:rPr>
            </w:pPr>
            <w:r w:rsidRPr="009D7811">
              <w:rPr>
                <w:rtl/>
              </w:rPr>
              <w:t>2.</w:t>
            </w:r>
          </w:p>
        </w:tc>
        <w:tc>
          <w:tcPr>
            <w:tcW w:w="7143" w:type="dxa"/>
            <w:gridSpan w:val="2"/>
            <w:shd w:val="clear" w:color="auto" w:fill="auto"/>
            <w:tcMar>
              <w:top w:w="91" w:type="dxa"/>
              <w:left w:w="0" w:type="dxa"/>
              <w:bottom w:w="91" w:type="dxa"/>
              <w:right w:w="0" w:type="dxa"/>
            </w:tcMar>
          </w:tcPr>
          <w:p w14:paraId="5B2AB940" w14:textId="77777777" w:rsidR="00FA3A5B" w:rsidRPr="009D7811" w:rsidRDefault="00FA3A5B" w:rsidP="00FA3A5B">
            <w:pPr>
              <w:pStyle w:val="TableBlock"/>
              <w:rPr>
                <w:rtl/>
              </w:rPr>
            </w:pPr>
            <w:r w:rsidRPr="009D7811">
              <w:rPr>
                <w:rtl/>
              </w:rPr>
              <w:t>(א)</w:t>
            </w:r>
            <w:r w:rsidRPr="009D7811">
              <w:rPr>
                <w:rtl/>
              </w:rPr>
              <w:tab/>
              <w:t xml:space="preserve">מעסיק לא יקבל לעבודה במוסד ולא יעסיק בעבודה במוסד בגיר שהורשע בעבירת אלימות או התעללות </w:t>
            </w:r>
            <w:r w:rsidRPr="009D7811">
              <w:rPr>
                <w:rFonts w:hint="cs"/>
                <w:rtl/>
              </w:rPr>
              <w:t xml:space="preserve">בילד או בחסר ישע </w:t>
            </w:r>
            <w:r w:rsidRPr="009D7811">
              <w:rPr>
                <w:rtl/>
              </w:rPr>
              <w:t>שביצע בהיותו בגיר.</w:t>
            </w:r>
          </w:p>
        </w:tc>
      </w:tr>
      <w:tr w:rsidR="00FA3A5B" w:rsidRPr="009D7811" w14:paraId="1F38466F" w14:textId="77777777" w:rsidTr="00FA3A5B">
        <w:trPr>
          <w:cantSplit/>
        </w:trPr>
        <w:tc>
          <w:tcPr>
            <w:tcW w:w="1870" w:type="dxa"/>
            <w:shd w:val="clear" w:color="auto" w:fill="auto"/>
            <w:tcMar>
              <w:top w:w="91" w:type="dxa"/>
              <w:left w:w="0" w:type="dxa"/>
              <w:bottom w:w="91" w:type="dxa"/>
              <w:right w:w="0" w:type="dxa"/>
            </w:tcMar>
          </w:tcPr>
          <w:p w14:paraId="6F485911"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458DC4D5"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6AC4E955" w14:textId="77777777" w:rsidR="00FA3A5B" w:rsidRPr="009D7811" w:rsidRDefault="00FA3A5B" w:rsidP="00FA3A5B">
            <w:pPr>
              <w:pStyle w:val="TableBlock"/>
              <w:rPr>
                <w:rtl/>
              </w:rPr>
            </w:pPr>
            <w:r w:rsidRPr="009D7811">
              <w:rPr>
                <w:rtl/>
              </w:rPr>
              <w:t>(ב)</w:t>
            </w:r>
            <w:r w:rsidRPr="009D7811">
              <w:rPr>
                <w:rtl/>
              </w:rPr>
              <w:tab/>
            </w:r>
            <w:r w:rsidRPr="009D7811">
              <w:rPr>
                <w:rFonts w:hint="cs"/>
                <w:rtl/>
              </w:rPr>
              <w:t>מי</w:t>
            </w:r>
            <w:r w:rsidRPr="009D7811">
              <w:rPr>
                <w:rtl/>
              </w:rPr>
              <w:t xml:space="preserve"> שהורשע בעבירת אלימות או התעללות </w:t>
            </w:r>
            <w:r w:rsidRPr="009D7811">
              <w:rPr>
                <w:rFonts w:hint="cs"/>
                <w:rtl/>
              </w:rPr>
              <w:t xml:space="preserve">בילד או בחסר ישע </w:t>
            </w:r>
            <w:r w:rsidRPr="009D7811">
              <w:rPr>
                <w:rtl/>
              </w:rPr>
              <w:t>שביצע בהיותו בגיר לא יעסוק בעבודה במוסד.</w:t>
            </w:r>
          </w:p>
        </w:tc>
      </w:tr>
      <w:tr w:rsidR="00FA3A5B" w:rsidRPr="009D7811" w14:paraId="0AB50618" w14:textId="77777777" w:rsidTr="00FA3A5B">
        <w:trPr>
          <w:cantSplit/>
        </w:trPr>
        <w:tc>
          <w:tcPr>
            <w:tcW w:w="1870" w:type="dxa"/>
            <w:shd w:val="clear" w:color="auto" w:fill="auto"/>
            <w:tcMar>
              <w:top w:w="91" w:type="dxa"/>
              <w:left w:w="0" w:type="dxa"/>
              <w:bottom w:w="91" w:type="dxa"/>
              <w:right w:w="0" w:type="dxa"/>
            </w:tcMar>
          </w:tcPr>
          <w:p w14:paraId="4CF2E12C"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1CB52E74"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6DC3C6F8" w14:textId="77777777" w:rsidR="00FA3A5B" w:rsidRPr="009D7811" w:rsidRDefault="00FA3A5B" w:rsidP="00FA3A5B">
            <w:pPr>
              <w:pStyle w:val="TableBlock"/>
              <w:rPr>
                <w:rtl/>
              </w:rPr>
            </w:pPr>
            <w:r w:rsidRPr="009D7811">
              <w:rPr>
                <w:rtl/>
              </w:rPr>
              <w:t>(ג)</w:t>
            </w:r>
            <w:r w:rsidRPr="009D7811">
              <w:rPr>
                <w:rtl/>
              </w:rPr>
              <w:tab/>
              <w:t xml:space="preserve">הוראות סעיפים קטנים (א) ו־(ב) יחולו ממועד ההרשעה </w:t>
            </w:r>
            <w:r w:rsidRPr="009D7811">
              <w:rPr>
                <w:rFonts w:hint="eastAsia"/>
                <w:rtl/>
              </w:rPr>
              <w:t>בעבירת</w:t>
            </w:r>
            <w:r w:rsidRPr="009D7811">
              <w:rPr>
                <w:rtl/>
              </w:rPr>
              <w:t xml:space="preserve"> </w:t>
            </w:r>
            <w:r w:rsidRPr="009D7811">
              <w:rPr>
                <w:rFonts w:hint="eastAsia"/>
                <w:rtl/>
              </w:rPr>
              <w:t>אלימות</w:t>
            </w:r>
            <w:r w:rsidRPr="009D7811">
              <w:rPr>
                <w:rtl/>
              </w:rPr>
              <w:t xml:space="preserve"> </w:t>
            </w:r>
            <w:r w:rsidRPr="009D7811">
              <w:rPr>
                <w:rFonts w:hint="eastAsia"/>
                <w:rtl/>
              </w:rPr>
              <w:t>או</w:t>
            </w:r>
            <w:r w:rsidRPr="009D7811">
              <w:rPr>
                <w:rtl/>
              </w:rPr>
              <w:t xml:space="preserve"> </w:t>
            </w:r>
            <w:r w:rsidRPr="009D7811">
              <w:rPr>
                <w:rFonts w:hint="eastAsia"/>
                <w:rtl/>
              </w:rPr>
              <w:t>התעללות</w:t>
            </w:r>
            <w:r w:rsidRPr="009D7811">
              <w:rPr>
                <w:rtl/>
              </w:rPr>
              <w:t xml:space="preserve"> </w:t>
            </w:r>
            <w:r w:rsidRPr="009D7811">
              <w:rPr>
                <w:rFonts w:hint="cs"/>
                <w:rtl/>
              </w:rPr>
              <w:t xml:space="preserve">בילד או בחסר ישע </w:t>
            </w:r>
            <w:r w:rsidRPr="009D7811">
              <w:rPr>
                <w:rFonts w:hint="eastAsia"/>
                <w:rtl/>
              </w:rPr>
              <w:t>ועד</w:t>
            </w:r>
            <w:r w:rsidRPr="009D7811">
              <w:rPr>
                <w:rtl/>
              </w:rPr>
              <w:t xml:space="preserve"> </w:t>
            </w:r>
            <w:r w:rsidRPr="009D7811">
              <w:rPr>
                <w:rFonts w:hint="cs"/>
                <w:rtl/>
              </w:rPr>
              <w:t>תום ה</w:t>
            </w:r>
            <w:r w:rsidRPr="009D7811">
              <w:rPr>
                <w:rFonts w:hint="eastAsia"/>
                <w:rtl/>
              </w:rPr>
              <w:t>תקופה</w:t>
            </w:r>
            <w:r w:rsidRPr="009D7811">
              <w:rPr>
                <w:rtl/>
              </w:rPr>
              <w:t xml:space="preserve"> </w:t>
            </w:r>
            <w:r w:rsidRPr="009D7811">
              <w:rPr>
                <w:rFonts w:hint="cs"/>
                <w:rtl/>
              </w:rPr>
              <w:t xml:space="preserve">לפי פסקאות (1) ו־(2) (בחוק זה </w:t>
            </w:r>
            <w:r w:rsidRPr="009D7811">
              <w:rPr>
                <w:rtl/>
              </w:rPr>
              <w:t>–</w:t>
            </w:r>
            <w:r w:rsidRPr="009D7811">
              <w:rPr>
                <w:rFonts w:hint="cs"/>
                <w:rtl/>
              </w:rPr>
              <w:t xml:space="preserve"> תקופת האיסור),</w:t>
            </w:r>
            <w:r w:rsidRPr="009D7811">
              <w:rPr>
                <w:rtl/>
              </w:rPr>
              <w:t xml:space="preserve"> </w:t>
            </w:r>
            <w:r w:rsidRPr="009D7811">
              <w:rPr>
                <w:rFonts w:hint="eastAsia"/>
                <w:rtl/>
              </w:rPr>
              <w:t>ואם</w:t>
            </w:r>
            <w:r w:rsidRPr="009D7811">
              <w:rPr>
                <w:rtl/>
              </w:rPr>
              <w:t xml:space="preserve"> נידון </w:t>
            </w:r>
            <w:r w:rsidRPr="009D7811">
              <w:rPr>
                <w:rFonts w:hint="eastAsia"/>
                <w:rtl/>
              </w:rPr>
              <w:t>למאסר</w:t>
            </w:r>
            <w:r w:rsidRPr="009D7811">
              <w:rPr>
                <w:rtl/>
              </w:rPr>
              <w:t xml:space="preserve"> – </w:t>
            </w:r>
            <w:r w:rsidRPr="009D7811">
              <w:rPr>
                <w:rFonts w:hint="cs"/>
                <w:rtl/>
              </w:rPr>
              <w:t>תימנה תקופת האיסור ממועד ה</w:t>
            </w:r>
            <w:r w:rsidRPr="009D7811">
              <w:rPr>
                <w:rFonts w:hint="eastAsia"/>
                <w:rtl/>
              </w:rPr>
              <w:t>שחרור</w:t>
            </w:r>
            <w:r w:rsidRPr="009D7811">
              <w:rPr>
                <w:rtl/>
              </w:rPr>
              <w:t xml:space="preserve"> </w:t>
            </w:r>
            <w:r w:rsidRPr="009D7811">
              <w:rPr>
                <w:rFonts w:hint="cs"/>
                <w:rtl/>
              </w:rPr>
              <w:t>ממאסר:</w:t>
            </w:r>
          </w:p>
        </w:tc>
      </w:tr>
      <w:tr w:rsidR="00FA3A5B" w:rsidRPr="009D7811" w14:paraId="5B71C119" w14:textId="77777777" w:rsidTr="00FA3A5B">
        <w:tblPrEx>
          <w:tblLook w:val="01E0" w:firstRow="1" w:lastRow="1" w:firstColumn="1" w:lastColumn="1" w:noHBand="0" w:noVBand="0"/>
        </w:tblPrEx>
        <w:trPr>
          <w:cantSplit/>
        </w:trPr>
        <w:tc>
          <w:tcPr>
            <w:tcW w:w="1870" w:type="dxa"/>
          </w:tcPr>
          <w:p w14:paraId="5DB76CB5" w14:textId="77777777" w:rsidR="00FA3A5B" w:rsidRPr="009D7811" w:rsidRDefault="00FA3A5B" w:rsidP="00FA3A5B">
            <w:pPr>
              <w:pStyle w:val="TableSideHeading"/>
            </w:pPr>
          </w:p>
        </w:tc>
        <w:tc>
          <w:tcPr>
            <w:tcW w:w="624" w:type="dxa"/>
          </w:tcPr>
          <w:p w14:paraId="60D2391D" w14:textId="77777777" w:rsidR="00FA3A5B" w:rsidRPr="009D7811" w:rsidRDefault="00FA3A5B" w:rsidP="00FA3A5B">
            <w:pPr>
              <w:pStyle w:val="TableText"/>
            </w:pPr>
          </w:p>
        </w:tc>
        <w:tc>
          <w:tcPr>
            <w:tcW w:w="624" w:type="dxa"/>
          </w:tcPr>
          <w:p w14:paraId="7BE5F3CF" w14:textId="77777777" w:rsidR="00FA3A5B" w:rsidRPr="009D7811" w:rsidRDefault="00FA3A5B" w:rsidP="00FA3A5B">
            <w:pPr>
              <w:pStyle w:val="TableText"/>
            </w:pPr>
          </w:p>
        </w:tc>
        <w:tc>
          <w:tcPr>
            <w:tcW w:w="6519" w:type="dxa"/>
          </w:tcPr>
          <w:p w14:paraId="3FC74A14" w14:textId="42C4E378" w:rsidR="00FA3A5B" w:rsidRPr="009D7811" w:rsidRDefault="00FA3A5B" w:rsidP="00FA3A5B">
            <w:pPr>
              <w:pStyle w:val="TableBlock"/>
            </w:pPr>
            <w:r w:rsidRPr="009D7811">
              <w:rPr>
                <w:rFonts w:hint="cs"/>
                <w:rtl/>
              </w:rPr>
              <w:t xml:space="preserve">(1) </w:t>
            </w:r>
            <w:r w:rsidRPr="009D7811">
              <w:rPr>
                <w:rtl/>
              </w:rPr>
              <w:tab/>
            </w:r>
            <w:r w:rsidRPr="009D7811">
              <w:rPr>
                <w:rFonts w:hint="cs"/>
                <w:rtl/>
              </w:rPr>
              <w:t xml:space="preserve">בעבירות שעונשן המרבי </w:t>
            </w:r>
            <w:r>
              <w:rPr>
                <w:rFonts w:hint="cs"/>
                <w:rtl/>
              </w:rPr>
              <w:t>אינו</w:t>
            </w:r>
            <w:r w:rsidRPr="009D7811">
              <w:rPr>
                <w:rFonts w:hint="cs"/>
                <w:rtl/>
              </w:rPr>
              <w:t xml:space="preserve"> עולה על חמש שנים </w:t>
            </w:r>
            <w:r w:rsidRPr="009D7811">
              <w:rPr>
                <w:rtl/>
              </w:rPr>
              <w:t xml:space="preserve">– </w:t>
            </w:r>
            <w:r w:rsidRPr="009D7811">
              <w:rPr>
                <w:rFonts w:hint="cs"/>
                <w:rtl/>
              </w:rPr>
              <w:t xml:space="preserve">עשר </w:t>
            </w:r>
            <w:r w:rsidRPr="009D7811">
              <w:rPr>
                <w:rtl/>
              </w:rPr>
              <w:t xml:space="preserve">שנים; </w:t>
            </w:r>
          </w:p>
        </w:tc>
      </w:tr>
      <w:tr w:rsidR="00FA3A5B" w:rsidRPr="009D7811" w14:paraId="325CE998" w14:textId="77777777" w:rsidTr="00FA3A5B">
        <w:tblPrEx>
          <w:tblLook w:val="01E0" w:firstRow="1" w:lastRow="1" w:firstColumn="1" w:lastColumn="1" w:noHBand="0" w:noVBand="0"/>
        </w:tblPrEx>
        <w:trPr>
          <w:cantSplit/>
        </w:trPr>
        <w:tc>
          <w:tcPr>
            <w:tcW w:w="1870" w:type="dxa"/>
          </w:tcPr>
          <w:p w14:paraId="3609C223" w14:textId="77777777" w:rsidR="00FA3A5B" w:rsidRPr="009D7811" w:rsidRDefault="00FA3A5B" w:rsidP="00FA3A5B">
            <w:pPr>
              <w:pStyle w:val="TableSideHeading"/>
            </w:pPr>
          </w:p>
        </w:tc>
        <w:tc>
          <w:tcPr>
            <w:tcW w:w="624" w:type="dxa"/>
          </w:tcPr>
          <w:p w14:paraId="2F697B54" w14:textId="77777777" w:rsidR="00FA3A5B" w:rsidRPr="009D7811" w:rsidRDefault="00FA3A5B" w:rsidP="00FA3A5B">
            <w:pPr>
              <w:pStyle w:val="TableText"/>
            </w:pPr>
          </w:p>
        </w:tc>
        <w:tc>
          <w:tcPr>
            <w:tcW w:w="624" w:type="dxa"/>
          </w:tcPr>
          <w:p w14:paraId="7CAD0B58" w14:textId="77777777" w:rsidR="00FA3A5B" w:rsidRPr="009D7811" w:rsidRDefault="00FA3A5B" w:rsidP="00FA3A5B">
            <w:pPr>
              <w:pStyle w:val="TableText"/>
            </w:pPr>
          </w:p>
        </w:tc>
        <w:tc>
          <w:tcPr>
            <w:tcW w:w="6519" w:type="dxa"/>
          </w:tcPr>
          <w:p w14:paraId="15993A43" w14:textId="77777777" w:rsidR="00FA3A5B" w:rsidRPr="009D7811" w:rsidRDefault="00FA3A5B" w:rsidP="00FA3A5B">
            <w:pPr>
              <w:pStyle w:val="TableBlock"/>
            </w:pPr>
            <w:r w:rsidRPr="009D7811">
              <w:rPr>
                <w:rFonts w:hint="cs"/>
                <w:rtl/>
              </w:rPr>
              <w:t xml:space="preserve">(2) </w:t>
            </w:r>
            <w:r w:rsidRPr="009D7811">
              <w:rPr>
                <w:rtl/>
              </w:rPr>
              <w:tab/>
            </w:r>
            <w:r w:rsidRPr="009D7811">
              <w:rPr>
                <w:rFonts w:hint="cs"/>
                <w:rtl/>
              </w:rPr>
              <w:t xml:space="preserve">בעבירות שעונשן המרבי עולה על חמש שנים </w:t>
            </w:r>
            <w:r w:rsidRPr="009D7811">
              <w:rPr>
                <w:rFonts w:hint="eastAsia"/>
                <w:rtl/>
              </w:rPr>
              <w:t>–</w:t>
            </w:r>
            <w:r w:rsidRPr="009D7811">
              <w:rPr>
                <w:rFonts w:hint="cs"/>
                <w:rtl/>
              </w:rPr>
              <w:t xml:space="preserve"> 18 שנים.</w:t>
            </w:r>
          </w:p>
        </w:tc>
      </w:tr>
      <w:tr w:rsidR="00FA3A5B" w:rsidRPr="009D7811" w14:paraId="78787642" w14:textId="77777777" w:rsidTr="00FA3A5B">
        <w:trPr>
          <w:cantSplit/>
        </w:trPr>
        <w:tc>
          <w:tcPr>
            <w:tcW w:w="1870" w:type="dxa"/>
            <w:shd w:val="clear" w:color="auto" w:fill="auto"/>
            <w:tcMar>
              <w:top w:w="91" w:type="dxa"/>
              <w:left w:w="0" w:type="dxa"/>
              <w:bottom w:w="91" w:type="dxa"/>
              <w:right w:w="0" w:type="dxa"/>
            </w:tcMar>
          </w:tcPr>
          <w:p w14:paraId="317A2A1C" w14:textId="77777777" w:rsidR="00FA3A5B" w:rsidRPr="009D7811" w:rsidRDefault="00FA3A5B" w:rsidP="00FA3A5B">
            <w:pPr>
              <w:pStyle w:val="TableSideHeading"/>
              <w:rPr>
                <w:rtl/>
              </w:rPr>
            </w:pPr>
            <w:r w:rsidRPr="009D7811">
              <w:rPr>
                <w:rtl/>
              </w:rPr>
              <w:t>אישור המשטרה</w:t>
            </w:r>
          </w:p>
        </w:tc>
        <w:tc>
          <w:tcPr>
            <w:tcW w:w="624" w:type="dxa"/>
            <w:shd w:val="clear" w:color="auto" w:fill="auto"/>
            <w:tcMar>
              <w:top w:w="91" w:type="dxa"/>
              <w:left w:w="0" w:type="dxa"/>
              <w:bottom w:w="91" w:type="dxa"/>
              <w:right w:w="0" w:type="dxa"/>
            </w:tcMar>
          </w:tcPr>
          <w:p w14:paraId="36AE4F5C" w14:textId="77777777" w:rsidR="00FA3A5B" w:rsidRPr="009D7811" w:rsidRDefault="00FA3A5B" w:rsidP="00FA3A5B">
            <w:pPr>
              <w:pStyle w:val="TableText"/>
              <w:rPr>
                <w:rtl/>
              </w:rPr>
            </w:pPr>
            <w:r w:rsidRPr="009D7811">
              <w:rPr>
                <w:rtl/>
              </w:rPr>
              <w:t>3.</w:t>
            </w:r>
          </w:p>
        </w:tc>
        <w:tc>
          <w:tcPr>
            <w:tcW w:w="7143" w:type="dxa"/>
            <w:gridSpan w:val="2"/>
            <w:shd w:val="clear" w:color="auto" w:fill="auto"/>
            <w:tcMar>
              <w:top w:w="91" w:type="dxa"/>
              <w:left w:w="0" w:type="dxa"/>
              <w:bottom w:w="91" w:type="dxa"/>
              <w:right w:w="0" w:type="dxa"/>
            </w:tcMar>
          </w:tcPr>
          <w:p w14:paraId="5827586F" w14:textId="77777777" w:rsidR="00FA3A5B" w:rsidRPr="009D7811" w:rsidRDefault="00FA3A5B" w:rsidP="00FA3A5B">
            <w:pPr>
              <w:pStyle w:val="TableBlock"/>
              <w:rPr>
                <w:rtl/>
              </w:rPr>
            </w:pPr>
            <w:r w:rsidRPr="009D7811">
              <w:rPr>
                <w:rtl/>
              </w:rPr>
              <w:t>(א)</w:t>
            </w:r>
            <w:r w:rsidRPr="009D7811">
              <w:rPr>
                <w:rtl/>
              </w:rPr>
              <w:tab/>
              <w:t>מעסיק לא יקבל בגיר לעבודה במוסד בטרם קיבל את אישור המשטרה.</w:t>
            </w:r>
          </w:p>
        </w:tc>
      </w:tr>
      <w:tr w:rsidR="00FA3A5B" w:rsidRPr="009D7811" w14:paraId="11CC6D1A" w14:textId="77777777" w:rsidTr="00FA3A5B">
        <w:trPr>
          <w:cantSplit/>
        </w:trPr>
        <w:tc>
          <w:tcPr>
            <w:tcW w:w="1870" w:type="dxa"/>
            <w:shd w:val="clear" w:color="auto" w:fill="auto"/>
            <w:tcMar>
              <w:top w:w="91" w:type="dxa"/>
              <w:left w:w="0" w:type="dxa"/>
              <w:bottom w:w="91" w:type="dxa"/>
              <w:right w:w="0" w:type="dxa"/>
            </w:tcMar>
          </w:tcPr>
          <w:p w14:paraId="405DBD4F"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673458F0"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5E44D5D6" w14:textId="77777777" w:rsidR="00FA3A5B" w:rsidRPr="009D7811" w:rsidRDefault="00FA3A5B" w:rsidP="00FA3A5B">
            <w:pPr>
              <w:pStyle w:val="TableBlock"/>
              <w:rPr>
                <w:rtl/>
              </w:rPr>
            </w:pPr>
            <w:r w:rsidRPr="009D7811">
              <w:rPr>
                <w:rtl/>
              </w:rPr>
              <w:t>(ב)</w:t>
            </w:r>
            <w:r w:rsidRPr="009D7811">
              <w:rPr>
                <w:rtl/>
              </w:rPr>
              <w:tab/>
              <w:t xml:space="preserve">אישור המשטרה יינתן </w:t>
            </w:r>
            <w:r w:rsidRPr="009D7811">
              <w:rPr>
                <w:rFonts w:hint="cs"/>
                <w:rtl/>
              </w:rPr>
              <w:t>ב</w:t>
            </w:r>
            <w:r w:rsidRPr="009D7811">
              <w:rPr>
                <w:rtl/>
              </w:rPr>
              <w:t xml:space="preserve">אחד מאלה: </w:t>
            </w:r>
          </w:p>
        </w:tc>
      </w:tr>
      <w:tr w:rsidR="00FA3A5B" w:rsidRPr="009D7811" w14:paraId="7F5FB46A" w14:textId="77777777" w:rsidTr="00FA3A5B">
        <w:trPr>
          <w:cantSplit/>
        </w:trPr>
        <w:tc>
          <w:tcPr>
            <w:tcW w:w="1870" w:type="dxa"/>
            <w:shd w:val="clear" w:color="auto" w:fill="auto"/>
            <w:tcMar>
              <w:top w:w="91" w:type="dxa"/>
              <w:left w:w="0" w:type="dxa"/>
              <w:bottom w:w="91" w:type="dxa"/>
              <w:right w:w="0" w:type="dxa"/>
            </w:tcMar>
          </w:tcPr>
          <w:p w14:paraId="6A8249AC"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23513369" w14:textId="77777777" w:rsidR="00FA3A5B" w:rsidRPr="009D7811" w:rsidRDefault="00FA3A5B" w:rsidP="00FA3A5B">
            <w:pPr>
              <w:pStyle w:val="TableText"/>
              <w:rPr>
                <w:rtl/>
              </w:rPr>
            </w:pPr>
          </w:p>
        </w:tc>
        <w:tc>
          <w:tcPr>
            <w:tcW w:w="624" w:type="dxa"/>
            <w:shd w:val="clear" w:color="auto" w:fill="auto"/>
            <w:tcMar>
              <w:top w:w="91" w:type="dxa"/>
              <w:left w:w="0" w:type="dxa"/>
              <w:bottom w:w="91" w:type="dxa"/>
              <w:right w:w="0" w:type="dxa"/>
            </w:tcMar>
          </w:tcPr>
          <w:p w14:paraId="7D2E1A82" w14:textId="77777777" w:rsidR="00FA3A5B" w:rsidRPr="009D7811" w:rsidRDefault="00FA3A5B" w:rsidP="00FA3A5B">
            <w:pPr>
              <w:pStyle w:val="TableText"/>
              <w:rPr>
                <w:rtl/>
              </w:rPr>
            </w:pPr>
          </w:p>
        </w:tc>
        <w:tc>
          <w:tcPr>
            <w:tcW w:w="6519" w:type="dxa"/>
            <w:shd w:val="clear" w:color="auto" w:fill="auto"/>
            <w:tcMar>
              <w:top w:w="91" w:type="dxa"/>
              <w:left w:w="0" w:type="dxa"/>
              <w:bottom w:w="91" w:type="dxa"/>
              <w:right w:w="0" w:type="dxa"/>
            </w:tcMar>
          </w:tcPr>
          <w:p w14:paraId="6CBBE57C" w14:textId="77777777" w:rsidR="00FA3A5B" w:rsidRPr="009D7811" w:rsidRDefault="00FA3A5B" w:rsidP="00FA3A5B">
            <w:pPr>
              <w:pStyle w:val="TableBlock"/>
              <w:rPr>
                <w:rtl/>
              </w:rPr>
            </w:pPr>
            <w:r w:rsidRPr="009D7811">
              <w:rPr>
                <w:w w:val="108"/>
                <w:rtl/>
              </w:rPr>
              <w:t>(1)</w:t>
            </w:r>
            <w:r w:rsidRPr="009D7811">
              <w:rPr>
                <w:w w:val="108"/>
                <w:rtl/>
              </w:rPr>
              <w:tab/>
            </w:r>
            <w:r w:rsidRPr="009D7811">
              <w:rPr>
                <w:rtl/>
              </w:rPr>
              <w:t xml:space="preserve">הבגיר לא הורשע בעבירת אלימות או התעללות </w:t>
            </w:r>
            <w:r w:rsidRPr="009D7811">
              <w:rPr>
                <w:rFonts w:hint="cs"/>
                <w:rtl/>
              </w:rPr>
              <w:t>בילד או בחסר ישע ש</w:t>
            </w:r>
            <w:r w:rsidRPr="009D7811">
              <w:rPr>
                <w:rtl/>
              </w:rPr>
              <w:t>ביצע בהיותו בגיר</w:t>
            </w:r>
            <w:r w:rsidRPr="009D7811">
              <w:rPr>
                <w:rFonts w:hint="cs"/>
                <w:rtl/>
              </w:rPr>
              <w:t>,</w:t>
            </w:r>
            <w:r w:rsidRPr="009D7811">
              <w:rPr>
                <w:rtl/>
              </w:rPr>
              <w:t xml:space="preserve"> או אם הורשע</w:t>
            </w:r>
            <w:r w:rsidRPr="009D7811">
              <w:rPr>
                <w:rFonts w:hint="cs"/>
                <w:rtl/>
              </w:rPr>
              <w:t xml:space="preserve"> </w:t>
            </w:r>
            <w:r w:rsidRPr="009D7811">
              <w:rPr>
                <w:rFonts w:hint="eastAsia"/>
                <w:rtl/>
              </w:rPr>
              <w:t>–</w:t>
            </w:r>
            <w:r w:rsidRPr="009D7811">
              <w:rPr>
                <w:rtl/>
              </w:rPr>
              <w:t xml:space="preserve"> חלפה תקופת האיסור כאמור בסעיף 2(ג);</w:t>
            </w:r>
          </w:p>
        </w:tc>
      </w:tr>
      <w:tr w:rsidR="00FA3A5B" w:rsidRPr="009D7811" w14:paraId="58F87218" w14:textId="77777777" w:rsidTr="00FA3A5B">
        <w:trPr>
          <w:cantSplit/>
        </w:trPr>
        <w:tc>
          <w:tcPr>
            <w:tcW w:w="1870" w:type="dxa"/>
            <w:shd w:val="clear" w:color="auto" w:fill="auto"/>
            <w:tcMar>
              <w:top w:w="91" w:type="dxa"/>
              <w:left w:w="0" w:type="dxa"/>
              <w:bottom w:w="91" w:type="dxa"/>
              <w:right w:w="0" w:type="dxa"/>
            </w:tcMar>
          </w:tcPr>
          <w:p w14:paraId="159935C7"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31B0E318" w14:textId="77777777" w:rsidR="00FA3A5B" w:rsidRPr="009D7811" w:rsidRDefault="00FA3A5B" w:rsidP="00FA3A5B">
            <w:pPr>
              <w:pStyle w:val="TableText"/>
              <w:rPr>
                <w:rtl/>
              </w:rPr>
            </w:pPr>
          </w:p>
        </w:tc>
        <w:tc>
          <w:tcPr>
            <w:tcW w:w="624" w:type="dxa"/>
            <w:shd w:val="clear" w:color="auto" w:fill="auto"/>
            <w:tcMar>
              <w:top w:w="91" w:type="dxa"/>
              <w:left w:w="0" w:type="dxa"/>
              <w:bottom w:w="91" w:type="dxa"/>
              <w:right w:w="0" w:type="dxa"/>
            </w:tcMar>
          </w:tcPr>
          <w:p w14:paraId="6A04D45A" w14:textId="77777777" w:rsidR="00FA3A5B" w:rsidRPr="009D7811" w:rsidRDefault="00FA3A5B" w:rsidP="00FA3A5B">
            <w:pPr>
              <w:pStyle w:val="TableText"/>
              <w:rPr>
                <w:rtl/>
              </w:rPr>
            </w:pPr>
          </w:p>
        </w:tc>
        <w:tc>
          <w:tcPr>
            <w:tcW w:w="6519" w:type="dxa"/>
            <w:shd w:val="clear" w:color="auto" w:fill="auto"/>
            <w:tcMar>
              <w:top w:w="91" w:type="dxa"/>
              <w:left w:w="0" w:type="dxa"/>
              <w:bottom w:w="91" w:type="dxa"/>
              <w:right w:w="0" w:type="dxa"/>
            </w:tcMar>
          </w:tcPr>
          <w:p w14:paraId="56536938" w14:textId="77777777" w:rsidR="00FA3A5B" w:rsidRPr="009D7811" w:rsidRDefault="00FA3A5B" w:rsidP="00FA3A5B">
            <w:pPr>
              <w:pStyle w:val="TableBlock"/>
              <w:rPr>
                <w:rtl/>
              </w:rPr>
            </w:pPr>
            <w:r w:rsidRPr="009D7811">
              <w:rPr>
                <w:rtl/>
              </w:rPr>
              <w:t>(2)</w:t>
            </w:r>
            <w:r w:rsidRPr="009D7811">
              <w:rPr>
                <w:rtl/>
              </w:rPr>
              <w:tab/>
              <w:t>ועדת המומחים פטרה את הבגיר מהאיסור לפי סעיף 5.</w:t>
            </w:r>
          </w:p>
        </w:tc>
      </w:tr>
      <w:tr w:rsidR="00FA3A5B" w:rsidRPr="009D7811" w14:paraId="3F6C9B80" w14:textId="77777777" w:rsidTr="00FA3A5B">
        <w:trPr>
          <w:cantSplit/>
        </w:trPr>
        <w:tc>
          <w:tcPr>
            <w:tcW w:w="1870" w:type="dxa"/>
            <w:shd w:val="clear" w:color="auto" w:fill="auto"/>
            <w:tcMar>
              <w:top w:w="91" w:type="dxa"/>
              <w:left w:w="0" w:type="dxa"/>
              <w:bottom w:w="91" w:type="dxa"/>
              <w:right w:w="0" w:type="dxa"/>
            </w:tcMar>
          </w:tcPr>
          <w:p w14:paraId="4E3DDA02"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35E17005"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24933BDF" w14:textId="77777777" w:rsidR="00FA3A5B" w:rsidRPr="009D7811" w:rsidRDefault="00FA3A5B" w:rsidP="00FA3A5B">
            <w:pPr>
              <w:pStyle w:val="TableBlock"/>
              <w:rPr>
                <w:rtl/>
              </w:rPr>
            </w:pPr>
            <w:r w:rsidRPr="009D7811">
              <w:rPr>
                <w:rtl/>
              </w:rPr>
              <w:t>(ג)</w:t>
            </w:r>
            <w:r w:rsidRPr="009D7811">
              <w:rPr>
                <w:rtl/>
              </w:rPr>
              <w:tab/>
              <w:t>משטרת ישראל תרכז את כל הנתונים הנדרשים לעניין חוק זה.</w:t>
            </w:r>
          </w:p>
        </w:tc>
      </w:tr>
      <w:tr w:rsidR="00FA3A5B" w:rsidRPr="009D7811" w14:paraId="127E6EC1" w14:textId="77777777" w:rsidTr="00FA3A5B">
        <w:trPr>
          <w:cantSplit/>
        </w:trPr>
        <w:tc>
          <w:tcPr>
            <w:tcW w:w="1870" w:type="dxa"/>
            <w:shd w:val="clear" w:color="auto" w:fill="auto"/>
            <w:tcMar>
              <w:top w:w="91" w:type="dxa"/>
              <w:left w:w="0" w:type="dxa"/>
              <w:bottom w:w="91" w:type="dxa"/>
              <w:right w:w="0" w:type="dxa"/>
            </w:tcMar>
          </w:tcPr>
          <w:p w14:paraId="44964DE6"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55374692"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449B3CF5" w14:textId="77777777" w:rsidR="00FA3A5B" w:rsidRPr="009D7811" w:rsidRDefault="00FA3A5B" w:rsidP="00FA3A5B">
            <w:pPr>
              <w:pStyle w:val="TableBlock"/>
              <w:rPr>
                <w:rtl/>
              </w:rPr>
            </w:pPr>
            <w:r w:rsidRPr="009D7811">
              <w:rPr>
                <w:rtl/>
              </w:rPr>
              <w:t>(ד)</w:t>
            </w:r>
            <w:r w:rsidRPr="009D7811">
              <w:rPr>
                <w:rtl/>
              </w:rPr>
              <w:tab/>
              <w:t xml:space="preserve">אישור המשטרה יינתן </w:t>
            </w:r>
            <w:r w:rsidRPr="009D7811">
              <w:rPr>
                <w:rFonts w:hint="cs"/>
                <w:rtl/>
              </w:rPr>
              <w:t>ל</w:t>
            </w:r>
            <w:r w:rsidRPr="009D7811">
              <w:rPr>
                <w:rtl/>
              </w:rPr>
              <w:t xml:space="preserve">אחד מאלה: </w:t>
            </w:r>
          </w:p>
        </w:tc>
      </w:tr>
      <w:tr w:rsidR="00FA3A5B" w:rsidRPr="009D7811" w14:paraId="52CEFF9D" w14:textId="77777777" w:rsidTr="00FA3A5B">
        <w:trPr>
          <w:cantSplit/>
        </w:trPr>
        <w:tc>
          <w:tcPr>
            <w:tcW w:w="1870" w:type="dxa"/>
            <w:shd w:val="clear" w:color="auto" w:fill="auto"/>
            <w:tcMar>
              <w:top w:w="91" w:type="dxa"/>
              <w:left w:w="0" w:type="dxa"/>
              <w:bottom w:w="91" w:type="dxa"/>
              <w:right w:w="0" w:type="dxa"/>
            </w:tcMar>
          </w:tcPr>
          <w:p w14:paraId="176B9D3C"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167BC657" w14:textId="77777777" w:rsidR="00FA3A5B" w:rsidRPr="009D7811" w:rsidRDefault="00FA3A5B" w:rsidP="00FA3A5B">
            <w:pPr>
              <w:pStyle w:val="TableText"/>
              <w:rPr>
                <w:rtl/>
              </w:rPr>
            </w:pPr>
          </w:p>
        </w:tc>
        <w:tc>
          <w:tcPr>
            <w:tcW w:w="624" w:type="dxa"/>
            <w:shd w:val="clear" w:color="auto" w:fill="auto"/>
            <w:tcMar>
              <w:top w:w="91" w:type="dxa"/>
              <w:left w:w="0" w:type="dxa"/>
              <w:bottom w:w="91" w:type="dxa"/>
              <w:right w:w="0" w:type="dxa"/>
            </w:tcMar>
          </w:tcPr>
          <w:p w14:paraId="2574AC48" w14:textId="77777777" w:rsidR="00FA3A5B" w:rsidRPr="009D7811" w:rsidRDefault="00FA3A5B" w:rsidP="00FA3A5B">
            <w:pPr>
              <w:pStyle w:val="TableText"/>
              <w:rPr>
                <w:rtl/>
              </w:rPr>
            </w:pPr>
          </w:p>
        </w:tc>
        <w:tc>
          <w:tcPr>
            <w:tcW w:w="6519" w:type="dxa"/>
            <w:shd w:val="clear" w:color="auto" w:fill="auto"/>
            <w:tcMar>
              <w:top w:w="91" w:type="dxa"/>
              <w:left w:w="0" w:type="dxa"/>
              <w:bottom w:w="91" w:type="dxa"/>
              <w:right w:w="0" w:type="dxa"/>
            </w:tcMar>
          </w:tcPr>
          <w:p w14:paraId="0802143C" w14:textId="77777777" w:rsidR="00FA3A5B" w:rsidRPr="009D7811" w:rsidRDefault="00FA3A5B" w:rsidP="00FA3A5B">
            <w:pPr>
              <w:pStyle w:val="TableBlock"/>
              <w:rPr>
                <w:rtl/>
              </w:rPr>
            </w:pPr>
            <w:r w:rsidRPr="009D7811">
              <w:rPr>
                <w:rtl/>
              </w:rPr>
              <w:t>(</w:t>
            </w:r>
            <w:r w:rsidRPr="009D7811">
              <w:rPr>
                <w:rFonts w:hint="cs"/>
                <w:rtl/>
              </w:rPr>
              <w:t>1</w:t>
            </w:r>
            <w:r w:rsidRPr="009D7811">
              <w:rPr>
                <w:rtl/>
              </w:rPr>
              <w:t>)</w:t>
            </w:r>
            <w:r w:rsidRPr="009D7811">
              <w:rPr>
                <w:rtl/>
              </w:rPr>
              <w:tab/>
              <w:t xml:space="preserve">לבגיר – על פי בקשתו, אם הבגיר המציא למשטרה תעודה מהמוסד כי הוא מועסק </w:t>
            </w:r>
            <w:r w:rsidRPr="009D7811">
              <w:rPr>
                <w:rFonts w:hint="cs"/>
                <w:rtl/>
              </w:rPr>
              <w:t xml:space="preserve">בו </w:t>
            </w:r>
            <w:r w:rsidRPr="009D7811">
              <w:rPr>
                <w:rtl/>
              </w:rPr>
              <w:t>או מועמד לעבודה בו;</w:t>
            </w:r>
          </w:p>
        </w:tc>
      </w:tr>
      <w:tr w:rsidR="00FA3A5B" w:rsidRPr="009D7811" w14:paraId="05CE3FA5" w14:textId="77777777" w:rsidTr="00FA3A5B">
        <w:trPr>
          <w:cantSplit/>
        </w:trPr>
        <w:tc>
          <w:tcPr>
            <w:tcW w:w="1870" w:type="dxa"/>
            <w:shd w:val="clear" w:color="auto" w:fill="auto"/>
            <w:tcMar>
              <w:top w:w="91" w:type="dxa"/>
              <w:left w:w="0" w:type="dxa"/>
              <w:bottom w:w="91" w:type="dxa"/>
              <w:right w:w="0" w:type="dxa"/>
            </w:tcMar>
          </w:tcPr>
          <w:p w14:paraId="6A30FE41"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7496E3BE" w14:textId="77777777" w:rsidR="00FA3A5B" w:rsidRPr="009D7811" w:rsidRDefault="00FA3A5B" w:rsidP="00FA3A5B">
            <w:pPr>
              <w:pStyle w:val="TableText"/>
              <w:rPr>
                <w:rtl/>
              </w:rPr>
            </w:pPr>
          </w:p>
        </w:tc>
        <w:tc>
          <w:tcPr>
            <w:tcW w:w="624" w:type="dxa"/>
            <w:shd w:val="clear" w:color="auto" w:fill="auto"/>
            <w:tcMar>
              <w:top w:w="91" w:type="dxa"/>
              <w:left w:w="0" w:type="dxa"/>
              <w:bottom w:w="91" w:type="dxa"/>
              <w:right w:w="0" w:type="dxa"/>
            </w:tcMar>
          </w:tcPr>
          <w:p w14:paraId="5BABF1F3" w14:textId="77777777" w:rsidR="00FA3A5B" w:rsidRPr="009D7811" w:rsidRDefault="00FA3A5B" w:rsidP="00FA3A5B">
            <w:pPr>
              <w:pStyle w:val="TableText"/>
              <w:rPr>
                <w:rtl/>
              </w:rPr>
            </w:pPr>
          </w:p>
        </w:tc>
        <w:tc>
          <w:tcPr>
            <w:tcW w:w="6519" w:type="dxa"/>
            <w:shd w:val="clear" w:color="auto" w:fill="auto"/>
            <w:tcMar>
              <w:top w:w="91" w:type="dxa"/>
              <w:left w:w="0" w:type="dxa"/>
              <w:bottom w:w="91" w:type="dxa"/>
              <w:right w:w="0" w:type="dxa"/>
            </w:tcMar>
          </w:tcPr>
          <w:p w14:paraId="6E6DCFEA" w14:textId="77777777" w:rsidR="00FA3A5B" w:rsidRPr="009D7811" w:rsidRDefault="00FA3A5B" w:rsidP="00FA3A5B">
            <w:pPr>
              <w:pStyle w:val="TableBlock"/>
              <w:rPr>
                <w:rtl/>
              </w:rPr>
            </w:pPr>
            <w:r w:rsidRPr="009D7811">
              <w:rPr>
                <w:rtl/>
              </w:rPr>
              <w:t>(</w:t>
            </w:r>
            <w:r w:rsidRPr="009D7811">
              <w:rPr>
                <w:rFonts w:hint="cs"/>
                <w:rtl/>
              </w:rPr>
              <w:t>2</w:t>
            </w:r>
            <w:r w:rsidRPr="009D7811">
              <w:rPr>
                <w:rtl/>
              </w:rPr>
              <w:t>)</w:t>
            </w:r>
            <w:r w:rsidRPr="009D7811">
              <w:rPr>
                <w:rtl/>
              </w:rPr>
              <w:tab/>
              <w:t xml:space="preserve">למוסד או למעסיק – על פי ייפוי כוח שניתן לו מטעם בגיר המועסק </w:t>
            </w:r>
            <w:r w:rsidRPr="009D7811">
              <w:rPr>
                <w:rFonts w:hint="cs"/>
                <w:rtl/>
              </w:rPr>
              <w:t xml:space="preserve">בו </w:t>
            </w:r>
            <w:r w:rsidRPr="009D7811">
              <w:rPr>
                <w:rtl/>
              </w:rPr>
              <w:t xml:space="preserve">או מועמד לעבודה אצלו, ובלבד שהמעסיק או המוסד יצהיר שהוא מוסד לפי חוק זה. </w:t>
            </w:r>
          </w:p>
        </w:tc>
      </w:tr>
      <w:tr w:rsidR="00FA3A5B" w:rsidRPr="009D7811" w14:paraId="7F3107AD" w14:textId="77777777" w:rsidTr="00FA3A5B">
        <w:tblPrEx>
          <w:tblLook w:val="01E0" w:firstRow="1" w:lastRow="1" w:firstColumn="1" w:lastColumn="1" w:noHBand="0" w:noVBand="0"/>
        </w:tblPrEx>
        <w:trPr>
          <w:cantSplit/>
        </w:trPr>
        <w:tc>
          <w:tcPr>
            <w:tcW w:w="1870" w:type="dxa"/>
          </w:tcPr>
          <w:p w14:paraId="546C4554" w14:textId="77777777" w:rsidR="00FA3A5B" w:rsidRPr="009D7811" w:rsidRDefault="00FA3A5B" w:rsidP="00FA3A5B">
            <w:pPr>
              <w:pStyle w:val="TableSideHeading"/>
            </w:pPr>
          </w:p>
        </w:tc>
        <w:tc>
          <w:tcPr>
            <w:tcW w:w="624" w:type="dxa"/>
          </w:tcPr>
          <w:p w14:paraId="58AC7DAF" w14:textId="77777777" w:rsidR="00FA3A5B" w:rsidRPr="009D7811" w:rsidRDefault="00FA3A5B" w:rsidP="00FA3A5B">
            <w:pPr>
              <w:pStyle w:val="TableText"/>
            </w:pPr>
          </w:p>
        </w:tc>
        <w:tc>
          <w:tcPr>
            <w:tcW w:w="7143" w:type="dxa"/>
            <w:gridSpan w:val="2"/>
          </w:tcPr>
          <w:p w14:paraId="6C5E7811" w14:textId="2DE29296" w:rsidR="00FA3A5B" w:rsidRPr="009D7811" w:rsidRDefault="00FA3A5B" w:rsidP="00FA3A5B">
            <w:pPr>
              <w:pStyle w:val="TableBlock"/>
            </w:pPr>
            <w:r w:rsidRPr="009D7811">
              <w:rPr>
                <w:rFonts w:hint="cs"/>
                <w:rtl/>
              </w:rPr>
              <w:t>(ה)</w:t>
            </w:r>
            <w:r w:rsidRPr="009D7811">
              <w:rPr>
                <w:rtl/>
              </w:rPr>
              <w:tab/>
            </w:r>
            <w:r>
              <w:rPr>
                <w:rFonts w:hint="cs"/>
                <w:rtl/>
              </w:rPr>
              <w:t>ביקש</w:t>
            </w:r>
            <w:r w:rsidRPr="009D7811">
              <w:rPr>
                <w:rFonts w:hint="cs"/>
                <w:rtl/>
              </w:rPr>
              <w:t xml:space="preserve"> בגיר או מעסיק את אישור המשטרה, ומסרה משטרת ישראל הודעה כי יש </w:t>
            </w:r>
            <w:r w:rsidRPr="009D7811">
              <w:rPr>
                <w:rtl/>
              </w:rPr>
              <w:t>מניעה להעסקה לפי חוק זה</w:t>
            </w:r>
            <w:r w:rsidRPr="009D7811">
              <w:rPr>
                <w:rFonts w:hint="cs"/>
                <w:rtl/>
              </w:rPr>
              <w:t xml:space="preserve"> (בחוק זה </w:t>
            </w:r>
            <w:r w:rsidRPr="009D7811">
              <w:rPr>
                <w:rtl/>
              </w:rPr>
              <w:t>–</w:t>
            </w:r>
            <w:r w:rsidRPr="009D7811">
              <w:rPr>
                <w:rFonts w:hint="cs"/>
                <w:rtl/>
              </w:rPr>
              <w:t xml:space="preserve"> הודעת סירוב), יצוין בה כי הבגיר זכאי להגיש בקשה לוועדת המומחים לשם קבלת פטור מן האיסור; השר לביטחון לאומי יקבע הוראות בעניין אישור המשטרה והודעת סירוב. </w:t>
            </w:r>
          </w:p>
        </w:tc>
      </w:tr>
      <w:tr w:rsidR="00FA3A5B" w:rsidRPr="009D7811" w14:paraId="155A3C75" w14:textId="77777777" w:rsidTr="00FA3A5B">
        <w:tblPrEx>
          <w:tblLook w:val="01E0" w:firstRow="1" w:lastRow="1" w:firstColumn="1" w:lastColumn="1" w:noHBand="0" w:noVBand="0"/>
        </w:tblPrEx>
        <w:trPr>
          <w:cantSplit/>
        </w:trPr>
        <w:tc>
          <w:tcPr>
            <w:tcW w:w="1870" w:type="dxa"/>
          </w:tcPr>
          <w:p w14:paraId="17008072" w14:textId="77777777" w:rsidR="00FA3A5B" w:rsidRPr="009D7811" w:rsidRDefault="00FA3A5B" w:rsidP="00FA3A5B">
            <w:pPr>
              <w:pStyle w:val="TableSideHeading"/>
            </w:pPr>
          </w:p>
        </w:tc>
        <w:tc>
          <w:tcPr>
            <w:tcW w:w="624" w:type="dxa"/>
          </w:tcPr>
          <w:p w14:paraId="094C4DFD" w14:textId="77777777" w:rsidR="00FA3A5B" w:rsidRPr="009D7811" w:rsidRDefault="00FA3A5B" w:rsidP="00FA3A5B">
            <w:pPr>
              <w:pStyle w:val="TableText"/>
            </w:pPr>
          </w:p>
        </w:tc>
        <w:tc>
          <w:tcPr>
            <w:tcW w:w="7143" w:type="dxa"/>
            <w:gridSpan w:val="2"/>
          </w:tcPr>
          <w:p w14:paraId="4F589BB5" w14:textId="77777777" w:rsidR="00FA3A5B" w:rsidRPr="009D7811" w:rsidRDefault="00FA3A5B" w:rsidP="00FA3A5B">
            <w:pPr>
              <w:pStyle w:val="TableBlock"/>
              <w:rPr>
                <w:rtl/>
              </w:rPr>
            </w:pPr>
            <w:r w:rsidRPr="009D7811">
              <w:rPr>
                <w:rFonts w:hint="cs"/>
                <w:rtl/>
              </w:rPr>
              <w:t>(ו)</w:t>
            </w:r>
            <w:r w:rsidRPr="009D7811">
              <w:rPr>
                <w:rtl/>
              </w:rPr>
              <w:tab/>
            </w:r>
            <w:r w:rsidRPr="009D7811">
              <w:rPr>
                <w:rFonts w:hint="cs"/>
                <w:rtl/>
              </w:rPr>
              <w:t>מעסיק שקיבל</w:t>
            </w:r>
            <w:r w:rsidRPr="009D7811">
              <w:t xml:space="preserve"> </w:t>
            </w:r>
            <w:r w:rsidRPr="009D7811">
              <w:rPr>
                <w:rFonts w:hint="cs"/>
                <w:rtl/>
              </w:rPr>
              <w:t xml:space="preserve">את אישור המשטרה או הודעת סירוב לא יעבירם לאחר ולא </w:t>
            </w:r>
            <w:r w:rsidRPr="009D7811">
              <w:rPr>
                <w:rtl/>
              </w:rPr>
              <w:t>יעשה ב</w:t>
            </w:r>
            <w:r w:rsidRPr="009D7811">
              <w:rPr>
                <w:rFonts w:hint="cs"/>
                <w:rtl/>
              </w:rPr>
              <w:t>הם</w:t>
            </w:r>
            <w:r w:rsidRPr="009D7811">
              <w:rPr>
                <w:rtl/>
              </w:rPr>
              <w:t xml:space="preserve"> </w:t>
            </w:r>
            <w:r w:rsidRPr="009D7811">
              <w:rPr>
                <w:rFonts w:hint="cs"/>
                <w:rtl/>
              </w:rPr>
              <w:t xml:space="preserve">או במידע העולה מהם </w:t>
            </w:r>
            <w:r w:rsidRPr="009D7811">
              <w:rPr>
                <w:rtl/>
              </w:rPr>
              <w:t>שימוש</w:t>
            </w:r>
            <w:r w:rsidRPr="009D7811">
              <w:rPr>
                <w:rFonts w:hint="cs"/>
                <w:rtl/>
              </w:rPr>
              <w:t>, אלא בהתאם להוראות חוק זה.</w:t>
            </w:r>
          </w:p>
        </w:tc>
      </w:tr>
      <w:tr w:rsidR="00FA3A5B" w:rsidRPr="009D7811" w14:paraId="4F767103" w14:textId="77777777" w:rsidTr="00FA3A5B">
        <w:tblPrEx>
          <w:tblLook w:val="01E0" w:firstRow="1" w:lastRow="1" w:firstColumn="1" w:lastColumn="1" w:noHBand="0" w:noVBand="0"/>
        </w:tblPrEx>
        <w:trPr>
          <w:cantSplit/>
        </w:trPr>
        <w:tc>
          <w:tcPr>
            <w:tcW w:w="1870" w:type="dxa"/>
          </w:tcPr>
          <w:p w14:paraId="41CE15D7" w14:textId="77777777" w:rsidR="00FA3A5B" w:rsidRPr="009D7811" w:rsidRDefault="00FA3A5B" w:rsidP="00FA3A5B">
            <w:pPr>
              <w:pStyle w:val="TableSideHeading"/>
            </w:pPr>
          </w:p>
        </w:tc>
        <w:tc>
          <w:tcPr>
            <w:tcW w:w="624" w:type="dxa"/>
          </w:tcPr>
          <w:p w14:paraId="1A28C1EF" w14:textId="77777777" w:rsidR="00FA3A5B" w:rsidRPr="009D7811" w:rsidRDefault="00FA3A5B" w:rsidP="00FA3A5B">
            <w:pPr>
              <w:pStyle w:val="TableText"/>
            </w:pPr>
          </w:p>
        </w:tc>
        <w:tc>
          <w:tcPr>
            <w:tcW w:w="7143" w:type="dxa"/>
            <w:gridSpan w:val="2"/>
          </w:tcPr>
          <w:p w14:paraId="28A4A5B9" w14:textId="681E3D36" w:rsidR="00FA3A5B" w:rsidRPr="009D7811" w:rsidRDefault="00FA3A5B" w:rsidP="00FA3A5B">
            <w:pPr>
              <w:pStyle w:val="TableBlock"/>
              <w:rPr>
                <w:rtl/>
              </w:rPr>
            </w:pPr>
            <w:r w:rsidRPr="009D7811">
              <w:rPr>
                <w:rFonts w:hint="cs"/>
                <w:rtl/>
              </w:rPr>
              <w:t>(ז)</w:t>
            </w:r>
            <w:r w:rsidRPr="009D7811">
              <w:rPr>
                <w:rtl/>
              </w:rPr>
              <w:tab/>
              <w:t>לעני</w:t>
            </w:r>
            <w:r w:rsidRPr="009D7811">
              <w:rPr>
                <w:rFonts w:hint="cs"/>
                <w:rtl/>
              </w:rPr>
              <w:t>י</w:t>
            </w:r>
            <w:r w:rsidRPr="009D7811">
              <w:rPr>
                <w:rtl/>
              </w:rPr>
              <w:t xml:space="preserve">ן חוק זה, "אישור </w:t>
            </w:r>
            <w:r w:rsidRPr="009D7811">
              <w:rPr>
                <w:rFonts w:hint="cs"/>
                <w:rtl/>
              </w:rPr>
              <w:t>ה</w:t>
            </w:r>
            <w:r w:rsidRPr="009D7811">
              <w:rPr>
                <w:rtl/>
              </w:rPr>
              <w:t>משטרה" – אישור משטרת ישראל כי אין מניעה להעסקה לפי חוק זה שניתן בתקופת השנה שקדמה לקבל</w:t>
            </w:r>
            <w:r w:rsidRPr="009D7811">
              <w:rPr>
                <w:rFonts w:hint="cs"/>
                <w:rtl/>
              </w:rPr>
              <w:t>תו על ידי המבקש</w:t>
            </w:r>
            <w:r w:rsidRPr="009D7811">
              <w:rPr>
                <w:rtl/>
              </w:rPr>
              <w:t>.</w:t>
            </w:r>
          </w:p>
        </w:tc>
      </w:tr>
      <w:tr w:rsidR="00FA3A5B" w:rsidRPr="009D7811" w14:paraId="432140C5" w14:textId="77777777" w:rsidTr="00FA3A5B">
        <w:tblPrEx>
          <w:tblLook w:val="01E0" w:firstRow="1" w:lastRow="1" w:firstColumn="1" w:lastColumn="1" w:noHBand="0" w:noVBand="0"/>
        </w:tblPrEx>
        <w:trPr>
          <w:cantSplit/>
        </w:trPr>
        <w:tc>
          <w:tcPr>
            <w:tcW w:w="1870" w:type="dxa"/>
          </w:tcPr>
          <w:p w14:paraId="0DDA72E2" w14:textId="77777777" w:rsidR="00FA3A5B" w:rsidRPr="009D7811" w:rsidRDefault="00FA3A5B" w:rsidP="00FA3A5B">
            <w:pPr>
              <w:pStyle w:val="TableSideHeading"/>
            </w:pPr>
            <w:r w:rsidRPr="009D7811">
              <w:rPr>
                <w:rtl/>
              </w:rPr>
              <w:t>הצגת אישור המשטרה ל</w:t>
            </w:r>
            <w:r w:rsidRPr="009D7811">
              <w:rPr>
                <w:rFonts w:hint="cs"/>
                <w:rtl/>
              </w:rPr>
              <w:t xml:space="preserve">הורה </w:t>
            </w:r>
            <w:r w:rsidRPr="009D7811">
              <w:rPr>
                <w:rtl/>
              </w:rPr>
              <w:br/>
            </w:r>
            <w:r w:rsidRPr="009D7811">
              <w:rPr>
                <w:rFonts w:hint="cs"/>
                <w:rtl/>
              </w:rPr>
              <w:t>או ל</w:t>
            </w:r>
            <w:r w:rsidRPr="009D7811">
              <w:rPr>
                <w:rtl/>
              </w:rPr>
              <w:t>אחראי</w:t>
            </w:r>
          </w:p>
        </w:tc>
        <w:tc>
          <w:tcPr>
            <w:tcW w:w="624" w:type="dxa"/>
          </w:tcPr>
          <w:p w14:paraId="10760612" w14:textId="77777777" w:rsidR="00FA3A5B" w:rsidRPr="009D7811" w:rsidRDefault="00FA3A5B" w:rsidP="00FA3A5B">
            <w:pPr>
              <w:pStyle w:val="TableText"/>
            </w:pPr>
            <w:r w:rsidRPr="009D7811">
              <w:rPr>
                <w:rtl/>
              </w:rPr>
              <w:t>4.</w:t>
            </w:r>
          </w:p>
        </w:tc>
        <w:tc>
          <w:tcPr>
            <w:tcW w:w="7143" w:type="dxa"/>
            <w:gridSpan w:val="2"/>
          </w:tcPr>
          <w:p w14:paraId="1AD39C56" w14:textId="77777777" w:rsidR="00FA3A5B" w:rsidRPr="009D7811" w:rsidRDefault="00FA3A5B" w:rsidP="00FA3A5B">
            <w:pPr>
              <w:pStyle w:val="TableBlock"/>
            </w:pPr>
            <w:r w:rsidRPr="009D7811">
              <w:rPr>
                <w:rFonts w:hint="cs"/>
                <w:rtl/>
              </w:rPr>
              <w:t>(א)</w:t>
            </w:r>
            <w:r w:rsidRPr="009D7811">
              <w:rPr>
                <w:rtl/>
              </w:rPr>
              <w:tab/>
            </w:r>
            <w:r w:rsidRPr="009D7811">
              <w:rPr>
                <w:rFonts w:hint="eastAsia"/>
                <w:rtl/>
              </w:rPr>
              <w:t>הורה</w:t>
            </w:r>
            <w:r w:rsidRPr="009D7811">
              <w:rPr>
                <w:rtl/>
              </w:rPr>
              <w:t xml:space="preserve"> או אחראי על ילד או על חסר ישע </w:t>
            </w:r>
            <w:r w:rsidRPr="009D7811">
              <w:rPr>
                <w:rFonts w:hint="cs"/>
                <w:rtl/>
              </w:rPr>
              <w:t xml:space="preserve">(בסעיף זה </w:t>
            </w:r>
            <w:r w:rsidRPr="009D7811">
              <w:rPr>
                <w:rtl/>
              </w:rPr>
              <w:t>–</w:t>
            </w:r>
            <w:r w:rsidRPr="009D7811">
              <w:rPr>
                <w:rFonts w:hint="cs"/>
                <w:rtl/>
              </w:rPr>
              <w:t xml:space="preserve"> הורה או אחראי) רשאי לבקש מבגיר שהוא </w:t>
            </w:r>
            <w:r w:rsidRPr="009D7811">
              <w:rPr>
                <w:rFonts w:hint="eastAsia"/>
                <w:rtl/>
              </w:rPr>
              <w:t>מעסיק</w:t>
            </w:r>
            <w:r w:rsidRPr="009D7811">
              <w:rPr>
                <w:rtl/>
              </w:rPr>
              <w:t xml:space="preserve"> </w:t>
            </w:r>
            <w:r w:rsidRPr="009D7811">
              <w:rPr>
                <w:rFonts w:hint="eastAsia"/>
                <w:rtl/>
              </w:rPr>
              <w:t>או</w:t>
            </w:r>
            <w:r w:rsidRPr="009D7811">
              <w:rPr>
                <w:rtl/>
              </w:rPr>
              <w:t xml:space="preserve"> </w:t>
            </w:r>
            <w:r w:rsidRPr="009D7811">
              <w:rPr>
                <w:rFonts w:hint="eastAsia"/>
                <w:rtl/>
              </w:rPr>
              <w:t>מתכוון</w:t>
            </w:r>
            <w:r w:rsidRPr="009D7811">
              <w:rPr>
                <w:rtl/>
              </w:rPr>
              <w:t xml:space="preserve"> </w:t>
            </w:r>
            <w:r w:rsidRPr="009D7811">
              <w:rPr>
                <w:rFonts w:hint="eastAsia"/>
                <w:rtl/>
              </w:rPr>
              <w:t>להעסיק</w:t>
            </w:r>
            <w:r w:rsidRPr="009D7811">
              <w:rPr>
                <w:rFonts w:hint="cs"/>
                <w:rtl/>
              </w:rPr>
              <w:t>,</w:t>
            </w:r>
            <w:r w:rsidRPr="009D7811">
              <w:rPr>
                <w:rtl/>
              </w:rPr>
              <w:t xml:space="preserve"> </w:t>
            </w:r>
            <w:r w:rsidRPr="009D7811">
              <w:rPr>
                <w:rFonts w:hint="eastAsia"/>
                <w:rtl/>
              </w:rPr>
              <w:t>באופן</w:t>
            </w:r>
            <w:r w:rsidRPr="009D7811">
              <w:rPr>
                <w:rtl/>
              </w:rPr>
              <w:t xml:space="preserve"> </w:t>
            </w:r>
            <w:r w:rsidRPr="009D7811">
              <w:rPr>
                <w:rFonts w:hint="eastAsia"/>
                <w:rtl/>
              </w:rPr>
              <w:t>קבוע</w:t>
            </w:r>
            <w:r w:rsidRPr="009D7811">
              <w:rPr>
                <w:rtl/>
              </w:rPr>
              <w:t xml:space="preserve"> </w:t>
            </w:r>
            <w:r w:rsidRPr="009D7811">
              <w:rPr>
                <w:rFonts w:hint="eastAsia"/>
                <w:rtl/>
              </w:rPr>
              <w:t>או</w:t>
            </w:r>
            <w:r w:rsidRPr="009D7811">
              <w:rPr>
                <w:rtl/>
              </w:rPr>
              <w:t xml:space="preserve"> </w:t>
            </w:r>
            <w:r w:rsidRPr="009D7811">
              <w:rPr>
                <w:rFonts w:hint="eastAsia"/>
                <w:rtl/>
              </w:rPr>
              <w:t>סדיר</w:t>
            </w:r>
            <w:r w:rsidRPr="009D7811">
              <w:rPr>
                <w:rFonts w:hint="cs"/>
                <w:rtl/>
              </w:rPr>
              <w:t>,</w:t>
            </w:r>
            <w:r w:rsidRPr="009D7811">
              <w:rPr>
                <w:rtl/>
              </w:rPr>
              <w:t xml:space="preserve"> </w:t>
            </w:r>
            <w:r w:rsidRPr="009D7811">
              <w:rPr>
                <w:rFonts w:hint="cs"/>
                <w:rtl/>
              </w:rPr>
              <w:t xml:space="preserve">לשם </w:t>
            </w:r>
            <w:r w:rsidRPr="009D7811">
              <w:rPr>
                <w:rFonts w:hint="eastAsia"/>
                <w:rtl/>
              </w:rPr>
              <w:t>טיפול</w:t>
            </w:r>
            <w:r w:rsidRPr="009D7811">
              <w:rPr>
                <w:rtl/>
              </w:rPr>
              <w:t xml:space="preserve"> </w:t>
            </w:r>
            <w:r w:rsidRPr="009D7811">
              <w:rPr>
                <w:rFonts w:hint="eastAsia"/>
                <w:rtl/>
              </w:rPr>
              <w:t>בילד</w:t>
            </w:r>
            <w:r w:rsidRPr="009D7811">
              <w:rPr>
                <w:rtl/>
              </w:rPr>
              <w:t xml:space="preserve"> או בחסר הישע או </w:t>
            </w:r>
            <w:r w:rsidRPr="009D7811">
              <w:rPr>
                <w:rFonts w:hint="cs"/>
                <w:rtl/>
              </w:rPr>
              <w:t xml:space="preserve">לשם </w:t>
            </w:r>
            <w:r w:rsidRPr="009D7811">
              <w:rPr>
                <w:rtl/>
              </w:rPr>
              <w:t>השגחה על</w:t>
            </w:r>
            <w:r w:rsidRPr="009D7811">
              <w:rPr>
                <w:rFonts w:hint="eastAsia"/>
                <w:rtl/>
              </w:rPr>
              <w:t>יו</w:t>
            </w:r>
            <w:r w:rsidRPr="009D7811">
              <w:rPr>
                <w:rFonts w:hint="cs"/>
                <w:rtl/>
              </w:rPr>
              <w:t>,</w:t>
            </w:r>
            <w:r w:rsidRPr="009D7811">
              <w:rPr>
                <w:rtl/>
              </w:rPr>
              <w:t xml:space="preserve"> </w:t>
            </w:r>
            <w:r w:rsidRPr="009D7811">
              <w:rPr>
                <w:rFonts w:hint="cs"/>
                <w:rtl/>
              </w:rPr>
              <w:t xml:space="preserve">כי אותו בגיר יציג לו את </w:t>
            </w:r>
            <w:r w:rsidRPr="009D7811">
              <w:rPr>
                <w:rtl/>
              </w:rPr>
              <w:t xml:space="preserve">אישור </w:t>
            </w:r>
            <w:r w:rsidRPr="009D7811">
              <w:rPr>
                <w:rFonts w:hint="cs"/>
                <w:rtl/>
              </w:rPr>
              <w:t>ה</w:t>
            </w:r>
            <w:r w:rsidRPr="009D7811">
              <w:rPr>
                <w:rtl/>
              </w:rPr>
              <w:t>משטרה לגבי</w:t>
            </w:r>
            <w:r w:rsidRPr="009D7811">
              <w:rPr>
                <w:rFonts w:hint="cs"/>
                <w:rtl/>
              </w:rPr>
              <w:t>ו.</w:t>
            </w:r>
          </w:p>
        </w:tc>
      </w:tr>
      <w:tr w:rsidR="00FA3A5B" w:rsidRPr="009D7811" w14:paraId="1700CF32" w14:textId="77777777" w:rsidTr="00FA3A5B">
        <w:tblPrEx>
          <w:tblLook w:val="01E0" w:firstRow="1" w:lastRow="1" w:firstColumn="1" w:lastColumn="1" w:noHBand="0" w:noVBand="0"/>
        </w:tblPrEx>
        <w:trPr>
          <w:cantSplit/>
        </w:trPr>
        <w:tc>
          <w:tcPr>
            <w:tcW w:w="1870" w:type="dxa"/>
          </w:tcPr>
          <w:p w14:paraId="6DBEA1E0" w14:textId="77777777" w:rsidR="00FA3A5B" w:rsidRPr="009D7811" w:rsidRDefault="00FA3A5B" w:rsidP="00FA3A5B">
            <w:pPr>
              <w:pStyle w:val="TableSideHeading"/>
            </w:pPr>
          </w:p>
        </w:tc>
        <w:tc>
          <w:tcPr>
            <w:tcW w:w="624" w:type="dxa"/>
          </w:tcPr>
          <w:p w14:paraId="4555062F" w14:textId="77777777" w:rsidR="00FA3A5B" w:rsidRPr="009D7811" w:rsidRDefault="00FA3A5B" w:rsidP="00FA3A5B">
            <w:pPr>
              <w:pStyle w:val="TableText"/>
            </w:pPr>
          </w:p>
        </w:tc>
        <w:tc>
          <w:tcPr>
            <w:tcW w:w="7143" w:type="dxa"/>
            <w:gridSpan w:val="2"/>
          </w:tcPr>
          <w:p w14:paraId="69DB23FF" w14:textId="77777777" w:rsidR="00FA3A5B" w:rsidRPr="009D7811" w:rsidDel="00CA7CE8" w:rsidRDefault="00FA3A5B" w:rsidP="00FA3A5B">
            <w:pPr>
              <w:pStyle w:val="TableBlock"/>
              <w:rPr>
                <w:rtl/>
              </w:rPr>
            </w:pPr>
            <w:r w:rsidRPr="009D7811">
              <w:rPr>
                <w:rFonts w:hint="cs"/>
                <w:rtl/>
              </w:rPr>
              <w:t>(ב)</w:t>
            </w:r>
            <w:r w:rsidRPr="009D7811">
              <w:rPr>
                <w:rtl/>
              </w:rPr>
              <w:tab/>
            </w:r>
            <w:r w:rsidRPr="009D7811">
              <w:rPr>
                <w:rFonts w:hint="cs"/>
                <w:rtl/>
              </w:rPr>
              <w:t xml:space="preserve">הורה או </w:t>
            </w:r>
            <w:r w:rsidRPr="009D7811">
              <w:rPr>
                <w:rtl/>
              </w:rPr>
              <w:t>אחראי רשאי לבקש מ</w:t>
            </w:r>
            <w:r w:rsidRPr="009D7811">
              <w:rPr>
                <w:rFonts w:hint="cs"/>
                <w:rtl/>
              </w:rPr>
              <w:t xml:space="preserve">בגיר שהוא </w:t>
            </w:r>
            <w:r w:rsidRPr="009D7811">
              <w:rPr>
                <w:rtl/>
              </w:rPr>
              <w:t xml:space="preserve">בעל עסק שהוא מוסד </w:t>
            </w:r>
            <w:r w:rsidRPr="009D7811">
              <w:rPr>
                <w:rFonts w:hint="cs"/>
                <w:rtl/>
              </w:rPr>
              <w:t>ומבצע בו עבודה כי אותו בגיר יציג לו את אישור המשטרה לגביו, אם ה</w:t>
            </w:r>
            <w:r w:rsidRPr="009D7811">
              <w:rPr>
                <w:rFonts w:hint="eastAsia"/>
                <w:rtl/>
              </w:rPr>
              <w:t>ילד</w:t>
            </w:r>
            <w:r w:rsidRPr="009D7811">
              <w:rPr>
                <w:rtl/>
              </w:rPr>
              <w:t xml:space="preserve"> </w:t>
            </w:r>
            <w:r w:rsidRPr="009D7811">
              <w:rPr>
                <w:rFonts w:hint="eastAsia"/>
                <w:rtl/>
              </w:rPr>
              <w:t>או</w:t>
            </w:r>
            <w:r w:rsidRPr="009D7811">
              <w:rPr>
                <w:rtl/>
              </w:rPr>
              <w:t xml:space="preserve"> </w:t>
            </w:r>
            <w:r w:rsidRPr="009D7811">
              <w:rPr>
                <w:rFonts w:hint="eastAsia"/>
                <w:rtl/>
              </w:rPr>
              <w:t>חסר</w:t>
            </w:r>
            <w:r w:rsidRPr="009D7811">
              <w:rPr>
                <w:rtl/>
              </w:rPr>
              <w:t xml:space="preserve"> </w:t>
            </w:r>
            <w:r w:rsidRPr="009D7811">
              <w:rPr>
                <w:rFonts w:hint="eastAsia"/>
                <w:rtl/>
              </w:rPr>
              <w:t>הישע</w:t>
            </w:r>
            <w:r w:rsidRPr="009D7811" w:rsidDel="0094507A">
              <w:rPr>
                <w:rtl/>
              </w:rPr>
              <w:t xml:space="preserve"> </w:t>
            </w:r>
            <w:r w:rsidRPr="009D7811">
              <w:rPr>
                <w:rFonts w:hint="cs"/>
                <w:rtl/>
              </w:rPr>
              <w:t>שוהה באותו מוסד או שההורה או האחראי מבקש כי ישהה בו</w:t>
            </w:r>
            <w:r w:rsidRPr="009D7811">
              <w:rPr>
                <w:rtl/>
              </w:rPr>
              <w:t xml:space="preserve">; </w:t>
            </w:r>
            <w:r w:rsidRPr="009D7811">
              <w:rPr>
                <w:rFonts w:hint="eastAsia"/>
                <w:rtl/>
              </w:rPr>
              <w:t>אישור</w:t>
            </w:r>
            <w:r w:rsidRPr="009D7811">
              <w:rPr>
                <w:rtl/>
              </w:rPr>
              <w:t xml:space="preserve"> </w:t>
            </w:r>
            <w:r w:rsidRPr="009D7811">
              <w:rPr>
                <w:rFonts w:hint="cs"/>
                <w:rtl/>
              </w:rPr>
              <w:t xml:space="preserve">המשטרה </w:t>
            </w:r>
            <w:r w:rsidRPr="009D7811">
              <w:rPr>
                <w:rFonts w:hint="eastAsia"/>
                <w:rtl/>
              </w:rPr>
              <w:t>יוצג</w:t>
            </w:r>
            <w:r w:rsidRPr="009D7811">
              <w:rPr>
                <w:rtl/>
              </w:rPr>
              <w:t xml:space="preserve"> </w:t>
            </w:r>
            <w:r w:rsidRPr="009D7811">
              <w:rPr>
                <w:rFonts w:hint="eastAsia"/>
                <w:rtl/>
              </w:rPr>
              <w:t>להורה</w:t>
            </w:r>
            <w:r w:rsidRPr="009D7811">
              <w:rPr>
                <w:rtl/>
              </w:rPr>
              <w:t xml:space="preserve"> </w:t>
            </w:r>
            <w:r w:rsidRPr="009D7811">
              <w:rPr>
                <w:rFonts w:hint="eastAsia"/>
                <w:rtl/>
              </w:rPr>
              <w:t>או</w:t>
            </w:r>
            <w:r w:rsidRPr="009D7811">
              <w:rPr>
                <w:rtl/>
              </w:rPr>
              <w:t xml:space="preserve"> </w:t>
            </w:r>
            <w:r w:rsidRPr="009D7811">
              <w:rPr>
                <w:rFonts w:hint="eastAsia"/>
                <w:rtl/>
              </w:rPr>
              <w:t>לאחראי</w:t>
            </w:r>
            <w:r w:rsidRPr="009D7811">
              <w:rPr>
                <w:rtl/>
              </w:rPr>
              <w:t xml:space="preserve"> </w:t>
            </w:r>
            <w:r w:rsidRPr="009D7811">
              <w:rPr>
                <w:rFonts w:hint="eastAsia"/>
                <w:rtl/>
              </w:rPr>
              <w:t>שביקש</w:t>
            </w:r>
            <w:r w:rsidRPr="009D7811">
              <w:rPr>
                <w:rtl/>
              </w:rPr>
              <w:t xml:space="preserve"> </w:t>
            </w:r>
            <w:r w:rsidRPr="009D7811">
              <w:rPr>
                <w:rFonts w:hint="eastAsia"/>
                <w:rtl/>
              </w:rPr>
              <w:t>זאת</w:t>
            </w:r>
            <w:r w:rsidRPr="009D7811">
              <w:rPr>
                <w:rtl/>
              </w:rPr>
              <w:t xml:space="preserve"> </w:t>
            </w:r>
            <w:r w:rsidRPr="009D7811">
              <w:rPr>
                <w:rFonts w:hint="cs"/>
                <w:rtl/>
              </w:rPr>
              <w:t>ב</w:t>
            </w:r>
            <w:r w:rsidRPr="009D7811">
              <w:rPr>
                <w:rFonts w:hint="eastAsia"/>
                <w:rtl/>
              </w:rPr>
              <w:t>תוך</w:t>
            </w:r>
            <w:r w:rsidRPr="009D7811">
              <w:rPr>
                <w:rtl/>
              </w:rPr>
              <w:t xml:space="preserve"> </w:t>
            </w:r>
            <w:r w:rsidRPr="009D7811">
              <w:rPr>
                <w:rFonts w:hint="eastAsia"/>
                <w:rtl/>
              </w:rPr>
              <w:t>זמן</w:t>
            </w:r>
            <w:r w:rsidRPr="009D7811">
              <w:rPr>
                <w:rtl/>
              </w:rPr>
              <w:t xml:space="preserve"> </w:t>
            </w:r>
            <w:r w:rsidRPr="009D7811">
              <w:rPr>
                <w:rFonts w:hint="eastAsia"/>
                <w:rtl/>
              </w:rPr>
              <w:t>סביר</w:t>
            </w:r>
            <w:r w:rsidRPr="009D7811">
              <w:rPr>
                <w:rtl/>
              </w:rPr>
              <w:t>.</w:t>
            </w:r>
          </w:p>
        </w:tc>
      </w:tr>
      <w:tr w:rsidR="00FA3A5B" w:rsidRPr="009D7811" w14:paraId="7F2FE64D" w14:textId="77777777" w:rsidTr="00FA3A5B">
        <w:tblPrEx>
          <w:tblLook w:val="01E0" w:firstRow="1" w:lastRow="1" w:firstColumn="1" w:lastColumn="1" w:noHBand="0" w:noVBand="0"/>
        </w:tblPrEx>
        <w:trPr>
          <w:cantSplit/>
        </w:trPr>
        <w:tc>
          <w:tcPr>
            <w:tcW w:w="1870" w:type="dxa"/>
          </w:tcPr>
          <w:p w14:paraId="151977AD" w14:textId="77777777" w:rsidR="00FA3A5B" w:rsidRPr="009D7811" w:rsidRDefault="00FA3A5B" w:rsidP="00FA3A5B">
            <w:pPr>
              <w:pStyle w:val="TableSideHeading"/>
            </w:pPr>
          </w:p>
        </w:tc>
        <w:tc>
          <w:tcPr>
            <w:tcW w:w="624" w:type="dxa"/>
          </w:tcPr>
          <w:p w14:paraId="0D10D868" w14:textId="77777777" w:rsidR="00FA3A5B" w:rsidRPr="009D7811" w:rsidRDefault="00FA3A5B" w:rsidP="00FA3A5B">
            <w:pPr>
              <w:pStyle w:val="TableText"/>
            </w:pPr>
          </w:p>
        </w:tc>
        <w:tc>
          <w:tcPr>
            <w:tcW w:w="7143" w:type="dxa"/>
            <w:gridSpan w:val="2"/>
          </w:tcPr>
          <w:p w14:paraId="5A4AB5DE" w14:textId="320E4764" w:rsidR="00FA3A5B" w:rsidRPr="009D7811" w:rsidRDefault="00FA3A5B" w:rsidP="00FA3A5B">
            <w:pPr>
              <w:pStyle w:val="TableBlock"/>
              <w:rPr>
                <w:rtl/>
              </w:rPr>
            </w:pPr>
            <w:r w:rsidRPr="009D7811">
              <w:rPr>
                <w:rFonts w:hint="cs"/>
                <w:rtl/>
              </w:rPr>
              <w:t>(ג)</w:t>
            </w:r>
            <w:r w:rsidRPr="009D7811">
              <w:rPr>
                <w:rtl/>
              </w:rPr>
              <w:tab/>
            </w:r>
            <w:r w:rsidRPr="009D7811">
              <w:rPr>
                <w:rFonts w:hint="cs"/>
                <w:rtl/>
              </w:rPr>
              <w:t xml:space="preserve">הורה או </w:t>
            </w:r>
            <w:r w:rsidRPr="009D7811">
              <w:rPr>
                <w:rtl/>
              </w:rPr>
              <w:t xml:space="preserve">אחראי רשאי לבקש </w:t>
            </w:r>
            <w:r w:rsidRPr="009D7811">
              <w:rPr>
                <w:rFonts w:hint="cs"/>
                <w:rtl/>
              </w:rPr>
              <w:t xml:space="preserve">ממעסיק </w:t>
            </w:r>
            <w:r w:rsidRPr="009D7811">
              <w:rPr>
                <w:rtl/>
              </w:rPr>
              <w:t xml:space="preserve">שהוא מוסד להציג לו את אישור המשטרה לגבי כל בגיר </w:t>
            </w:r>
            <w:r w:rsidRPr="009D7811">
              <w:rPr>
                <w:rFonts w:hint="cs"/>
                <w:rtl/>
              </w:rPr>
              <w:t xml:space="preserve">שהוא מעסיק </w:t>
            </w:r>
            <w:r w:rsidRPr="009D7811">
              <w:rPr>
                <w:rtl/>
              </w:rPr>
              <w:t xml:space="preserve">או עוסק בעבודה אצלו, </w:t>
            </w:r>
            <w:r w:rsidRPr="009D7811">
              <w:rPr>
                <w:rFonts w:hint="cs"/>
                <w:rtl/>
              </w:rPr>
              <w:t>אם הילד או חסר הישע שוהה באותו מוסד או שהה</w:t>
            </w:r>
            <w:r w:rsidR="00E8482E">
              <w:rPr>
                <w:rFonts w:hint="cs"/>
                <w:rtl/>
              </w:rPr>
              <w:t xml:space="preserve">ורה או האחראי מבקש כי ישהה בו; </w:t>
            </w:r>
            <w:r w:rsidRPr="009D7811">
              <w:rPr>
                <w:rFonts w:hint="cs"/>
                <w:rtl/>
              </w:rPr>
              <w:t>אישור</w:t>
            </w:r>
            <w:r w:rsidR="00E8482E">
              <w:t xml:space="preserve"> </w:t>
            </w:r>
            <w:r w:rsidR="00E8482E">
              <w:rPr>
                <w:rFonts w:hint="cs"/>
                <w:rtl/>
              </w:rPr>
              <w:t xml:space="preserve"> המשטרה</w:t>
            </w:r>
            <w:r w:rsidRPr="009D7811">
              <w:rPr>
                <w:rFonts w:hint="cs"/>
                <w:rtl/>
              </w:rPr>
              <w:t xml:space="preserve"> יוצג להורה או לאחראי שביקש זאת בתוך זמן סביר.</w:t>
            </w:r>
          </w:p>
        </w:tc>
      </w:tr>
      <w:tr w:rsidR="00FA3A5B" w:rsidRPr="009D7811" w14:paraId="68EAE729" w14:textId="77777777" w:rsidTr="00FA3A5B">
        <w:tblPrEx>
          <w:tblLook w:val="01E0" w:firstRow="1" w:lastRow="1" w:firstColumn="1" w:lastColumn="1" w:noHBand="0" w:noVBand="0"/>
        </w:tblPrEx>
        <w:trPr>
          <w:cantSplit/>
        </w:trPr>
        <w:tc>
          <w:tcPr>
            <w:tcW w:w="1870" w:type="dxa"/>
          </w:tcPr>
          <w:p w14:paraId="6BA32450" w14:textId="77777777" w:rsidR="00FA3A5B" w:rsidRPr="009D7811" w:rsidRDefault="00FA3A5B" w:rsidP="00FA3A5B">
            <w:pPr>
              <w:pStyle w:val="TableSideHeading"/>
            </w:pPr>
          </w:p>
        </w:tc>
        <w:tc>
          <w:tcPr>
            <w:tcW w:w="624" w:type="dxa"/>
          </w:tcPr>
          <w:p w14:paraId="6CB4F324" w14:textId="77777777" w:rsidR="00FA3A5B" w:rsidRPr="009D7811" w:rsidRDefault="00FA3A5B" w:rsidP="00FA3A5B">
            <w:pPr>
              <w:pStyle w:val="TableText"/>
            </w:pPr>
          </w:p>
        </w:tc>
        <w:tc>
          <w:tcPr>
            <w:tcW w:w="7143" w:type="dxa"/>
            <w:gridSpan w:val="2"/>
          </w:tcPr>
          <w:p w14:paraId="74E0A370" w14:textId="1AC68B42" w:rsidR="00FA3A5B" w:rsidRPr="009D7811" w:rsidRDefault="00FA3A5B" w:rsidP="00FA3A5B">
            <w:pPr>
              <w:pStyle w:val="TableBlock"/>
              <w:rPr>
                <w:rtl/>
              </w:rPr>
            </w:pPr>
            <w:r w:rsidRPr="009D7811">
              <w:rPr>
                <w:rFonts w:hint="cs"/>
                <w:rtl/>
              </w:rPr>
              <w:t>(ד)</w:t>
            </w:r>
            <w:r w:rsidRPr="009D7811">
              <w:rPr>
                <w:rtl/>
              </w:rPr>
              <w:tab/>
            </w:r>
            <w:r w:rsidRPr="009D7811">
              <w:rPr>
                <w:rFonts w:hint="cs"/>
                <w:rtl/>
              </w:rPr>
              <w:t>על אף האמור בסעיף קטן (ג), לעניין מעסיק שהוא רשות מקומית שאינה מנויה בתוספת, רק נציגות הורים יישובית</w:t>
            </w:r>
            <w:r w:rsidR="003C6EE4">
              <w:rPr>
                <w:rFonts w:hint="cs"/>
                <w:rtl/>
              </w:rPr>
              <w:t>,</w:t>
            </w:r>
            <w:r w:rsidRPr="009D7811">
              <w:rPr>
                <w:rFonts w:hint="cs"/>
                <w:rtl/>
              </w:rPr>
              <w:t xml:space="preserve"> ובהיעדרה </w:t>
            </w:r>
            <w:r w:rsidRPr="009D7811">
              <w:rPr>
                <w:rtl/>
              </w:rPr>
              <w:t>–</w:t>
            </w:r>
            <w:r w:rsidRPr="009D7811">
              <w:rPr>
                <w:rFonts w:hint="cs"/>
                <w:rtl/>
              </w:rPr>
              <w:t xml:space="preserve"> נציג של ההורים או האחראים על השוהים במוסד (בסעיף זה </w:t>
            </w:r>
            <w:r w:rsidRPr="009D7811">
              <w:rPr>
                <w:rtl/>
              </w:rPr>
              <w:t>–</w:t>
            </w:r>
            <w:r w:rsidRPr="009D7811">
              <w:rPr>
                <w:rFonts w:hint="cs"/>
                <w:rtl/>
              </w:rPr>
              <w:t xml:space="preserve"> נציגות הורים יישובית), </w:t>
            </w:r>
            <w:r>
              <w:rPr>
                <w:rFonts w:hint="cs"/>
                <w:rtl/>
              </w:rPr>
              <w:t>יהיו רשאים</w:t>
            </w:r>
            <w:r w:rsidRPr="009D7811">
              <w:rPr>
                <w:rFonts w:hint="cs"/>
                <w:rtl/>
              </w:rPr>
              <w:t xml:space="preserve"> </w:t>
            </w:r>
            <w:r w:rsidRPr="009D7811">
              <w:rPr>
                <w:rtl/>
              </w:rPr>
              <w:t xml:space="preserve">לבקש </w:t>
            </w:r>
            <w:r w:rsidRPr="009D7811">
              <w:rPr>
                <w:rFonts w:hint="cs"/>
                <w:rtl/>
              </w:rPr>
              <w:t>שתוצג לה</w:t>
            </w:r>
            <w:r>
              <w:rPr>
                <w:rFonts w:hint="cs"/>
                <w:rtl/>
              </w:rPr>
              <w:t>ם</w:t>
            </w:r>
            <w:r w:rsidRPr="009D7811">
              <w:rPr>
                <w:rFonts w:hint="cs"/>
                <w:rtl/>
              </w:rPr>
              <w:t xml:space="preserve"> רשימת הבגירים המועסקים או עוסקים בעבודה במוסד אצל אותו מעסיק, שהתקבל לגביהם </w:t>
            </w:r>
            <w:r w:rsidRPr="009D7811">
              <w:rPr>
                <w:rtl/>
              </w:rPr>
              <w:t>אישור המשטרה</w:t>
            </w:r>
            <w:r w:rsidRPr="009D7811">
              <w:rPr>
                <w:rFonts w:hint="cs"/>
                <w:rtl/>
              </w:rPr>
              <w:t>; הרשימה תוצג לנציגות הורים שביקשה זאת בתוך זמן סביר</w:t>
            </w:r>
            <w:r w:rsidRPr="009D7811">
              <w:rPr>
                <w:rtl/>
              </w:rPr>
              <w:t>.</w:t>
            </w:r>
          </w:p>
        </w:tc>
      </w:tr>
      <w:tr w:rsidR="00FA3A5B" w:rsidRPr="009D7811" w14:paraId="1B9AA45A" w14:textId="77777777" w:rsidTr="00FA3A5B">
        <w:tblPrEx>
          <w:tblLook w:val="01E0" w:firstRow="1" w:lastRow="1" w:firstColumn="1" w:lastColumn="1" w:noHBand="0" w:noVBand="0"/>
        </w:tblPrEx>
        <w:trPr>
          <w:cantSplit/>
        </w:trPr>
        <w:tc>
          <w:tcPr>
            <w:tcW w:w="1870" w:type="dxa"/>
          </w:tcPr>
          <w:p w14:paraId="16B30A41" w14:textId="77777777" w:rsidR="00FA3A5B" w:rsidRPr="009D7811" w:rsidRDefault="00FA3A5B" w:rsidP="00FA3A5B">
            <w:pPr>
              <w:pStyle w:val="TableSideHeading"/>
            </w:pPr>
          </w:p>
        </w:tc>
        <w:tc>
          <w:tcPr>
            <w:tcW w:w="624" w:type="dxa"/>
          </w:tcPr>
          <w:p w14:paraId="6D9D2AD7" w14:textId="77777777" w:rsidR="00FA3A5B" w:rsidRPr="009D7811" w:rsidRDefault="00FA3A5B" w:rsidP="00FA3A5B">
            <w:pPr>
              <w:pStyle w:val="TableText"/>
            </w:pPr>
          </w:p>
        </w:tc>
        <w:tc>
          <w:tcPr>
            <w:tcW w:w="7143" w:type="dxa"/>
            <w:gridSpan w:val="2"/>
          </w:tcPr>
          <w:p w14:paraId="41816208" w14:textId="77777777" w:rsidR="00FA3A5B" w:rsidRPr="009D7811" w:rsidRDefault="00FA3A5B" w:rsidP="00FA3A5B">
            <w:pPr>
              <w:pStyle w:val="TableBlock"/>
              <w:rPr>
                <w:rtl/>
              </w:rPr>
            </w:pPr>
            <w:r w:rsidRPr="009D7811">
              <w:rPr>
                <w:rFonts w:hint="cs"/>
                <w:rtl/>
              </w:rPr>
              <w:t>(ה)</w:t>
            </w:r>
            <w:r w:rsidRPr="009D7811">
              <w:rPr>
                <w:rtl/>
              </w:rPr>
              <w:tab/>
            </w:r>
            <w:r w:rsidRPr="009D7811">
              <w:rPr>
                <w:rFonts w:hint="cs"/>
                <w:rtl/>
              </w:rPr>
              <w:t xml:space="preserve">הוראות סעיף זה לא יחולו על מעסיק שהוא משרד ממשלתי או רשות מקומית המנויים בתוספת.  </w:t>
            </w:r>
          </w:p>
        </w:tc>
      </w:tr>
      <w:tr w:rsidR="00FA3A5B" w:rsidRPr="009D7811" w14:paraId="2DF25DD3" w14:textId="77777777" w:rsidTr="00FA3A5B">
        <w:tblPrEx>
          <w:tblLook w:val="01E0" w:firstRow="1" w:lastRow="1" w:firstColumn="1" w:lastColumn="1" w:noHBand="0" w:noVBand="0"/>
        </w:tblPrEx>
        <w:trPr>
          <w:cantSplit/>
        </w:trPr>
        <w:tc>
          <w:tcPr>
            <w:tcW w:w="1870" w:type="dxa"/>
          </w:tcPr>
          <w:p w14:paraId="169FC333" w14:textId="77777777" w:rsidR="00FA3A5B" w:rsidRPr="009D7811" w:rsidRDefault="00FA3A5B" w:rsidP="00FA3A5B">
            <w:pPr>
              <w:pStyle w:val="TableSideHeading"/>
            </w:pPr>
          </w:p>
        </w:tc>
        <w:tc>
          <w:tcPr>
            <w:tcW w:w="624" w:type="dxa"/>
          </w:tcPr>
          <w:p w14:paraId="0A103F57" w14:textId="77777777" w:rsidR="00FA3A5B" w:rsidRPr="009D7811" w:rsidRDefault="00FA3A5B" w:rsidP="00FA3A5B">
            <w:pPr>
              <w:pStyle w:val="TableText"/>
            </w:pPr>
          </w:p>
        </w:tc>
        <w:tc>
          <w:tcPr>
            <w:tcW w:w="7143" w:type="dxa"/>
            <w:gridSpan w:val="2"/>
          </w:tcPr>
          <w:p w14:paraId="2C5AAED8" w14:textId="77777777" w:rsidR="00FA3A5B" w:rsidRPr="009D7811" w:rsidRDefault="00FA3A5B" w:rsidP="00FA3A5B">
            <w:pPr>
              <w:pStyle w:val="TableBlock"/>
            </w:pPr>
            <w:r w:rsidRPr="009D7811">
              <w:rPr>
                <w:rFonts w:hint="cs"/>
                <w:rtl/>
              </w:rPr>
              <w:t>(ו)</w:t>
            </w:r>
            <w:r w:rsidRPr="009D7811">
              <w:rPr>
                <w:rtl/>
              </w:rPr>
              <w:tab/>
            </w:r>
            <w:r w:rsidRPr="009D7811">
              <w:rPr>
                <w:rFonts w:hint="cs"/>
                <w:rtl/>
              </w:rPr>
              <w:t xml:space="preserve">אישור משטרה לפי סעיפים קטנים (א) או (ב) יינתן לבקשת בגיר (בסעיף קטן זה </w:t>
            </w:r>
            <w:r w:rsidRPr="009D7811">
              <w:rPr>
                <w:rtl/>
              </w:rPr>
              <w:t>–</w:t>
            </w:r>
            <w:r w:rsidRPr="009D7811">
              <w:rPr>
                <w:rFonts w:hint="cs"/>
                <w:rtl/>
              </w:rPr>
              <w:t xml:space="preserve"> המבקש), </w:t>
            </w:r>
            <w:r w:rsidRPr="009D7811">
              <w:rPr>
                <w:rFonts w:hint="eastAsia"/>
                <w:rtl/>
              </w:rPr>
              <w:t>בהתקיים</w:t>
            </w:r>
            <w:r w:rsidRPr="009D7811">
              <w:rPr>
                <w:rtl/>
              </w:rPr>
              <w:t xml:space="preserve"> </w:t>
            </w:r>
            <w:r w:rsidRPr="009D7811">
              <w:rPr>
                <w:rFonts w:hint="eastAsia"/>
                <w:rtl/>
              </w:rPr>
              <w:t>הוראות</w:t>
            </w:r>
            <w:r w:rsidRPr="009D7811">
              <w:rPr>
                <w:rtl/>
              </w:rPr>
              <w:t xml:space="preserve"> </w:t>
            </w:r>
            <w:r w:rsidRPr="009D7811">
              <w:rPr>
                <w:rFonts w:hint="eastAsia"/>
                <w:rtl/>
              </w:rPr>
              <w:t>סעיף</w:t>
            </w:r>
            <w:r w:rsidRPr="009D7811">
              <w:rPr>
                <w:rtl/>
              </w:rPr>
              <w:t xml:space="preserve"> 3(ב)</w:t>
            </w:r>
            <w:r w:rsidRPr="009D7811">
              <w:rPr>
                <w:rFonts w:hint="cs"/>
                <w:rtl/>
              </w:rPr>
              <w:t>, ובלבד שהמציא למשטרה את כל אלה:</w:t>
            </w:r>
          </w:p>
        </w:tc>
      </w:tr>
      <w:tr w:rsidR="00FA3A5B" w:rsidRPr="009D7811" w14:paraId="409E98CD" w14:textId="77777777" w:rsidTr="00FA3A5B">
        <w:tblPrEx>
          <w:tblLook w:val="01E0" w:firstRow="1" w:lastRow="1" w:firstColumn="1" w:lastColumn="1" w:noHBand="0" w:noVBand="0"/>
        </w:tblPrEx>
        <w:trPr>
          <w:cantSplit/>
        </w:trPr>
        <w:tc>
          <w:tcPr>
            <w:tcW w:w="1870" w:type="dxa"/>
          </w:tcPr>
          <w:p w14:paraId="46063AD3" w14:textId="77777777" w:rsidR="00FA3A5B" w:rsidRPr="009D7811" w:rsidRDefault="00FA3A5B" w:rsidP="00FA3A5B">
            <w:pPr>
              <w:pStyle w:val="TableSideHeading"/>
              <w:rPr>
                <w:sz w:val="16"/>
                <w:szCs w:val="22"/>
              </w:rPr>
            </w:pPr>
          </w:p>
        </w:tc>
        <w:tc>
          <w:tcPr>
            <w:tcW w:w="624" w:type="dxa"/>
          </w:tcPr>
          <w:p w14:paraId="780B7BF4" w14:textId="77777777" w:rsidR="00FA3A5B" w:rsidRPr="009D7811" w:rsidRDefault="00FA3A5B" w:rsidP="00FA3A5B">
            <w:pPr>
              <w:pStyle w:val="TableText"/>
            </w:pPr>
          </w:p>
        </w:tc>
        <w:tc>
          <w:tcPr>
            <w:tcW w:w="624" w:type="dxa"/>
          </w:tcPr>
          <w:p w14:paraId="6B9F2E88" w14:textId="77777777" w:rsidR="00FA3A5B" w:rsidRPr="009D7811" w:rsidRDefault="00FA3A5B" w:rsidP="00FA3A5B">
            <w:pPr>
              <w:pStyle w:val="TableText"/>
            </w:pPr>
          </w:p>
        </w:tc>
        <w:tc>
          <w:tcPr>
            <w:tcW w:w="6519" w:type="dxa"/>
          </w:tcPr>
          <w:p w14:paraId="54C91104" w14:textId="77777777" w:rsidR="00FA3A5B" w:rsidRPr="009D7811" w:rsidRDefault="00FA3A5B" w:rsidP="00FA3A5B">
            <w:pPr>
              <w:pStyle w:val="TableBlock"/>
            </w:pPr>
            <w:r w:rsidRPr="009D7811">
              <w:rPr>
                <w:rFonts w:hint="cs"/>
                <w:rtl/>
              </w:rPr>
              <w:t>(1)</w:t>
            </w:r>
            <w:r w:rsidRPr="009D7811">
              <w:rPr>
                <w:rtl/>
              </w:rPr>
              <w:tab/>
            </w:r>
            <w:r w:rsidRPr="009D7811">
              <w:rPr>
                <w:rFonts w:hint="cs"/>
                <w:rtl/>
              </w:rPr>
              <w:t xml:space="preserve">הצהרה </w:t>
            </w:r>
            <w:r w:rsidRPr="009D7811">
              <w:rPr>
                <w:rtl/>
              </w:rPr>
              <w:t>ש</w:t>
            </w:r>
            <w:r w:rsidRPr="009D7811">
              <w:rPr>
                <w:rFonts w:hint="cs"/>
                <w:rtl/>
              </w:rPr>
              <w:t>ל המבקש ש</w:t>
            </w:r>
            <w:r w:rsidRPr="009D7811">
              <w:rPr>
                <w:rtl/>
              </w:rPr>
              <w:t xml:space="preserve">הוא </w:t>
            </w:r>
            <w:r w:rsidRPr="009D7811">
              <w:rPr>
                <w:rFonts w:hint="cs"/>
                <w:rtl/>
              </w:rPr>
              <w:t xml:space="preserve">מועסק או מועמד להיות מועסק על ידי ההורה או האחראי, באופן קבוע או סדיר, בטיפול בילד בחסר הישע שעליו הוא אחראי או בהשגחה עליו, או שהוא </w:t>
            </w:r>
            <w:r w:rsidRPr="009D7811">
              <w:rPr>
                <w:rtl/>
              </w:rPr>
              <w:t xml:space="preserve">בעל עסק שהוא מוסד </w:t>
            </w:r>
            <w:r w:rsidRPr="009D7811">
              <w:rPr>
                <w:rFonts w:hint="cs"/>
                <w:rtl/>
              </w:rPr>
              <w:t xml:space="preserve">והוא </w:t>
            </w:r>
            <w:r w:rsidRPr="009D7811">
              <w:rPr>
                <w:rtl/>
              </w:rPr>
              <w:t xml:space="preserve">מבצע </w:t>
            </w:r>
            <w:r w:rsidRPr="009D7811">
              <w:rPr>
                <w:rFonts w:hint="cs"/>
                <w:rtl/>
              </w:rPr>
              <w:t xml:space="preserve">בו </w:t>
            </w:r>
            <w:r w:rsidRPr="009D7811">
              <w:rPr>
                <w:rtl/>
              </w:rPr>
              <w:t>עבודה</w:t>
            </w:r>
            <w:r w:rsidRPr="009D7811">
              <w:rPr>
                <w:rFonts w:hint="cs"/>
                <w:rtl/>
              </w:rPr>
              <w:t>;</w:t>
            </w:r>
          </w:p>
        </w:tc>
      </w:tr>
      <w:tr w:rsidR="00FA3A5B" w:rsidRPr="009D7811" w14:paraId="63F54BCB" w14:textId="77777777" w:rsidTr="00FA3A5B">
        <w:tblPrEx>
          <w:tblLook w:val="01E0" w:firstRow="1" w:lastRow="1" w:firstColumn="1" w:lastColumn="1" w:noHBand="0" w:noVBand="0"/>
        </w:tblPrEx>
        <w:trPr>
          <w:cantSplit/>
        </w:trPr>
        <w:tc>
          <w:tcPr>
            <w:tcW w:w="1870" w:type="dxa"/>
          </w:tcPr>
          <w:p w14:paraId="1F58BBDA" w14:textId="77777777" w:rsidR="00FA3A5B" w:rsidRPr="009D7811" w:rsidRDefault="00FA3A5B" w:rsidP="00FA3A5B">
            <w:pPr>
              <w:pStyle w:val="TableSideHeading"/>
              <w:rPr>
                <w:sz w:val="16"/>
                <w:szCs w:val="22"/>
              </w:rPr>
            </w:pPr>
          </w:p>
        </w:tc>
        <w:tc>
          <w:tcPr>
            <w:tcW w:w="624" w:type="dxa"/>
          </w:tcPr>
          <w:p w14:paraId="2A2B69B2" w14:textId="77777777" w:rsidR="00FA3A5B" w:rsidRPr="009D7811" w:rsidRDefault="00FA3A5B" w:rsidP="00FA3A5B">
            <w:pPr>
              <w:pStyle w:val="TableText"/>
            </w:pPr>
          </w:p>
        </w:tc>
        <w:tc>
          <w:tcPr>
            <w:tcW w:w="624" w:type="dxa"/>
          </w:tcPr>
          <w:p w14:paraId="5E82A0C9" w14:textId="77777777" w:rsidR="00FA3A5B" w:rsidRPr="009D7811" w:rsidRDefault="00FA3A5B" w:rsidP="00FA3A5B">
            <w:pPr>
              <w:pStyle w:val="TableText"/>
            </w:pPr>
          </w:p>
        </w:tc>
        <w:tc>
          <w:tcPr>
            <w:tcW w:w="6519" w:type="dxa"/>
          </w:tcPr>
          <w:p w14:paraId="545F3807" w14:textId="77777777" w:rsidR="00FA3A5B" w:rsidRPr="009D7811" w:rsidRDefault="00FA3A5B" w:rsidP="00FA3A5B">
            <w:pPr>
              <w:pStyle w:val="TableBlock"/>
            </w:pPr>
            <w:r w:rsidRPr="009D7811">
              <w:rPr>
                <w:rFonts w:hint="cs"/>
                <w:rtl/>
              </w:rPr>
              <w:t>(2)</w:t>
            </w:r>
            <w:r w:rsidRPr="009D7811">
              <w:rPr>
                <w:rtl/>
              </w:rPr>
              <w:tab/>
            </w:r>
            <w:r w:rsidRPr="009D7811">
              <w:rPr>
                <w:rFonts w:hint="cs"/>
                <w:rtl/>
              </w:rPr>
              <w:t>הצהרה מאת ההורה או האחראי כי המבקש מועסק או מועמד להיות מועסק על ידיו, באופן קבוע או סדיר, בטיפול בילד או בחסר הישע שעליו הוא אחראי או בהשגחה עליו, או כי  ה</w:t>
            </w:r>
            <w:r w:rsidRPr="009D7811">
              <w:rPr>
                <w:rFonts w:hint="eastAsia"/>
                <w:rtl/>
              </w:rPr>
              <w:t>ילד</w:t>
            </w:r>
            <w:r w:rsidRPr="009D7811">
              <w:rPr>
                <w:rtl/>
              </w:rPr>
              <w:t xml:space="preserve"> </w:t>
            </w:r>
            <w:r w:rsidRPr="009D7811">
              <w:rPr>
                <w:rFonts w:hint="eastAsia"/>
                <w:rtl/>
              </w:rPr>
              <w:t>או</w:t>
            </w:r>
            <w:r w:rsidRPr="009D7811">
              <w:rPr>
                <w:rtl/>
              </w:rPr>
              <w:t xml:space="preserve"> </w:t>
            </w:r>
            <w:r w:rsidRPr="009D7811">
              <w:rPr>
                <w:rFonts w:hint="eastAsia"/>
                <w:rtl/>
              </w:rPr>
              <w:t>חסר</w:t>
            </w:r>
            <w:r w:rsidRPr="009D7811">
              <w:rPr>
                <w:rtl/>
              </w:rPr>
              <w:t xml:space="preserve"> </w:t>
            </w:r>
            <w:r w:rsidRPr="009D7811">
              <w:rPr>
                <w:rFonts w:hint="eastAsia"/>
                <w:rtl/>
              </w:rPr>
              <w:t>הישע</w:t>
            </w:r>
            <w:r w:rsidRPr="009D7811" w:rsidDel="0094507A">
              <w:rPr>
                <w:rtl/>
              </w:rPr>
              <w:t xml:space="preserve"> </w:t>
            </w:r>
            <w:r w:rsidRPr="009D7811">
              <w:rPr>
                <w:rFonts w:hint="cs"/>
                <w:rtl/>
              </w:rPr>
              <w:t>שוהה במוסד כאמור בפסקה (1) או שההורה או האחראי מבקש כי ישהה בו.</w:t>
            </w:r>
          </w:p>
        </w:tc>
      </w:tr>
      <w:tr w:rsidR="00FA3A5B" w:rsidRPr="009D7811" w14:paraId="375C41D5" w14:textId="77777777" w:rsidTr="00FA3A5B">
        <w:tblPrEx>
          <w:tblLook w:val="01E0" w:firstRow="1" w:lastRow="1" w:firstColumn="1" w:lastColumn="1" w:noHBand="0" w:noVBand="0"/>
        </w:tblPrEx>
        <w:trPr>
          <w:cantSplit/>
        </w:trPr>
        <w:tc>
          <w:tcPr>
            <w:tcW w:w="1870" w:type="dxa"/>
          </w:tcPr>
          <w:p w14:paraId="54699020" w14:textId="77777777" w:rsidR="00FA3A5B" w:rsidRPr="009D7811" w:rsidRDefault="00FA3A5B" w:rsidP="00FA3A5B">
            <w:pPr>
              <w:pStyle w:val="TableSideHeading"/>
            </w:pPr>
            <w:r w:rsidRPr="009D7811">
              <w:rPr>
                <w:rFonts w:hint="cs"/>
                <w:sz w:val="16"/>
                <w:szCs w:val="22"/>
                <w:rtl/>
              </w:rPr>
              <w:t xml:space="preserve"> </w:t>
            </w:r>
          </w:p>
        </w:tc>
        <w:tc>
          <w:tcPr>
            <w:tcW w:w="624" w:type="dxa"/>
          </w:tcPr>
          <w:p w14:paraId="70CAEC3F" w14:textId="77777777" w:rsidR="00FA3A5B" w:rsidRPr="009D7811" w:rsidRDefault="00FA3A5B" w:rsidP="00FA3A5B">
            <w:pPr>
              <w:pStyle w:val="TableText"/>
            </w:pPr>
          </w:p>
        </w:tc>
        <w:tc>
          <w:tcPr>
            <w:tcW w:w="7143" w:type="dxa"/>
            <w:gridSpan w:val="2"/>
          </w:tcPr>
          <w:p w14:paraId="33D617CF" w14:textId="77777777" w:rsidR="00FA3A5B" w:rsidRPr="00FA3A5B" w:rsidRDefault="00FA3A5B" w:rsidP="00FA3A5B">
            <w:pPr>
              <w:pStyle w:val="TableBlock"/>
            </w:pPr>
            <w:r w:rsidRPr="00FA3A5B">
              <w:rPr>
                <w:rtl/>
              </w:rPr>
              <w:t>(</w:t>
            </w:r>
            <w:r w:rsidRPr="00FA3A5B">
              <w:rPr>
                <w:rFonts w:hint="cs"/>
                <w:rtl/>
              </w:rPr>
              <w:t>ז</w:t>
            </w:r>
            <w:r w:rsidRPr="00FA3A5B">
              <w:rPr>
                <w:rtl/>
              </w:rPr>
              <w:t>)</w:t>
            </w:r>
            <w:r w:rsidRPr="00FA3A5B">
              <w:rPr>
                <w:rFonts w:hint="cs"/>
                <w:rtl/>
              </w:rPr>
              <w:t xml:space="preserve"> </w:t>
            </w:r>
            <w:r w:rsidRPr="00FA3A5B">
              <w:rPr>
                <w:rtl/>
              </w:rPr>
              <w:tab/>
            </w:r>
            <w:r w:rsidRPr="00FA3A5B">
              <w:rPr>
                <w:rFonts w:hint="cs"/>
                <w:rtl/>
              </w:rPr>
              <w:t xml:space="preserve">הורה או אחראי, או נציגות הורים יישובית, שהוצגו להם אישור המשטרה או רשימת מועסקים לפי סעיף זה, לפי העניין, לא יעבירו אותם לאחר ולא </w:t>
            </w:r>
            <w:r w:rsidRPr="00FA3A5B">
              <w:rPr>
                <w:rtl/>
              </w:rPr>
              <w:t>יעש</w:t>
            </w:r>
            <w:r w:rsidRPr="00FA3A5B">
              <w:rPr>
                <w:rFonts w:hint="cs"/>
                <w:rtl/>
              </w:rPr>
              <w:t>ו</w:t>
            </w:r>
            <w:r w:rsidRPr="00FA3A5B">
              <w:rPr>
                <w:rtl/>
              </w:rPr>
              <w:t xml:space="preserve"> ב</w:t>
            </w:r>
            <w:r w:rsidRPr="00FA3A5B">
              <w:rPr>
                <w:rFonts w:hint="cs"/>
                <w:rtl/>
              </w:rPr>
              <w:t>הם</w:t>
            </w:r>
            <w:r w:rsidRPr="00FA3A5B">
              <w:rPr>
                <w:rtl/>
              </w:rPr>
              <w:t xml:space="preserve"> </w:t>
            </w:r>
            <w:r w:rsidRPr="00FA3A5B">
              <w:rPr>
                <w:rFonts w:hint="cs"/>
                <w:rtl/>
              </w:rPr>
              <w:t xml:space="preserve">או במידע העולה מהם </w:t>
            </w:r>
            <w:r w:rsidRPr="00FA3A5B">
              <w:rPr>
                <w:rtl/>
              </w:rPr>
              <w:t>שימוש</w:t>
            </w:r>
            <w:r w:rsidRPr="00FA3A5B">
              <w:rPr>
                <w:rFonts w:hint="cs"/>
                <w:rtl/>
              </w:rPr>
              <w:t>, אלא בהתאם להוראות חוק זה.</w:t>
            </w:r>
          </w:p>
        </w:tc>
      </w:tr>
      <w:tr w:rsidR="00FA3A5B" w:rsidRPr="009D7811" w14:paraId="5591353D" w14:textId="77777777" w:rsidTr="00FA3A5B">
        <w:trPr>
          <w:cantSplit/>
        </w:trPr>
        <w:tc>
          <w:tcPr>
            <w:tcW w:w="1870" w:type="dxa"/>
            <w:shd w:val="clear" w:color="auto" w:fill="auto"/>
            <w:tcMar>
              <w:top w:w="91" w:type="dxa"/>
              <w:left w:w="0" w:type="dxa"/>
              <w:bottom w:w="91" w:type="dxa"/>
              <w:right w:w="0" w:type="dxa"/>
            </w:tcMar>
          </w:tcPr>
          <w:p w14:paraId="695655DA" w14:textId="77777777" w:rsidR="00FA3A5B" w:rsidRPr="009D7811" w:rsidRDefault="00FA3A5B" w:rsidP="00FA3A5B">
            <w:pPr>
              <w:pStyle w:val="TableSideHeading"/>
              <w:rPr>
                <w:rtl/>
              </w:rPr>
            </w:pPr>
            <w:r w:rsidRPr="009D7811">
              <w:rPr>
                <w:rtl/>
              </w:rPr>
              <w:t>הערכה על ידי ועדת מומחים</w:t>
            </w:r>
          </w:p>
        </w:tc>
        <w:tc>
          <w:tcPr>
            <w:tcW w:w="624" w:type="dxa"/>
            <w:shd w:val="clear" w:color="auto" w:fill="auto"/>
            <w:tcMar>
              <w:top w:w="91" w:type="dxa"/>
              <w:left w:w="0" w:type="dxa"/>
              <w:bottom w:w="91" w:type="dxa"/>
              <w:right w:w="0" w:type="dxa"/>
            </w:tcMar>
          </w:tcPr>
          <w:p w14:paraId="3028855B" w14:textId="77777777" w:rsidR="00FA3A5B" w:rsidRPr="009D7811" w:rsidRDefault="00FA3A5B" w:rsidP="00FA3A5B">
            <w:pPr>
              <w:pStyle w:val="TableText"/>
              <w:rPr>
                <w:rtl/>
              </w:rPr>
            </w:pPr>
            <w:r w:rsidRPr="009D7811">
              <w:rPr>
                <w:rtl/>
              </w:rPr>
              <w:t>5.</w:t>
            </w:r>
          </w:p>
        </w:tc>
        <w:tc>
          <w:tcPr>
            <w:tcW w:w="7143" w:type="dxa"/>
            <w:gridSpan w:val="2"/>
            <w:shd w:val="clear" w:color="auto" w:fill="auto"/>
            <w:tcMar>
              <w:top w:w="91" w:type="dxa"/>
              <w:left w:w="0" w:type="dxa"/>
              <w:bottom w:w="91" w:type="dxa"/>
              <w:right w:w="0" w:type="dxa"/>
            </w:tcMar>
          </w:tcPr>
          <w:p w14:paraId="1D90C2E3" w14:textId="77777777" w:rsidR="00FA3A5B" w:rsidRPr="009D7811" w:rsidRDefault="00FA3A5B" w:rsidP="00FA3A5B">
            <w:pPr>
              <w:pStyle w:val="TableBlock"/>
              <w:rPr>
                <w:rtl/>
              </w:rPr>
            </w:pPr>
            <w:r w:rsidRPr="009D7811">
              <w:rPr>
                <w:rtl/>
              </w:rPr>
              <w:t>(א)</w:t>
            </w:r>
            <w:r w:rsidRPr="009D7811">
              <w:rPr>
                <w:rtl/>
              </w:rPr>
              <w:tab/>
              <w:t>שר המשפטים, בהתייעצות עם שר הרווחה והביטחון החברתי, ימנה ועדת מומחים ש</w:t>
            </w:r>
            <w:r w:rsidRPr="009D7811">
              <w:rPr>
                <w:rFonts w:hint="cs"/>
                <w:rtl/>
              </w:rPr>
              <w:t xml:space="preserve">תהיה מורכבת משופט שישמש כיושב ראש הוועדה ומשני מומחים בעלי ידע ומומחיות בתחום אבחון וטיפול בעוברי חוק בגירים; ועדת המומחים </w:t>
            </w:r>
            <w:r w:rsidRPr="009D7811">
              <w:rPr>
                <w:rtl/>
              </w:rPr>
              <w:t>תהיה מוסמכת לתת פטור מאיסור עיסוק לפי חוק זה; הודעה על מינוי הוועדה והרכבה תפורסם ברשומות</w:t>
            </w:r>
            <w:r w:rsidRPr="009D7811">
              <w:rPr>
                <w:rFonts w:hint="cs"/>
                <w:rtl/>
              </w:rPr>
              <w:t xml:space="preserve"> ובאתר האינטרנט של </w:t>
            </w:r>
            <w:r w:rsidRPr="009D7811">
              <w:rPr>
                <w:rFonts w:hint="eastAsia"/>
                <w:rtl/>
              </w:rPr>
              <w:t>הרשות</w:t>
            </w:r>
            <w:r w:rsidRPr="009D7811">
              <w:rPr>
                <w:rtl/>
              </w:rPr>
              <w:t xml:space="preserve"> </w:t>
            </w:r>
            <w:r w:rsidRPr="009D7811">
              <w:rPr>
                <w:rFonts w:hint="eastAsia"/>
                <w:rtl/>
              </w:rPr>
              <w:t>השופטת</w:t>
            </w:r>
            <w:r w:rsidRPr="009D7811">
              <w:rPr>
                <w:rtl/>
              </w:rPr>
              <w:t>.</w:t>
            </w:r>
          </w:p>
        </w:tc>
      </w:tr>
      <w:tr w:rsidR="00FA3A5B" w:rsidRPr="009D7811" w14:paraId="593B0FB0" w14:textId="77777777" w:rsidTr="00FA3A5B">
        <w:trPr>
          <w:cantSplit/>
        </w:trPr>
        <w:tc>
          <w:tcPr>
            <w:tcW w:w="1870" w:type="dxa"/>
            <w:shd w:val="clear" w:color="auto" w:fill="auto"/>
            <w:tcMar>
              <w:top w:w="91" w:type="dxa"/>
              <w:left w:w="0" w:type="dxa"/>
              <w:bottom w:w="91" w:type="dxa"/>
              <w:right w:w="0" w:type="dxa"/>
            </w:tcMar>
          </w:tcPr>
          <w:p w14:paraId="3EB43688"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229CE34A"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77C8463A" w14:textId="77777777" w:rsidR="00FA3A5B" w:rsidRPr="009D7811" w:rsidRDefault="00FA3A5B" w:rsidP="00FA3A5B">
            <w:pPr>
              <w:pStyle w:val="TableBlock"/>
              <w:rPr>
                <w:rtl/>
              </w:rPr>
            </w:pPr>
            <w:r w:rsidRPr="009D7811">
              <w:rPr>
                <w:rtl/>
              </w:rPr>
              <w:t>(ב)</w:t>
            </w:r>
            <w:r w:rsidRPr="009D7811">
              <w:rPr>
                <w:rtl/>
              </w:rPr>
              <w:tab/>
              <w:t>ועדת המומחים מוסמכת, לפי בקשת בגיר שחל לגביו איסור עיסוק לפי חוק זה (</w:t>
            </w:r>
            <w:r w:rsidRPr="009D7811">
              <w:rPr>
                <w:rFonts w:hint="cs"/>
                <w:rtl/>
              </w:rPr>
              <w:t>בסעיף זה</w:t>
            </w:r>
            <w:r w:rsidRPr="009D7811">
              <w:rPr>
                <w:rtl/>
              </w:rPr>
              <w:t xml:space="preserve"> – המבקש), להעריך בתוך תקופת האיסור את הצורך בהמשך תחולת האיסור ולתת לו פטור מן האיסור לתקופת האיסור, כולה או חלקה.</w:t>
            </w:r>
          </w:p>
        </w:tc>
      </w:tr>
      <w:tr w:rsidR="00FA3A5B" w:rsidRPr="009D7811" w14:paraId="7F8B544B" w14:textId="77777777" w:rsidTr="00FA3A5B">
        <w:trPr>
          <w:cantSplit/>
        </w:trPr>
        <w:tc>
          <w:tcPr>
            <w:tcW w:w="1870" w:type="dxa"/>
            <w:shd w:val="clear" w:color="auto" w:fill="auto"/>
            <w:tcMar>
              <w:top w:w="91" w:type="dxa"/>
              <w:left w:w="0" w:type="dxa"/>
              <w:bottom w:w="91" w:type="dxa"/>
              <w:right w:w="0" w:type="dxa"/>
            </w:tcMar>
          </w:tcPr>
          <w:p w14:paraId="49D5AD13"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255D9F73"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13BAC7B0" w14:textId="77777777" w:rsidR="00FA3A5B" w:rsidRPr="009D7811" w:rsidRDefault="00FA3A5B" w:rsidP="00FA3A5B">
            <w:pPr>
              <w:pStyle w:val="TableBlock"/>
              <w:rPr>
                <w:rtl/>
              </w:rPr>
            </w:pPr>
            <w:r w:rsidRPr="009D7811">
              <w:rPr>
                <w:rtl/>
              </w:rPr>
              <w:t>(ג)</w:t>
            </w:r>
            <w:r w:rsidRPr="009D7811">
              <w:rPr>
                <w:rtl/>
              </w:rPr>
              <w:tab/>
              <w:t>לא תיתן ועדת המומחים פטור מן האיסור כאמור בסעיף קטן (ב), אלא אם כן שוכנעה שהמבקש אינו מהווה סיכון לילדים או לחסרי ישע.</w:t>
            </w:r>
          </w:p>
        </w:tc>
      </w:tr>
      <w:tr w:rsidR="00FA3A5B" w:rsidRPr="009D7811" w14:paraId="35CDE050" w14:textId="77777777" w:rsidTr="00FA3A5B">
        <w:trPr>
          <w:cantSplit/>
        </w:trPr>
        <w:tc>
          <w:tcPr>
            <w:tcW w:w="1870" w:type="dxa"/>
            <w:shd w:val="clear" w:color="auto" w:fill="auto"/>
            <w:tcMar>
              <w:top w:w="91" w:type="dxa"/>
              <w:left w:w="0" w:type="dxa"/>
              <w:bottom w:w="91" w:type="dxa"/>
              <w:right w:w="0" w:type="dxa"/>
            </w:tcMar>
          </w:tcPr>
          <w:p w14:paraId="1F2DCBA4" w14:textId="77777777" w:rsidR="00FA3A5B" w:rsidRPr="009D7811" w:rsidRDefault="00FA3A5B" w:rsidP="00FA3A5B">
            <w:pPr>
              <w:pStyle w:val="TableSideHeading"/>
              <w:rPr>
                <w:rtl/>
              </w:rPr>
            </w:pPr>
            <w:r w:rsidRPr="009D7811">
              <w:rPr>
                <w:rFonts w:hint="cs"/>
                <w:sz w:val="16"/>
                <w:szCs w:val="22"/>
                <w:rtl/>
              </w:rPr>
              <w:t xml:space="preserve">  </w:t>
            </w:r>
          </w:p>
        </w:tc>
        <w:tc>
          <w:tcPr>
            <w:tcW w:w="624" w:type="dxa"/>
            <w:shd w:val="clear" w:color="auto" w:fill="auto"/>
            <w:tcMar>
              <w:top w:w="91" w:type="dxa"/>
              <w:left w:w="0" w:type="dxa"/>
              <w:bottom w:w="91" w:type="dxa"/>
              <w:right w:w="0" w:type="dxa"/>
            </w:tcMar>
          </w:tcPr>
          <w:p w14:paraId="3AEA18F0"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41CB782B" w14:textId="77777777" w:rsidR="00FA3A5B" w:rsidRPr="009D7811" w:rsidRDefault="00FA3A5B" w:rsidP="00FA3A5B">
            <w:pPr>
              <w:pStyle w:val="TableBlock"/>
              <w:rPr>
                <w:rtl/>
              </w:rPr>
            </w:pPr>
            <w:r w:rsidRPr="009D7811">
              <w:rPr>
                <w:rtl/>
              </w:rPr>
              <w:t>(</w:t>
            </w:r>
            <w:r w:rsidRPr="009D7811">
              <w:rPr>
                <w:rFonts w:hint="cs"/>
                <w:rtl/>
              </w:rPr>
              <w:t>ד</w:t>
            </w:r>
            <w:r w:rsidRPr="009D7811">
              <w:rPr>
                <w:rtl/>
              </w:rPr>
              <w:t>)</w:t>
            </w:r>
            <w:r w:rsidRPr="009D7811">
              <w:rPr>
                <w:rtl/>
              </w:rPr>
              <w:tab/>
            </w:r>
            <w:r w:rsidRPr="009D7811">
              <w:rPr>
                <w:rFonts w:hint="cs"/>
                <w:rtl/>
              </w:rPr>
              <w:t xml:space="preserve">על אף האמור בכל דין, </w:t>
            </w:r>
            <w:r w:rsidRPr="009D7811">
              <w:rPr>
                <w:rtl/>
              </w:rPr>
              <w:t xml:space="preserve">ועדת המומחים מוסמכת לקבל </w:t>
            </w:r>
            <w:r w:rsidRPr="009D7811">
              <w:rPr>
                <w:rFonts w:hint="cs"/>
                <w:rtl/>
              </w:rPr>
              <w:t>ממשרד הבריאות, ממשרד המשפטים, ממשרד הרווחה</w:t>
            </w:r>
            <w:r w:rsidRPr="009D7811">
              <w:rPr>
                <w:rtl/>
              </w:rPr>
              <w:t xml:space="preserve"> </w:t>
            </w:r>
            <w:r w:rsidRPr="009D7811">
              <w:rPr>
                <w:rFonts w:hint="cs"/>
                <w:rtl/>
              </w:rPr>
              <w:t xml:space="preserve">והביטחון החברתי, </w:t>
            </w:r>
            <w:r w:rsidRPr="009D7811">
              <w:rPr>
                <w:rtl/>
              </w:rPr>
              <w:t>ממשטרת ישראל</w:t>
            </w:r>
            <w:r w:rsidRPr="009D7811">
              <w:rPr>
                <w:rFonts w:hint="cs"/>
                <w:rtl/>
              </w:rPr>
              <w:t>,</w:t>
            </w:r>
            <w:r w:rsidRPr="009D7811">
              <w:rPr>
                <w:rtl/>
              </w:rPr>
              <w:t xml:space="preserve"> משירות בתי הסוהר </w:t>
            </w:r>
            <w:r w:rsidRPr="009D7811">
              <w:rPr>
                <w:rFonts w:hint="cs"/>
                <w:rtl/>
              </w:rPr>
              <w:t xml:space="preserve">ומשירותי הרווחה ברשויות המקומיות </w:t>
            </w:r>
            <w:r w:rsidRPr="009D7811">
              <w:rPr>
                <w:rtl/>
              </w:rPr>
              <w:t xml:space="preserve">מידע </w:t>
            </w:r>
            <w:r w:rsidRPr="009D7811">
              <w:rPr>
                <w:rFonts w:hint="cs"/>
                <w:rtl/>
              </w:rPr>
              <w:t xml:space="preserve">הנוגע למבקש אשר </w:t>
            </w:r>
            <w:r w:rsidRPr="009D7811">
              <w:rPr>
                <w:rtl/>
              </w:rPr>
              <w:t xml:space="preserve">נחוץ </w:t>
            </w:r>
            <w:r w:rsidRPr="009D7811">
              <w:rPr>
                <w:rFonts w:hint="cs"/>
                <w:rtl/>
              </w:rPr>
              <w:t>לה לשם</w:t>
            </w:r>
            <w:r w:rsidRPr="009D7811">
              <w:rPr>
                <w:rtl/>
              </w:rPr>
              <w:t xml:space="preserve"> החלטתה,</w:t>
            </w:r>
            <w:r w:rsidRPr="009D7811">
              <w:rPr>
                <w:rFonts w:hint="cs"/>
                <w:rtl/>
              </w:rPr>
              <w:t xml:space="preserve"> כפי שייקבע בתקנות לפי סעיף 12</w:t>
            </w:r>
            <w:r w:rsidRPr="009D7811">
              <w:rPr>
                <w:rtl/>
              </w:rPr>
              <w:t>.</w:t>
            </w:r>
            <w:r w:rsidRPr="009D7811">
              <w:rPr>
                <w:rFonts w:hint="cs"/>
                <w:rtl/>
              </w:rPr>
              <w:t xml:space="preserve"> </w:t>
            </w:r>
          </w:p>
        </w:tc>
      </w:tr>
      <w:tr w:rsidR="00FA3A5B" w:rsidRPr="009D7811" w14:paraId="074C268A" w14:textId="77777777" w:rsidTr="00FA3A5B">
        <w:trPr>
          <w:cantSplit/>
        </w:trPr>
        <w:tc>
          <w:tcPr>
            <w:tcW w:w="1870" w:type="dxa"/>
            <w:shd w:val="clear" w:color="auto" w:fill="auto"/>
            <w:tcMar>
              <w:top w:w="91" w:type="dxa"/>
              <w:left w:w="0" w:type="dxa"/>
              <w:bottom w:w="91" w:type="dxa"/>
              <w:right w:w="0" w:type="dxa"/>
            </w:tcMar>
          </w:tcPr>
          <w:p w14:paraId="36233CF9"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00E6E31E"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34A3B464" w14:textId="77777777" w:rsidR="00FA3A5B" w:rsidRPr="009D7811" w:rsidRDefault="00FA3A5B" w:rsidP="00FA3A5B">
            <w:pPr>
              <w:pStyle w:val="TableBlock"/>
              <w:rPr>
                <w:rtl/>
              </w:rPr>
            </w:pPr>
            <w:r w:rsidRPr="009D7811">
              <w:rPr>
                <w:rtl/>
              </w:rPr>
              <w:t>(</w:t>
            </w:r>
            <w:r w:rsidRPr="009D7811">
              <w:rPr>
                <w:rFonts w:hint="cs"/>
                <w:rtl/>
              </w:rPr>
              <w:t>ה</w:t>
            </w:r>
            <w:r w:rsidRPr="009D7811">
              <w:rPr>
                <w:rtl/>
              </w:rPr>
              <w:t>)</w:t>
            </w:r>
            <w:r w:rsidRPr="009D7811">
              <w:rPr>
                <w:rtl/>
              </w:rPr>
              <w:tab/>
              <w:t>החלטת ועדת המומחים תימסר למבקש; פטרה הוועדה את המבקש מתקופת האיסור, כולה או חלקה, תודיע גם למי שאחראי במשטרת ישראל על מתן אישורי המשטרה.</w:t>
            </w:r>
          </w:p>
        </w:tc>
      </w:tr>
      <w:tr w:rsidR="00FA3A5B" w:rsidRPr="009D7811" w14:paraId="157CC537" w14:textId="77777777" w:rsidTr="00FA3A5B">
        <w:trPr>
          <w:cantSplit/>
        </w:trPr>
        <w:tc>
          <w:tcPr>
            <w:tcW w:w="1870" w:type="dxa"/>
            <w:shd w:val="clear" w:color="auto" w:fill="auto"/>
            <w:tcMar>
              <w:top w:w="91" w:type="dxa"/>
              <w:left w:w="0" w:type="dxa"/>
              <w:bottom w:w="91" w:type="dxa"/>
              <w:right w:w="0" w:type="dxa"/>
            </w:tcMar>
          </w:tcPr>
          <w:p w14:paraId="0F6F42AE"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3A5DD46E"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3CAB5F88" w14:textId="77777777" w:rsidR="00FA3A5B" w:rsidRPr="009D7811" w:rsidRDefault="00FA3A5B" w:rsidP="00FA3A5B">
            <w:pPr>
              <w:pStyle w:val="TableBlock"/>
              <w:rPr>
                <w:rtl/>
              </w:rPr>
            </w:pPr>
            <w:r w:rsidRPr="009D7811">
              <w:rPr>
                <w:rtl/>
              </w:rPr>
              <w:t>(</w:t>
            </w:r>
            <w:r w:rsidRPr="009D7811">
              <w:rPr>
                <w:rFonts w:hint="cs"/>
                <w:rtl/>
              </w:rPr>
              <w:t>ו</w:t>
            </w:r>
            <w:r w:rsidRPr="009D7811">
              <w:rPr>
                <w:rtl/>
              </w:rPr>
              <w:t>)</w:t>
            </w:r>
            <w:r w:rsidRPr="009D7811">
              <w:rPr>
                <w:rtl/>
              </w:rPr>
              <w:tab/>
              <w:t>לפני מתן החלטתה תיתן ועדת המומחים הזדמנות למבקש או למי מטעמו ולנציג היועץ המשפטי לממשלה להשמיע את טענותיהם.</w:t>
            </w:r>
          </w:p>
        </w:tc>
      </w:tr>
      <w:tr w:rsidR="00FA3A5B" w:rsidRPr="009D7811" w14:paraId="138AF631" w14:textId="77777777" w:rsidTr="00FA3A5B">
        <w:trPr>
          <w:cantSplit/>
        </w:trPr>
        <w:tc>
          <w:tcPr>
            <w:tcW w:w="1870" w:type="dxa"/>
            <w:shd w:val="clear" w:color="auto" w:fill="auto"/>
            <w:tcMar>
              <w:top w:w="91" w:type="dxa"/>
              <w:left w:w="0" w:type="dxa"/>
              <w:bottom w:w="91" w:type="dxa"/>
              <w:right w:w="0" w:type="dxa"/>
            </w:tcMar>
          </w:tcPr>
          <w:p w14:paraId="6EA69C87"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08CFE72D"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2AE44DD7" w14:textId="77777777" w:rsidR="00FA3A5B" w:rsidRPr="009D7811" w:rsidRDefault="00FA3A5B" w:rsidP="00FA3A5B">
            <w:pPr>
              <w:pStyle w:val="TableBlock"/>
              <w:rPr>
                <w:rtl/>
              </w:rPr>
            </w:pPr>
            <w:r w:rsidRPr="009D7811">
              <w:rPr>
                <w:rtl/>
              </w:rPr>
              <w:t>(</w:t>
            </w:r>
            <w:r w:rsidRPr="009D7811">
              <w:rPr>
                <w:rFonts w:hint="cs"/>
                <w:rtl/>
              </w:rPr>
              <w:t>ז</w:t>
            </w:r>
            <w:r w:rsidRPr="009D7811">
              <w:rPr>
                <w:rtl/>
              </w:rPr>
              <w:t>)</w:t>
            </w:r>
            <w:r w:rsidRPr="009D7811">
              <w:rPr>
                <w:rtl/>
              </w:rPr>
              <w:tab/>
              <w:t>לא תדון ועדת המומחים בבקשה נוספת של מבקש שבקשתו נדחתה</w:t>
            </w:r>
            <w:r w:rsidRPr="009D7811">
              <w:rPr>
                <w:rFonts w:hint="cs"/>
                <w:rtl/>
              </w:rPr>
              <w:t>,</w:t>
            </w:r>
            <w:r w:rsidRPr="009D7811">
              <w:rPr>
                <w:rtl/>
              </w:rPr>
              <w:t xml:space="preserve"> לפני תום שנתיים מיום דחיית הבקשה.</w:t>
            </w:r>
          </w:p>
        </w:tc>
      </w:tr>
      <w:tr w:rsidR="00FA3A5B" w:rsidRPr="009D7811" w14:paraId="6176930E" w14:textId="77777777" w:rsidTr="00FA3A5B">
        <w:trPr>
          <w:cantSplit/>
        </w:trPr>
        <w:tc>
          <w:tcPr>
            <w:tcW w:w="1870" w:type="dxa"/>
            <w:shd w:val="clear" w:color="auto" w:fill="auto"/>
            <w:tcMar>
              <w:top w:w="91" w:type="dxa"/>
              <w:left w:w="0" w:type="dxa"/>
              <w:bottom w:w="91" w:type="dxa"/>
              <w:right w:w="0" w:type="dxa"/>
            </w:tcMar>
          </w:tcPr>
          <w:p w14:paraId="55137B69"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67723B2A"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2454BA2A" w14:textId="77777777" w:rsidR="00FA3A5B" w:rsidRPr="009D7811" w:rsidRDefault="00FA3A5B" w:rsidP="00FA3A5B">
            <w:pPr>
              <w:pStyle w:val="TableBlock"/>
              <w:rPr>
                <w:rtl/>
              </w:rPr>
            </w:pPr>
            <w:r w:rsidRPr="009D7811">
              <w:rPr>
                <w:rFonts w:hint="cs"/>
                <w:rtl/>
              </w:rPr>
              <w:t>(ח)</w:t>
            </w:r>
            <w:r w:rsidRPr="009D7811">
              <w:rPr>
                <w:rtl/>
              </w:rPr>
              <w:tab/>
            </w:r>
            <w:r w:rsidRPr="009D7811">
              <w:rPr>
                <w:rFonts w:hint="cs"/>
                <w:rtl/>
              </w:rPr>
              <w:t xml:space="preserve">מי שהגיע אליו מידע לפי סעיף זה ישמרנו בסוד, לא יגלה אותו לאחר ולא יעשה בו כל שימוש, אלא לפי הוראות חוק זה. </w:t>
            </w:r>
          </w:p>
        </w:tc>
      </w:tr>
      <w:tr w:rsidR="00FA3A5B" w:rsidRPr="009D7811" w14:paraId="4956309F" w14:textId="77777777" w:rsidTr="00FA3A5B">
        <w:trPr>
          <w:cantSplit/>
        </w:trPr>
        <w:tc>
          <w:tcPr>
            <w:tcW w:w="1870" w:type="dxa"/>
            <w:shd w:val="clear" w:color="auto" w:fill="auto"/>
            <w:tcMar>
              <w:top w:w="91" w:type="dxa"/>
              <w:left w:w="0" w:type="dxa"/>
              <w:bottom w:w="91" w:type="dxa"/>
              <w:right w:w="0" w:type="dxa"/>
            </w:tcMar>
          </w:tcPr>
          <w:p w14:paraId="1CF469F6" w14:textId="77777777" w:rsidR="00FA3A5B" w:rsidRPr="009D7811" w:rsidRDefault="00FA3A5B" w:rsidP="00FA3A5B">
            <w:pPr>
              <w:pStyle w:val="TableSideHeading"/>
              <w:rPr>
                <w:rtl/>
              </w:rPr>
            </w:pPr>
            <w:r w:rsidRPr="009D7811">
              <w:rPr>
                <w:rtl/>
              </w:rPr>
              <w:t xml:space="preserve">עונשין </w:t>
            </w:r>
          </w:p>
        </w:tc>
        <w:tc>
          <w:tcPr>
            <w:tcW w:w="624" w:type="dxa"/>
            <w:shd w:val="clear" w:color="auto" w:fill="auto"/>
            <w:tcMar>
              <w:top w:w="91" w:type="dxa"/>
              <w:left w:w="0" w:type="dxa"/>
              <w:bottom w:w="91" w:type="dxa"/>
              <w:right w:w="0" w:type="dxa"/>
            </w:tcMar>
          </w:tcPr>
          <w:p w14:paraId="6791CF17" w14:textId="77777777" w:rsidR="00FA3A5B" w:rsidRPr="009D7811" w:rsidRDefault="00FA3A5B" w:rsidP="00FA3A5B">
            <w:pPr>
              <w:pStyle w:val="TableText"/>
              <w:rPr>
                <w:rtl/>
              </w:rPr>
            </w:pPr>
            <w:r w:rsidRPr="009D7811">
              <w:rPr>
                <w:rtl/>
              </w:rPr>
              <w:t>6.</w:t>
            </w:r>
          </w:p>
        </w:tc>
        <w:tc>
          <w:tcPr>
            <w:tcW w:w="7143" w:type="dxa"/>
            <w:gridSpan w:val="2"/>
            <w:shd w:val="clear" w:color="auto" w:fill="auto"/>
            <w:tcMar>
              <w:top w:w="91" w:type="dxa"/>
              <w:left w:w="0" w:type="dxa"/>
              <w:bottom w:w="91" w:type="dxa"/>
              <w:right w:w="0" w:type="dxa"/>
            </w:tcMar>
          </w:tcPr>
          <w:p w14:paraId="5FC2A58E" w14:textId="77777777" w:rsidR="00FA3A5B" w:rsidRPr="009D7811" w:rsidRDefault="00FA3A5B" w:rsidP="00FA3A5B">
            <w:pPr>
              <w:pStyle w:val="TableBlock"/>
              <w:rPr>
                <w:rtl/>
              </w:rPr>
            </w:pPr>
            <w:r w:rsidRPr="009D7811">
              <w:rPr>
                <w:rtl/>
              </w:rPr>
              <w:t>(א)</w:t>
            </w:r>
            <w:r w:rsidRPr="009D7811">
              <w:rPr>
                <w:rtl/>
              </w:rPr>
              <w:tab/>
            </w:r>
            <w:r w:rsidRPr="009D7811">
              <w:rPr>
                <w:rFonts w:hint="cs"/>
                <w:rtl/>
              </w:rPr>
              <w:t>העושה אחד מאלה</w:t>
            </w:r>
            <w:r w:rsidRPr="009D7811">
              <w:rPr>
                <w:rtl/>
              </w:rPr>
              <w:t xml:space="preserve">, דינו – </w:t>
            </w:r>
            <w:r w:rsidRPr="009D7811">
              <w:rPr>
                <w:rFonts w:hint="cs"/>
                <w:rtl/>
              </w:rPr>
              <w:t>מאסר שנה:</w:t>
            </w:r>
          </w:p>
        </w:tc>
      </w:tr>
      <w:tr w:rsidR="00FA3A5B" w:rsidRPr="009D7811" w14:paraId="23A74316" w14:textId="77777777" w:rsidTr="00FA3A5B">
        <w:tblPrEx>
          <w:tblLook w:val="01E0" w:firstRow="1" w:lastRow="1" w:firstColumn="1" w:lastColumn="1" w:noHBand="0" w:noVBand="0"/>
        </w:tblPrEx>
        <w:trPr>
          <w:cantSplit/>
        </w:trPr>
        <w:tc>
          <w:tcPr>
            <w:tcW w:w="1870" w:type="dxa"/>
          </w:tcPr>
          <w:p w14:paraId="0A941D28" w14:textId="77777777" w:rsidR="00FA3A5B" w:rsidRPr="009D7811" w:rsidRDefault="00FA3A5B" w:rsidP="00FA3A5B">
            <w:pPr>
              <w:pStyle w:val="TableSideHeading"/>
            </w:pPr>
          </w:p>
        </w:tc>
        <w:tc>
          <w:tcPr>
            <w:tcW w:w="624" w:type="dxa"/>
          </w:tcPr>
          <w:p w14:paraId="6F2F2F64" w14:textId="77777777" w:rsidR="00FA3A5B" w:rsidRPr="009D7811" w:rsidRDefault="00FA3A5B" w:rsidP="00FA3A5B">
            <w:pPr>
              <w:pStyle w:val="TableText"/>
            </w:pPr>
          </w:p>
        </w:tc>
        <w:tc>
          <w:tcPr>
            <w:tcW w:w="624" w:type="dxa"/>
          </w:tcPr>
          <w:p w14:paraId="003A0173" w14:textId="77777777" w:rsidR="00FA3A5B" w:rsidRPr="009D7811" w:rsidRDefault="00FA3A5B" w:rsidP="00FA3A5B">
            <w:pPr>
              <w:pStyle w:val="TableText"/>
            </w:pPr>
          </w:p>
        </w:tc>
        <w:tc>
          <w:tcPr>
            <w:tcW w:w="6519" w:type="dxa"/>
          </w:tcPr>
          <w:p w14:paraId="4C563E77" w14:textId="77777777" w:rsidR="00FA3A5B" w:rsidRPr="009D7811" w:rsidRDefault="00FA3A5B" w:rsidP="00FA3A5B">
            <w:pPr>
              <w:pStyle w:val="TableBlock"/>
            </w:pPr>
            <w:r w:rsidRPr="009D7811">
              <w:rPr>
                <w:rFonts w:hint="cs"/>
                <w:rtl/>
              </w:rPr>
              <w:t>(1)</w:t>
            </w:r>
            <w:r w:rsidRPr="009D7811">
              <w:rPr>
                <w:rtl/>
              </w:rPr>
              <w:tab/>
            </w:r>
            <w:r w:rsidRPr="009D7811">
              <w:rPr>
                <w:rFonts w:hint="cs"/>
                <w:rtl/>
              </w:rPr>
              <w:t>מעסיק המ</w:t>
            </w:r>
            <w:r w:rsidRPr="009D7811">
              <w:rPr>
                <w:rtl/>
              </w:rPr>
              <w:t xml:space="preserve">קבל לעבודה במוסד </w:t>
            </w:r>
            <w:r w:rsidRPr="009D7811">
              <w:rPr>
                <w:rFonts w:hint="cs"/>
                <w:rtl/>
              </w:rPr>
              <w:t>או המ</w:t>
            </w:r>
            <w:r w:rsidRPr="009D7811">
              <w:rPr>
                <w:rtl/>
              </w:rPr>
              <w:t xml:space="preserve">עסיק בעבודה במוסד בגיר שהורשע בעבירת אלימות או התעללות </w:t>
            </w:r>
            <w:r w:rsidRPr="009D7811">
              <w:rPr>
                <w:rFonts w:hint="cs"/>
                <w:rtl/>
              </w:rPr>
              <w:t xml:space="preserve">בילד או בחסר ישע </w:t>
            </w:r>
            <w:r w:rsidRPr="009D7811">
              <w:rPr>
                <w:rtl/>
              </w:rPr>
              <w:t>שביצע בהיותו בגיר</w:t>
            </w:r>
            <w:r w:rsidRPr="009D7811">
              <w:rPr>
                <w:rFonts w:hint="cs"/>
                <w:rtl/>
              </w:rPr>
              <w:t>, בתוך תקופת האיסור, ובלבד שו</w:t>
            </w:r>
            <w:r w:rsidRPr="009D7811">
              <w:rPr>
                <w:rtl/>
              </w:rPr>
              <w:t xml:space="preserve">ועדת המומחים </w:t>
            </w:r>
            <w:r w:rsidRPr="009D7811">
              <w:rPr>
                <w:rFonts w:hint="cs"/>
                <w:rtl/>
              </w:rPr>
              <w:t xml:space="preserve">לא </w:t>
            </w:r>
            <w:r w:rsidRPr="009D7811">
              <w:rPr>
                <w:rtl/>
              </w:rPr>
              <w:t xml:space="preserve">פטרה </w:t>
            </w:r>
            <w:r w:rsidRPr="009D7811">
              <w:rPr>
                <w:rFonts w:hint="cs"/>
                <w:rtl/>
              </w:rPr>
              <w:t xml:space="preserve">אותו </w:t>
            </w:r>
            <w:r w:rsidRPr="009D7811">
              <w:rPr>
                <w:rtl/>
              </w:rPr>
              <w:t>מהאיסור לפי סעיף</w:t>
            </w:r>
            <w:r w:rsidRPr="009D7811">
              <w:rPr>
                <w:rFonts w:hint="cs"/>
                <w:rtl/>
              </w:rPr>
              <w:t xml:space="preserve"> 5, בניגוד להוראות סעיף 2(א);</w:t>
            </w:r>
          </w:p>
        </w:tc>
      </w:tr>
      <w:tr w:rsidR="00FA3A5B" w:rsidRPr="009D7811" w14:paraId="29B1B506" w14:textId="77777777" w:rsidTr="00FA3A5B">
        <w:tblPrEx>
          <w:tblLook w:val="01E0" w:firstRow="1" w:lastRow="1" w:firstColumn="1" w:lastColumn="1" w:noHBand="0" w:noVBand="0"/>
        </w:tblPrEx>
        <w:trPr>
          <w:cantSplit/>
        </w:trPr>
        <w:tc>
          <w:tcPr>
            <w:tcW w:w="1870" w:type="dxa"/>
          </w:tcPr>
          <w:p w14:paraId="62C55B69" w14:textId="77777777" w:rsidR="00FA3A5B" w:rsidRPr="009D7811" w:rsidRDefault="00FA3A5B" w:rsidP="00FA3A5B">
            <w:pPr>
              <w:pStyle w:val="TableSideHeading"/>
            </w:pPr>
          </w:p>
        </w:tc>
        <w:tc>
          <w:tcPr>
            <w:tcW w:w="624" w:type="dxa"/>
          </w:tcPr>
          <w:p w14:paraId="4850C2BB" w14:textId="77777777" w:rsidR="00FA3A5B" w:rsidRPr="009D7811" w:rsidRDefault="00FA3A5B" w:rsidP="00FA3A5B">
            <w:pPr>
              <w:pStyle w:val="TableText"/>
            </w:pPr>
          </w:p>
        </w:tc>
        <w:tc>
          <w:tcPr>
            <w:tcW w:w="624" w:type="dxa"/>
          </w:tcPr>
          <w:p w14:paraId="5D4B55E0" w14:textId="77777777" w:rsidR="00FA3A5B" w:rsidRPr="009D7811" w:rsidRDefault="00FA3A5B" w:rsidP="00FA3A5B">
            <w:pPr>
              <w:pStyle w:val="TableText"/>
            </w:pPr>
          </w:p>
        </w:tc>
        <w:tc>
          <w:tcPr>
            <w:tcW w:w="6519" w:type="dxa"/>
          </w:tcPr>
          <w:p w14:paraId="2E2A5954" w14:textId="77777777" w:rsidR="00FA3A5B" w:rsidRPr="009D7811" w:rsidRDefault="00FA3A5B" w:rsidP="00FA3A5B">
            <w:pPr>
              <w:pStyle w:val="TableBlock"/>
              <w:rPr>
                <w:rtl/>
              </w:rPr>
            </w:pPr>
            <w:r w:rsidRPr="009D7811">
              <w:rPr>
                <w:rFonts w:hint="cs"/>
                <w:rtl/>
              </w:rPr>
              <w:t>(2)</w:t>
            </w:r>
            <w:r w:rsidRPr="009D7811">
              <w:rPr>
                <w:rtl/>
              </w:rPr>
              <w:tab/>
            </w:r>
            <w:r w:rsidRPr="009D7811">
              <w:rPr>
                <w:rFonts w:hint="cs"/>
                <w:rtl/>
              </w:rPr>
              <w:t>מי</w:t>
            </w:r>
            <w:r w:rsidRPr="009D7811">
              <w:rPr>
                <w:rtl/>
              </w:rPr>
              <w:t xml:space="preserve"> שהורשע בעבירת אלימות או התעללות</w:t>
            </w:r>
            <w:r w:rsidRPr="009D7811">
              <w:rPr>
                <w:rFonts w:hint="cs"/>
                <w:rtl/>
              </w:rPr>
              <w:t xml:space="preserve"> בילד או בחסר ישע </w:t>
            </w:r>
            <w:r w:rsidRPr="009D7811">
              <w:rPr>
                <w:rtl/>
              </w:rPr>
              <w:t>שביצע בהיותו בגיר</w:t>
            </w:r>
            <w:r w:rsidRPr="009D7811">
              <w:rPr>
                <w:rFonts w:hint="cs"/>
                <w:rtl/>
              </w:rPr>
              <w:t xml:space="preserve">, העוסק </w:t>
            </w:r>
            <w:r w:rsidRPr="009D7811">
              <w:rPr>
                <w:rtl/>
              </w:rPr>
              <w:t xml:space="preserve">בעבודה במוסד </w:t>
            </w:r>
            <w:r w:rsidRPr="009D7811">
              <w:rPr>
                <w:rFonts w:hint="cs"/>
                <w:rtl/>
              </w:rPr>
              <w:t>בתוך תקופת האיסור, ו</w:t>
            </w:r>
            <w:r w:rsidRPr="009D7811">
              <w:rPr>
                <w:rtl/>
              </w:rPr>
              <w:t xml:space="preserve">ועדת המומחים </w:t>
            </w:r>
            <w:r w:rsidRPr="009D7811">
              <w:rPr>
                <w:rFonts w:hint="cs"/>
                <w:rtl/>
              </w:rPr>
              <w:t xml:space="preserve">לא </w:t>
            </w:r>
            <w:r w:rsidRPr="009D7811">
              <w:rPr>
                <w:rtl/>
              </w:rPr>
              <w:t xml:space="preserve">פטרה </w:t>
            </w:r>
            <w:r w:rsidRPr="009D7811">
              <w:rPr>
                <w:rFonts w:hint="cs"/>
                <w:rtl/>
              </w:rPr>
              <w:t xml:space="preserve">אותו </w:t>
            </w:r>
            <w:r w:rsidRPr="009D7811">
              <w:rPr>
                <w:rtl/>
              </w:rPr>
              <w:t xml:space="preserve">מהאיסור לפי </w:t>
            </w:r>
            <w:r w:rsidRPr="009D7811">
              <w:rPr>
                <w:rFonts w:hint="cs"/>
                <w:rtl/>
              </w:rPr>
              <w:t xml:space="preserve">הוראות </w:t>
            </w:r>
            <w:r w:rsidRPr="009D7811">
              <w:rPr>
                <w:rtl/>
              </w:rPr>
              <w:t>סעיף 5</w:t>
            </w:r>
            <w:r w:rsidRPr="009D7811">
              <w:rPr>
                <w:rFonts w:hint="cs"/>
                <w:rtl/>
              </w:rPr>
              <w:t xml:space="preserve">, בניגוד להוראות </w:t>
            </w:r>
            <w:r w:rsidRPr="009D7811">
              <w:rPr>
                <w:rtl/>
              </w:rPr>
              <w:t>סעיף 2(ב)</w:t>
            </w:r>
            <w:r w:rsidRPr="009D7811">
              <w:rPr>
                <w:rFonts w:hint="cs"/>
                <w:rtl/>
              </w:rPr>
              <w:t>;</w:t>
            </w:r>
          </w:p>
        </w:tc>
      </w:tr>
      <w:tr w:rsidR="00FA3A5B" w:rsidRPr="009D7811" w14:paraId="1BA94464" w14:textId="77777777" w:rsidTr="00FA3A5B">
        <w:tblPrEx>
          <w:tblLook w:val="01E0" w:firstRow="1" w:lastRow="1" w:firstColumn="1" w:lastColumn="1" w:noHBand="0" w:noVBand="0"/>
        </w:tblPrEx>
        <w:trPr>
          <w:cantSplit/>
        </w:trPr>
        <w:tc>
          <w:tcPr>
            <w:tcW w:w="1870" w:type="dxa"/>
          </w:tcPr>
          <w:p w14:paraId="217A61ED" w14:textId="77777777" w:rsidR="00FA3A5B" w:rsidRPr="009D7811" w:rsidRDefault="00FA3A5B" w:rsidP="00FA3A5B">
            <w:pPr>
              <w:pStyle w:val="TableSideHeading"/>
            </w:pPr>
          </w:p>
        </w:tc>
        <w:tc>
          <w:tcPr>
            <w:tcW w:w="624" w:type="dxa"/>
          </w:tcPr>
          <w:p w14:paraId="6F0B8428" w14:textId="77777777" w:rsidR="00FA3A5B" w:rsidRPr="009D7811" w:rsidRDefault="00FA3A5B" w:rsidP="00FA3A5B">
            <w:pPr>
              <w:pStyle w:val="TableText"/>
            </w:pPr>
          </w:p>
        </w:tc>
        <w:tc>
          <w:tcPr>
            <w:tcW w:w="624" w:type="dxa"/>
          </w:tcPr>
          <w:p w14:paraId="27D9E22D" w14:textId="77777777" w:rsidR="00FA3A5B" w:rsidRPr="009D7811" w:rsidRDefault="00FA3A5B" w:rsidP="00FA3A5B">
            <w:pPr>
              <w:pStyle w:val="TableText"/>
            </w:pPr>
          </w:p>
        </w:tc>
        <w:tc>
          <w:tcPr>
            <w:tcW w:w="6519" w:type="dxa"/>
          </w:tcPr>
          <w:p w14:paraId="6CC6A4B2" w14:textId="77777777" w:rsidR="00FA3A5B" w:rsidRPr="009D7811" w:rsidRDefault="00FA3A5B" w:rsidP="00FA3A5B">
            <w:pPr>
              <w:pStyle w:val="TableBlock"/>
              <w:rPr>
                <w:rtl/>
              </w:rPr>
            </w:pPr>
            <w:r w:rsidRPr="009D7811">
              <w:rPr>
                <w:rFonts w:hint="cs"/>
                <w:rtl/>
              </w:rPr>
              <w:t>(3)</w:t>
            </w:r>
            <w:r w:rsidRPr="009D7811">
              <w:rPr>
                <w:rtl/>
              </w:rPr>
              <w:tab/>
            </w:r>
            <w:r w:rsidRPr="009D7811">
              <w:rPr>
                <w:rFonts w:hint="cs"/>
                <w:rtl/>
              </w:rPr>
              <w:t>מעסיק שהעביר לאחר הודעת סירוב או ש</w:t>
            </w:r>
            <w:r w:rsidRPr="009D7811">
              <w:rPr>
                <w:rtl/>
              </w:rPr>
              <w:t>עשה ב</w:t>
            </w:r>
            <w:r w:rsidRPr="009D7811">
              <w:rPr>
                <w:rFonts w:hint="cs"/>
                <w:rtl/>
              </w:rPr>
              <w:t>ה</w:t>
            </w:r>
            <w:r w:rsidRPr="009D7811">
              <w:rPr>
                <w:rtl/>
              </w:rPr>
              <w:t xml:space="preserve"> </w:t>
            </w:r>
            <w:r w:rsidRPr="009D7811">
              <w:rPr>
                <w:rFonts w:hint="cs"/>
                <w:rtl/>
              </w:rPr>
              <w:t xml:space="preserve">או במידע העולה ממנה </w:t>
            </w:r>
            <w:r w:rsidRPr="009D7811">
              <w:rPr>
                <w:rtl/>
              </w:rPr>
              <w:t>שימוש</w:t>
            </w:r>
            <w:r w:rsidRPr="009D7811">
              <w:rPr>
                <w:rFonts w:hint="cs"/>
                <w:rtl/>
              </w:rPr>
              <w:t>, בניגוד להוראות סעיף 3(ו).</w:t>
            </w:r>
          </w:p>
        </w:tc>
      </w:tr>
      <w:tr w:rsidR="00FA3A5B" w:rsidRPr="009D7811" w14:paraId="677BC0C3" w14:textId="77777777" w:rsidTr="00FA3A5B">
        <w:trPr>
          <w:cantSplit/>
        </w:trPr>
        <w:tc>
          <w:tcPr>
            <w:tcW w:w="1870" w:type="dxa"/>
            <w:shd w:val="clear" w:color="auto" w:fill="auto"/>
            <w:tcMar>
              <w:top w:w="91" w:type="dxa"/>
              <w:left w:w="0" w:type="dxa"/>
              <w:bottom w:w="91" w:type="dxa"/>
              <w:right w:w="0" w:type="dxa"/>
            </w:tcMar>
          </w:tcPr>
          <w:p w14:paraId="47B17064"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7D3191C7"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71B27D3F" w14:textId="77777777" w:rsidR="00FA3A5B" w:rsidRPr="009D7811" w:rsidRDefault="00FA3A5B" w:rsidP="00FA3A5B">
            <w:pPr>
              <w:pStyle w:val="TableBlock"/>
              <w:rPr>
                <w:rtl/>
              </w:rPr>
            </w:pPr>
            <w:r w:rsidRPr="009D7811">
              <w:rPr>
                <w:rtl/>
              </w:rPr>
              <w:t>(</w:t>
            </w:r>
            <w:r w:rsidRPr="009D7811">
              <w:rPr>
                <w:rFonts w:hint="cs"/>
                <w:rtl/>
              </w:rPr>
              <w:t>ב</w:t>
            </w:r>
            <w:r w:rsidRPr="009D7811">
              <w:rPr>
                <w:rtl/>
              </w:rPr>
              <w:t>)</w:t>
            </w:r>
            <w:r w:rsidRPr="009D7811">
              <w:rPr>
                <w:rtl/>
              </w:rPr>
              <w:tab/>
            </w:r>
            <w:r w:rsidRPr="009D7811">
              <w:rPr>
                <w:rFonts w:hint="cs"/>
                <w:rtl/>
              </w:rPr>
              <w:t>העושה אחד מאלה</w:t>
            </w:r>
            <w:r w:rsidRPr="009D7811">
              <w:rPr>
                <w:rtl/>
              </w:rPr>
              <w:t>, דינו –</w:t>
            </w:r>
            <w:r w:rsidRPr="009D7811">
              <w:rPr>
                <w:rFonts w:hint="cs"/>
                <w:rtl/>
              </w:rPr>
              <w:t xml:space="preserve"> קנס כאמור בסעיף 61(א)(3) לחוק העונשין: </w:t>
            </w:r>
          </w:p>
        </w:tc>
      </w:tr>
      <w:tr w:rsidR="00FA3A5B" w:rsidRPr="009D7811" w14:paraId="216C414B" w14:textId="77777777" w:rsidTr="00FA3A5B">
        <w:tblPrEx>
          <w:tblLook w:val="01E0" w:firstRow="1" w:lastRow="1" w:firstColumn="1" w:lastColumn="1" w:noHBand="0" w:noVBand="0"/>
        </w:tblPrEx>
        <w:trPr>
          <w:cantSplit/>
        </w:trPr>
        <w:tc>
          <w:tcPr>
            <w:tcW w:w="1870" w:type="dxa"/>
          </w:tcPr>
          <w:p w14:paraId="119EE1D1" w14:textId="77777777" w:rsidR="00FA3A5B" w:rsidRPr="009D7811" w:rsidRDefault="00FA3A5B" w:rsidP="00FA3A5B">
            <w:pPr>
              <w:pStyle w:val="TableSideHeading"/>
            </w:pPr>
          </w:p>
        </w:tc>
        <w:tc>
          <w:tcPr>
            <w:tcW w:w="624" w:type="dxa"/>
          </w:tcPr>
          <w:p w14:paraId="1749D4C3" w14:textId="77777777" w:rsidR="00FA3A5B" w:rsidRPr="009D7811" w:rsidRDefault="00FA3A5B" w:rsidP="00FA3A5B">
            <w:pPr>
              <w:pStyle w:val="TableText"/>
            </w:pPr>
          </w:p>
        </w:tc>
        <w:tc>
          <w:tcPr>
            <w:tcW w:w="624" w:type="dxa"/>
          </w:tcPr>
          <w:p w14:paraId="0673FB69" w14:textId="77777777" w:rsidR="00FA3A5B" w:rsidRPr="009D7811" w:rsidRDefault="00FA3A5B" w:rsidP="00FA3A5B">
            <w:pPr>
              <w:pStyle w:val="TableText"/>
            </w:pPr>
          </w:p>
        </w:tc>
        <w:tc>
          <w:tcPr>
            <w:tcW w:w="6519" w:type="dxa"/>
          </w:tcPr>
          <w:p w14:paraId="2A8091F6" w14:textId="70F40A6D" w:rsidR="00FA3A5B" w:rsidRPr="009D7811" w:rsidRDefault="00FA3A5B" w:rsidP="00FA3A5B">
            <w:pPr>
              <w:pStyle w:val="TableBlock"/>
            </w:pPr>
            <w:r w:rsidRPr="009D7811">
              <w:rPr>
                <w:rFonts w:hint="cs"/>
                <w:rtl/>
              </w:rPr>
              <w:t>(1)</w:t>
            </w:r>
            <w:r w:rsidRPr="009D7811">
              <w:rPr>
                <w:rtl/>
              </w:rPr>
              <w:tab/>
            </w:r>
            <w:r w:rsidRPr="009D7811">
              <w:rPr>
                <w:rFonts w:hint="cs"/>
                <w:rtl/>
              </w:rPr>
              <w:t>מעסיק המ</w:t>
            </w:r>
            <w:r w:rsidRPr="009D7811">
              <w:rPr>
                <w:rtl/>
              </w:rPr>
              <w:t xml:space="preserve">קבל </w:t>
            </w:r>
            <w:r w:rsidRPr="009D7811">
              <w:rPr>
                <w:rFonts w:hint="cs"/>
                <w:rtl/>
              </w:rPr>
              <w:t xml:space="preserve">בגיר </w:t>
            </w:r>
            <w:r w:rsidRPr="009D7811">
              <w:rPr>
                <w:rtl/>
              </w:rPr>
              <w:t>לעבודה במוסד בטרם קיבל את אישור המשטרה</w:t>
            </w:r>
            <w:r w:rsidRPr="009D7811">
              <w:rPr>
                <w:rFonts w:hint="cs"/>
                <w:rtl/>
              </w:rPr>
              <w:t>, בניגוד להוראות סעיף 3(א)</w:t>
            </w:r>
            <w:r w:rsidR="0095296F">
              <w:rPr>
                <w:rFonts w:hint="cs"/>
                <w:rtl/>
              </w:rPr>
              <w:t>;</w:t>
            </w:r>
          </w:p>
        </w:tc>
      </w:tr>
      <w:tr w:rsidR="00FA3A5B" w:rsidRPr="009D7811" w14:paraId="2F2BDBAC" w14:textId="77777777" w:rsidTr="00FA3A5B">
        <w:tblPrEx>
          <w:tblLook w:val="01E0" w:firstRow="1" w:lastRow="1" w:firstColumn="1" w:lastColumn="1" w:noHBand="0" w:noVBand="0"/>
        </w:tblPrEx>
        <w:trPr>
          <w:cantSplit/>
        </w:trPr>
        <w:tc>
          <w:tcPr>
            <w:tcW w:w="1870" w:type="dxa"/>
          </w:tcPr>
          <w:p w14:paraId="51119331" w14:textId="77777777" w:rsidR="00FA3A5B" w:rsidRPr="009D7811" w:rsidRDefault="00FA3A5B" w:rsidP="00FA3A5B">
            <w:pPr>
              <w:pStyle w:val="TableSideHeading"/>
            </w:pPr>
          </w:p>
        </w:tc>
        <w:tc>
          <w:tcPr>
            <w:tcW w:w="624" w:type="dxa"/>
          </w:tcPr>
          <w:p w14:paraId="2A489A71" w14:textId="77777777" w:rsidR="00FA3A5B" w:rsidRPr="009D7811" w:rsidRDefault="00FA3A5B" w:rsidP="00FA3A5B">
            <w:pPr>
              <w:pStyle w:val="TableText"/>
            </w:pPr>
          </w:p>
        </w:tc>
        <w:tc>
          <w:tcPr>
            <w:tcW w:w="624" w:type="dxa"/>
          </w:tcPr>
          <w:p w14:paraId="3E599A26" w14:textId="77777777" w:rsidR="00FA3A5B" w:rsidRPr="009D7811" w:rsidRDefault="00FA3A5B" w:rsidP="00FA3A5B">
            <w:pPr>
              <w:pStyle w:val="TableText"/>
            </w:pPr>
          </w:p>
        </w:tc>
        <w:tc>
          <w:tcPr>
            <w:tcW w:w="6519" w:type="dxa"/>
          </w:tcPr>
          <w:p w14:paraId="0E7B6705" w14:textId="574A5025" w:rsidR="00FA3A5B" w:rsidRPr="009D7811" w:rsidRDefault="00FA3A5B" w:rsidP="00FA3A5B">
            <w:pPr>
              <w:pStyle w:val="TableBlock"/>
              <w:rPr>
                <w:rtl/>
              </w:rPr>
            </w:pPr>
            <w:r w:rsidRPr="009D7811">
              <w:rPr>
                <w:rFonts w:hint="cs"/>
                <w:rtl/>
              </w:rPr>
              <w:t>(2)</w:t>
            </w:r>
            <w:r w:rsidRPr="009D7811">
              <w:rPr>
                <w:rtl/>
              </w:rPr>
              <w:tab/>
            </w:r>
            <w:r w:rsidRPr="009D7811">
              <w:rPr>
                <w:rFonts w:hint="cs"/>
                <w:rtl/>
              </w:rPr>
              <w:t>מעסיק שהעביר לאחר את אישור המשטרה או ש</w:t>
            </w:r>
            <w:r w:rsidRPr="009D7811">
              <w:rPr>
                <w:rtl/>
              </w:rPr>
              <w:t>עשה ב</w:t>
            </w:r>
            <w:r w:rsidRPr="009D7811">
              <w:rPr>
                <w:rFonts w:hint="cs"/>
                <w:rtl/>
              </w:rPr>
              <w:t>ו</w:t>
            </w:r>
            <w:r w:rsidRPr="009D7811">
              <w:rPr>
                <w:rtl/>
              </w:rPr>
              <w:t xml:space="preserve"> </w:t>
            </w:r>
            <w:r w:rsidRPr="009D7811">
              <w:rPr>
                <w:rFonts w:hint="cs"/>
                <w:rtl/>
              </w:rPr>
              <w:t xml:space="preserve">או במידע העולה ממנו </w:t>
            </w:r>
            <w:r w:rsidRPr="009D7811">
              <w:rPr>
                <w:rtl/>
              </w:rPr>
              <w:t>שימוש</w:t>
            </w:r>
            <w:r w:rsidRPr="009D7811">
              <w:rPr>
                <w:rFonts w:hint="cs"/>
                <w:rtl/>
              </w:rPr>
              <w:t>, בניגוד להוראות סעיף 3(ו).</w:t>
            </w:r>
          </w:p>
        </w:tc>
      </w:tr>
      <w:tr w:rsidR="00FA3A5B" w:rsidRPr="009D7811" w14:paraId="58778516" w14:textId="77777777" w:rsidTr="00FA3A5B">
        <w:tblPrEx>
          <w:tblLook w:val="01E0" w:firstRow="1" w:lastRow="1" w:firstColumn="1" w:lastColumn="1" w:noHBand="0" w:noVBand="0"/>
        </w:tblPrEx>
        <w:trPr>
          <w:cantSplit/>
        </w:trPr>
        <w:tc>
          <w:tcPr>
            <w:tcW w:w="1870" w:type="dxa"/>
          </w:tcPr>
          <w:p w14:paraId="40971972" w14:textId="77777777" w:rsidR="00FA3A5B" w:rsidRPr="009D7811" w:rsidRDefault="00FA3A5B" w:rsidP="00FA3A5B">
            <w:pPr>
              <w:pStyle w:val="TableSideHeading"/>
            </w:pPr>
          </w:p>
        </w:tc>
        <w:tc>
          <w:tcPr>
            <w:tcW w:w="624" w:type="dxa"/>
          </w:tcPr>
          <w:p w14:paraId="7FB7FA95" w14:textId="77777777" w:rsidR="00FA3A5B" w:rsidRPr="009D7811" w:rsidRDefault="00FA3A5B" w:rsidP="00FA3A5B">
            <w:pPr>
              <w:pStyle w:val="TableText"/>
            </w:pPr>
          </w:p>
        </w:tc>
        <w:tc>
          <w:tcPr>
            <w:tcW w:w="7143" w:type="dxa"/>
            <w:gridSpan w:val="2"/>
          </w:tcPr>
          <w:p w14:paraId="501533F8" w14:textId="58F1925A" w:rsidR="00FA3A5B" w:rsidRPr="009D7811" w:rsidRDefault="00FA3A5B" w:rsidP="00FA3A5B">
            <w:pPr>
              <w:pStyle w:val="TableBlock"/>
            </w:pPr>
            <w:r w:rsidRPr="009D7811">
              <w:rPr>
                <w:rtl/>
              </w:rPr>
              <w:t>(</w:t>
            </w:r>
            <w:r w:rsidRPr="009D7811">
              <w:rPr>
                <w:rFonts w:hint="cs"/>
                <w:rtl/>
              </w:rPr>
              <w:t>ג</w:t>
            </w:r>
            <w:r w:rsidRPr="009D7811">
              <w:rPr>
                <w:rtl/>
              </w:rPr>
              <w:t>)</w:t>
            </w:r>
            <w:r w:rsidRPr="009D7811">
              <w:rPr>
                <w:rtl/>
              </w:rPr>
              <w:tab/>
            </w:r>
            <w:r w:rsidRPr="009D7811">
              <w:rPr>
                <w:rFonts w:hint="cs"/>
                <w:rtl/>
              </w:rPr>
              <w:t xml:space="preserve">אדם שהעביר לאחר את אישור המשטרה או רשימת מועסקים או </w:t>
            </w:r>
            <w:r>
              <w:rPr>
                <w:rFonts w:hint="cs"/>
                <w:rtl/>
              </w:rPr>
              <w:t>ש</w:t>
            </w:r>
            <w:r w:rsidRPr="009D7811">
              <w:rPr>
                <w:rtl/>
              </w:rPr>
              <w:t>עשה ב</w:t>
            </w:r>
            <w:r w:rsidRPr="009D7811">
              <w:rPr>
                <w:rFonts w:hint="cs"/>
                <w:rtl/>
              </w:rPr>
              <w:t>ה</w:t>
            </w:r>
            <w:r w:rsidRPr="009D7811">
              <w:rPr>
                <w:rtl/>
              </w:rPr>
              <w:t xml:space="preserve"> </w:t>
            </w:r>
            <w:r w:rsidRPr="009D7811">
              <w:rPr>
                <w:rFonts w:hint="cs"/>
                <w:rtl/>
              </w:rPr>
              <w:t xml:space="preserve">או במידע העולה ממנה </w:t>
            </w:r>
            <w:r w:rsidRPr="009D7811">
              <w:rPr>
                <w:rtl/>
              </w:rPr>
              <w:t>שימוש</w:t>
            </w:r>
            <w:r w:rsidRPr="009D7811">
              <w:rPr>
                <w:rFonts w:hint="cs"/>
                <w:rtl/>
              </w:rPr>
              <w:t xml:space="preserve">, בניגוד </w:t>
            </w:r>
            <w:r w:rsidRPr="009D7811">
              <w:rPr>
                <w:rFonts w:hint="eastAsia"/>
                <w:rtl/>
              </w:rPr>
              <w:t>להוראות</w:t>
            </w:r>
            <w:r w:rsidRPr="009D7811">
              <w:rPr>
                <w:rtl/>
              </w:rPr>
              <w:t xml:space="preserve"> סעיף 4(</w:t>
            </w:r>
            <w:r w:rsidRPr="009D7811">
              <w:rPr>
                <w:rFonts w:hint="eastAsia"/>
                <w:rtl/>
              </w:rPr>
              <w:t>ז</w:t>
            </w:r>
            <w:r w:rsidRPr="009D7811">
              <w:rPr>
                <w:rtl/>
              </w:rPr>
              <w:t>), דינו – קנס כאמור בסעיף 61(א)(2) לחוק העונשין</w:t>
            </w:r>
            <w:r w:rsidRPr="009D7811">
              <w:rPr>
                <w:rFonts w:hint="cs"/>
                <w:rtl/>
              </w:rPr>
              <w:t>.</w:t>
            </w:r>
          </w:p>
        </w:tc>
      </w:tr>
      <w:tr w:rsidR="00FA3A5B" w:rsidRPr="009D7811" w14:paraId="2B3425E9" w14:textId="77777777" w:rsidTr="00FA3A5B">
        <w:trPr>
          <w:cantSplit/>
        </w:trPr>
        <w:tc>
          <w:tcPr>
            <w:tcW w:w="1870" w:type="dxa"/>
            <w:shd w:val="clear" w:color="auto" w:fill="auto"/>
            <w:tcMar>
              <w:top w:w="91" w:type="dxa"/>
              <w:left w:w="0" w:type="dxa"/>
              <w:bottom w:w="91" w:type="dxa"/>
              <w:right w:w="0" w:type="dxa"/>
            </w:tcMar>
          </w:tcPr>
          <w:p w14:paraId="7C398E95" w14:textId="77777777" w:rsidR="00FA3A5B" w:rsidRPr="009D7811" w:rsidRDefault="00FA3A5B" w:rsidP="00FA3A5B">
            <w:pPr>
              <w:pStyle w:val="TableSideHeading"/>
              <w:rPr>
                <w:rtl/>
              </w:rPr>
            </w:pPr>
            <w:r w:rsidRPr="009D7811">
              <w:rPr>
                <w:rtl/>
              </w:rPr>
              <w:t>סייג לאחריות פלילית</w:t>
            </w:r>
          </w:p>
        </w:tc>
        <w:tc>
          <w:tcPr>
            <w:tcW w:w="624" w:type="dxa"/>
            <w:shd w:val="clear" w:color="auto" w:fill="auto"/>
            <w:tcMar>
              <w:top w:w="91" w:type="dxa"/>
              <w:left w:w="0" w:type="dxa"/>
              <w:bottom w:w="91" w:type="dxa"/>
              <w:right w:w="0" w:type="dxa"/>
            </w:tcMar>
          </w:tcPr>
          <w:p w14:paraId="471FD20E" w14:textId="77777777" w:rsidR="00FA3A5B" w:rsidRPr="009D7811" w:rsidRDefault="00FA3A5B" w:rsidP="00FA3A5B">
            <w:pPr>
              <w:pStyle w:val="TableText"/>
              <w:rPr>
                <w:rtl/>
              </w:rPr>
            </w:pPr>
            <w:r w:rsidRPr="009D7811">
              <w:rPr>
                <w:rtl/>
              </w:rPr>
              <w:t>7.</w:t>
            </w:r>
          </w:p>
        </w:tc>
        <w:tc>
          <w:tcPr>
            <w:tcW w:w="7143" w:type="dxa"/>
            <w:gridSpan w:val="2"/>
            <w:shd w:val="clear" w:color="auto" w:fill="auto"/>
            <w:tcMar>
              <w:top w:w="91" w:type="dxa"/>
              <w:left w:w="0" w:type="dxa"/>
              <w:bottom w:w="91" w:type="dxa"/>
              <w:right w:w="0" w:type="dxa"/>
            </w:tcMar>
          </w:tcPr>
          <w:p w14:paraId="2ACA3A87" w14:textId="77777777" w:rsidR="00FA3A5B" w:rsidRPr="009D7811" w:rsidRDefault="00FA3A5B" w:rsidP="00FA3A5B">
            <w:pPr>
              <w:pStyle w:val="TableBlock"/>
              <w:rPr>
                <w:rtl/>
              </w:rPr>
            </w:pPr>
            <w:r w:rsidRPr="009D7811">
              <w:rPr>
                <w:rtl/>
              </w:rPr>
              <w:t>(א)</w:t>
            </w:r>
            <w:r w:rsidRPr="009D7811">
              <w:rPr>
                <w:rtl/>
              </w:rPr>
              <w:tab/>
              <w:t>מעסיק שהעסיק בגיר בלא אישור המשטרה לא יישא באחריות פלילית לפי סעיף 6(א) אם ההעסקה הייתה בנסיבות מיוחדות שבהן לא היה סיפק בידו לקבל את האישור, ובלבד שהעסקת הבגיר הייתה למשך זמן סביר באותן נסיבות, שאינו עולה על 30 ימים, והמעסיק פעל בלא דיחוי לקבל את אישור המשטרה לפי הסעיף האמור</w:t>
            </w:r>
            <w:r w:rsidRPr="009D7811">
              <w:rPr>
                <w:rFonts w:hint="cs"/>
                <w:rtl/>
              </w:rPr>
              <w:t xml:space="preserve">; ואולם, בעשר השנים מיום תחילתו של חוק זה, יקראו את האמור כך שהמילה "מיוחדות" </w:t>
            </w:r>
            <w:r w:rsidRPr="009D7811">
              <w:rPr>
                <w:rFonts w:hint="eastAsia"/>
                <w:rtl/>
              </w:rPr>
              <w:t>–</w:t>
            </w:r>
            <w:r w:rsidRPr="009D7811">
              <w:rPr>
                <w:rFonts w:hint="cs"/>
                <w:rtl/>
              </w:rPr>
              <w:t xml:space="preserve"> לא תיקרא, ובמקום "30" יבוא "90".</w:t>
            </w:r>
          </w:p>
        </w:tc>
      </w:tr>
      <w:tr w:rsidR="00FA3A5B" w:rsidRPr="009D7811" w14:paraId="08A20B6A" w14:textId="77777777" w:rsidTr="00FA3A5B">
        <w:trPr>
          <w:cantSplit/>
        </w:trPr>
        <w:tc>
          <w:tcPr>
            <w:tcW w:w="1870" w:type="dxa"/>
            <w:shd w:val="clear" w:color="auto" w:fill="auto"/>
            <w:tcMar>
              <w:top w:w="91" w:type="dxa"/>
              <w:left w:w="0" w:type="dxa"/>
              <w:bottom w:w="91" w:type="dxa"/>
              <w:right w:w="0" w:type="dxa"/>
            </w:tcMar>
          </w:tcPr>
          <w:p w14:paraId="0A9F1F75"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15868DBE"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65F87B60" w14:textId="77777777" w:rsidR="00FA3A5B" w:rsidRPr="009D7811" w:rsidRDefault="00FA3A5B" w:rsidP="00FA3A5B">
            <w:pPr>
              <w:pStyle w:val="TableBlock"/>
              <w:rPr>
                <w:rtl/>
              </w:rPr>
            </w:pPr>
            <w:r w:rsidRPr="009D7811">
              <w:rPr>
                <w:rtl/>
              </w:rPr>
              <w:t>(ב)</w:t>
            </w:r>
            <w:r w:rsidRPr="009D7811">
              <w:rPr>
                <w:rtl/>
              </w:rPr>
              <w:tab/>
              <w:t>מעסיק המקבל שירותים ממעסיק אחר שהוא מוסד לא יישא באחריות פלילית לפי סעיף 6(א) אם וידא שהמוסד קיבל אישור כנדרש לפי אותו סעיף.</w:t>
            </w:r>
          </w:p>
        </w:tc>
      </w:tr>
      <w:tr w:rsidR="00FA3A5B" w:rsidRPr="009D7811" w14:paraId="40803D30" w14:textId="77777777" w:rsidTr="00FA3A5B">
        <w:trPr>
          <w:cantSplit/>
        </w:trPr>
        <w:tc>
          <w:tcPr>
            <w:tcW w:w="1870" w:type="dxa"/>
            <w:shd w:val="clear" w:color="auto" w:fill="auto"/>
            <w:tcMar>
              <w:top w:w="91" w:type="dxa"/>
              <w:left w:w="0" w:type="dxa"/>
              <w:bottom w:w="91" w:type="dxa"/>
              <w:right w:w="0" w:type="dxa"/>
            </w:tcMar>
          </w:tcPr>
          <w:p w14:paraId="4B9C8672" w14:textId="77777777" w:rsidR="00FA3A5B" w:rsidRPr="009D7811" w:rsidRDefault="00FA3A5B" w:rsidP="00FA3A5B">
            <w:pPr>
              <w:pStyle w:val="TableSideHeading"/>
              <w:rPr>
                <w:rtl/>
              </w:rPr>
            </w:pPr>
            <w:r w:rsidRPr="009D7811">
              <w:rPr>
                <w:rtl/>
              </w:rPr>
              <w:t>העסקה באמצעות קבלן כוח אדם</w:t>
            </w:r>
          </w:p>
        </w:tc>
        <w:tc>
          <w:tcPr>
            <w:tcW w:w="624" w:type="dxa"/>
            <w:shd w:val="clear" w:color="auto" w:fill="auto"/>
            <w:tcMar>
              <w:top w:w="91" w:type="dxa"/>
              <w:left w:w="0" w:type="dxa"/>
              <w:bottom w:w="91" w:type="dxa"/>
              <w:right w:w="0" w:type="dxa"/>
            </w:tcMar>
          </w:tcPr>
          <w:p w14:paraId="4EDEB24F" w14:textId="77777777" w:rsidR="00FA3A5B" w:rsidRPr="009D7811" w:rsidRDefault="00FA3A5B" w:rsidP="00FA3A5B">
            <w:pPr>
              <w:pStyle w:val="TableText"/>
              <w:rPr>
                <w:rtl/>
              </w:rPr>
            </w:pPr>
            <w:r w:rsidRPr="009D7811">
              <w:rPr>
                <w:rtl/>
              </w:rPr>
              <w:t>8.</w:t>
            </w:r>
          </w:p>
        </w:tc>
        <w:tc>
          <w:tcPr>
            <w:tcW w:w="7143" w:type="dxa"/>
            <w:gridSpan w:val="2"/>
            <w:shd w:val="clear" w:color="auto" w:fill="auto"/>
            <w:tcMar>
              <w:top w:w="91" w:type="dxa"/>
              <w:left w:w="0" w:type="dxa"/>
              <w:bottom w:w="91" w:type="dxa"/>
              <w:right w:w="0" w:type="dxa"/>
            </w:tcMar>
          </w:tcPr>
          <w:p w14:paraId="506B53F2" w14:textId="77777777" w:rsidR="00FA3A5B" w:rsidRPr="009D7811" w:rsidRDefault="00FA3A5B" w:rsidP="00FA3A5B">
            <w:pPr>
              <w:pStyle w:val="TableBlock"/>
              <w:rPr>
                <w:rtl/>
              </w:rPr>
            </w:pPr>
            <w:r w:rsidRPr="009D7811">
              <w:rPr>
                <w:rtl/>
              </w:rPr>
              <w:t>הוראות חוק זה החלות על מעסיק יחולו גם על מעסיק בפועל של בגיר באמצעות קבלן כוח אדם, ועל בגיר המועסק כאמור.</w:t>
            </w:r>
          </w:p>
        </w:tc>
      </w:tr>
      <w:tr w:rsidR="00FA3A5B" w:rsidRPr="009D7811" w14:paraId="57E11EFF" w14:textId="77777777" w:rsidTr="00FA3A5B">
        <w:trPr>
          <w:cantSplit/>
        </w:trPr>
        <w:tc>
          <w:tcPr>
            <w:tcW w:w="1870" w:type="dxa"/>
            <w:shd w:val="clear" w:color="auto" w:fill="auto"/>
            <w:tcMar>
              <w:top w:w="91" w:type="dxa"/>
              <w:left w:w="0" w:type="dxa"/>
              <w:bottom w:w="91" w:type="dxa"/>
              <w:right w:w="0" w:type="dxa"/>
            </w:tcMar>
          </w:tcPr>
          <w:p w14:paraId="12B81EDA" w14:textId="77777777" w:rsidR="00FA3A5B" w:rsidRPr="009D7811" w:rsidRDefault="00FA3A5B" w:rsidP="00FA3A5B">
            <w:pPr>
              <w:pStyle w:val="TableSideHeading"/>
              <w:rPr>
                <w:rtl/>
              </w:rPr>
            </w:pPr>
            <w:r w:rsidRPr="009D7811">
              <w:rPr>
                <w:rtl/>
              </w:rPr>
              <w:t xml:space="preserve">פיטורים </w:t>
            </w:r>
          </w:p>
        </w:tc>
        <w:tc>
          <w:tcPr>
            <w:tcW w:w="624" w:type="dxa"/>
            <w:shd w:val="clear" w:color="auto" w:fill="auto"/>
            <w:tcMar>
              <w:top w:w="91" w:type="dxa"/>
              <w:left w:w="0" w:type="dxa"/>
              <w:bottom w:w="91" w:type="dxa"/>
              <w:right w:w="0" w:type="dxa"/>
            </w:tcMar>
          </w:tcPr>
          <w:p w14:paraId="3C843E74" w14:textId="77777777" w:rsidR="00FA3A5B" w:rsidRPr="009D7811" w:rsidRDefault="00FA3A5B" w:rsidP="00FA3A5B">
            <w:pPr>
              <w:pStyle w:val="TableText"/>
              <w:rPr>
                <w:rtl/>
              </w:rPr>
            </w:pPr>
            <w:r w:rsidRPr="009D7811">
              <w:rPr>
                <w:rtl/>
              </w:rPr>
              <w:t>9.</w:t>
            </w:r>
          </w:p>
        </w:tc>
        <w:tc>
          <w:tcPr>
            <w:tcW w:w="7143" w:type="dxa"/>
            <w:gridSpan w:val="2"/>
            <w:shd w:val="clear" w:color="auto" w:fill="auto"/>
            <w:tcMar>
              <w:top w:w="91" w:type="dxa"/>
              <w:left w:w="0" w:type="dxa"/>
              <w:bottom w:w="91" w:type="dxa"/>
              <w:right w:w="0" w:type="dxa"/>
            </w:tcMar>
          </w:tcPr>
          <w:p w14:paraId="385CB6E4" w14:textId="77777777" w:rsidR="00FA3A5B" w:rsidRPr="009D7811" w:rsidRDefault="00FA3A5B" w:rsidP="00FA3A5B">
            <w:pPr>
              <w:pStyle w:val="TableBlock"/>
              <w:rPr>
                <w:rtl/>
              </w:rPr>
            </w:pPr>
            <w:r w:rsidRPr="009D7811">
              <w:rPr>
                <w:rtl/>
              </w:rPr>
              <w:t xml:space="preserve">הופסקה עבודתו של עובד לפי הוראות סעיף 2 ובשל כך הוא פוטר בידי מעסיקו, יהיה המעסיק, על אף הוראות כל דין, הסכם קיבוצי או חוזה עבודה, פטור ממתן הודעה מוקדמת לפיטורים; העובד יהיה זכאי לפיצויי פיטורים לפי חוק פיצויי פיטורים, </w:t>
            </w:r>
            <w:proofErr w:type="spellStart"/>
            <w:r w:rsidRPr="009D7811">
              <w:rPr>
                <w:rtl/>
              </w:rPr>
              <w:t>התשכ"ג</w:t>
            </w:r>
            <w:proofErr w:type="spellEnd"/>
            <w:r w:rsidRPr="009D7811">
              <w:rPr>
                <w:rtl/>
              </w:rPr>
              <w:t>–1963‏</w:t>
            </w:r>
            <w:r w:rsidRPr="00FA3A5B">
              <w:rPr>
                <w:rStyle w:val="aa"/>
                <w:rFonts w:ascii="David" w:hAnsi="David"/>
                <w:sz w:val="26"/>
                <w:rtl/>
              </w:rPr>
              <w:footnoteReference w:id="7"/>
            </w:r>
            <w:r w:rsidRPr="009D7811">
              <w:rPr>
                <w:rtl/>
              </w:rPr>
              <w:t>, זולת אם בית הדין האזורי לעבודה קבע כי הפיטורים היו בנסיבות מיוחדות, שאינן מצדיקות מתן פיצויי פיטורים, כולם או חלקם.</w:t>
            </w:r>
          </w:p>
        </w:tc>
      </w:tr>
      <w:tr w:rsidR="00FA3A5B" w:rsidRPr="009D7811" w14:paraId="622B3039" w14:textId="77777777" w:rsidTr="00FA3A5B">
        <w:trPr>
          <w:cantSplit/>
        </w:trPr>
        <w:tc>
          <w:tcPr>
            <w:tcW w:w="1870" w:type="dxa"/>
            <w:shd w:val="clear" w:color="auto" w:fill="auto"/>
            <w:tcMar>
              <w:top w:w="91" w:type="dxa"/>
              <w:left w:w="0" w:type="dxa"/>
              <w:bottom w:w="91" w:type="dxa"/>
              <w:right w:w="0" w:type="dxa"/>
            </w:tcMar>
          </w:tcPr>
          <w:p w14:paraId="726EF221" w14:textId="77777777" w:rsidR="00FA3A5B" w:rsidRPr="009D7811" w:rsidRDefault="00FA3A5B" w:rsidP="00FA3A5B">
            <w:pPr>
              <w:pStyle w:val="TableSideHeading"/>
              <w:rPr>
                <w:rtl/>
              </w:rPr>
            </w:pPr>
            <w:r w:rsidRPr="009D7811">
              <w:rPr>
                <w:rtl/>
              </w:rPr>
              <w:t xml:space="preserve">סמכות בית הדין לעבודה </w:t>
            </w:r>
          </w:p>
        </w:tc>
        <w:tc>
          <w:tcPr>
            <w:tcW w:w="624" w:type="dxa"/>
            <w:shd w:val="clear" w:color="auto" w:fill="auto"/>
            <w:tcMar>
              <w:top w:w="91" w:type="dxa"/>
              <w:left w:w="0" w:type="dxa"/>
              <w:bottom w:w="91" w:type="dxa"/>
              <w:right w:w="0" w:type="dxa"/>
            </w:tcMar>
          </w:tcPr>
          <w:p w14:paraId="254BBF7F" w14:textId="77777777" w:rsidR="00FA3A5B" w:rsidRPr="009D7811" w:rsidRDefault="00FA3A5B" w:rsidP="00FA3A5B">
            <w:pPr>
              <w:pStyle w:val="TableText"/>
              <w:rPr>
                <w:rtl/>
              </w:rPr>
            </w:pPr>
            <w:r w:rsidRPr="009D7811">
              <w:rPr>
                <w:rtl/>
              </w:rPr>
              <w:t>10.</w:t>
            </w:r>
          </w:p>
        </w:tc>
        <w:tc>
          <w:tcPr>
            <w:tcW w:w="7143" w:type="dxa"/>
            <w:gridSpan w:val="2"/>
            <w:shd w:val="clear" w:color="auto" w:fill="auto"/>
            <w:tcMar>
              <w:top w:w="91" w:type="dxa"/>
              <w:left w:w="0" w:type="dxa"/>
              <w:bottom w:w="91" w:type="dxa"/>
              <w:right w:w="0" w:type="dxa"/>
            </w:tcMar>
          </w:tcPr>
          <w:p w14:paraId="65FE2701" w14:textId="77777777" w:rsidR="00FA3A5B" w:rsidRPr="009D7811" w:rsidRDefault="00FA3A5B" w:rsidP="00FA3A5B">
            <w:pPr>
              <w:pStyle w:val="TableBlock"/>
              <w:rPr>
                <w:rtl/>
              </w:rPr>
            </w:pPr>
            <w:r w:rsidRPr="009D7811">
              <w:rPr>
                <w:rtl/>
              </w:rPr>
              <w:t>לבית הדין לעבודה תהיה סמכות ייחודית לדון בעניין הנוגע להפסקת עבודה או לפיטורים לפי חוק זה.</w:t>
            </w:r>
          </w:p>
        </w:tc>
      </w:tr>
      <w:tr w:rsidR="00FA3A5B" w:rsidRPr="009D7811" w14:paraId="408CDDE0" w14:textId="77777777" w:rsidTr="00FA3A5B">
        <w:trPr>
          <w:cantSplit/>
        </w:trPr>
        <w:tc>
          <w:tcPr>
            <w:tcW w:w="1870" w:type="dxa"/>
            <w:shd w:val="clear" w:color="auto" w:fill="auto"/>
            <w:tcMar>
              <w:top w:w="91" w:type="dxa"/>
              <w:left w:w="0" w:type="dxa"/>
              <w:bottom w:w="91" w:type="dxa"/>
              <w:right w:w="0" w:type="dxa"/>
            </w:tcMar>
          </w:tcPr>
          <w:p w14:paraId="2DE5D2E6" w14:textId="77777777" w:rsidR="00FA3A5B" w:rsidRPr="009D7811" w:rsidRDefault="00FA3A5B" w:rsidP="00FA3A5B">
            <w:pPr>
              <w:pStyle w:val="TableSideHeading"/>
              <w:rPr>
                <w:rtl/>
              </w:rPr>
            </w:pPr>
            <w:r w:rsidRPr="009D7811">
              <w:rPr>
                <w:rtl/>
              </w:rPr>
              <w:t>מרשם פלילי</w:t>
            </w:r>
          </w:p>
        </w:tc>
        <w:tc>
          <w:tcPr>
            <w:tcW w:w="624" w:type="dxa"/>
            <w:shd w:val="clear" w:color="auto" w:fill="auto"/>
            <w:tcMar>
              <w:top w:w="91" w:type="dxa"/>
              <w:left w:w="0" w:type="dxa"/>
              <w:bottom w:w="91" w:type="dxa"/>
              <w:right w:w="0" w:type="dxa"/>
            </w:tcMar>
          </w:tcPr>
          <w:p w14:paraId="64D89360" w14:textId="77777777" w:rsidR="00FA3A5B" w:rsidRPr="009D7811" w:rsidRDefault="00FA3A5B" w:rsidP="00FA3A5B">
            <w:pPr>
              <w:pStyle w:val="TableText"/>
              <w:rPr>
                <w:rtl/>
              </w:rPr>
            </w:pPr>
            <w:r w:rsidRPr="009D7811">
              <w:rPr>
                <w:rtl/>
              </w:rPr>
              <w:t>11.</w:t>
            </w:r>
          </w:p>
        </w:tc>
        <w:tc>
          <w:tcPr>
            <w:tcW w:w="7143" w:type="dxa"/>
            <w:gridSpan w:val="2"/>
            <w:shd w:val="clear" w:color="auto" w:fill="auto"/>
            <w:tcMar>
              <w:top w:w="91" w:type="dxa"/>
              <w:left w:w="0" w:type="dxa"/>
              <w:bottom w:w="91" w:type="dxa"/>
              <w:right w:w="0" w:type="dxa"/>
            </w:tcMar>
          </w:tcPr>
          <w:p w14:paraId="639AB133" w14:textId="77777777" w:rsidR="00FA3A5B" w:rsidRPr="009D7811" w:rsidRDefault="00FA3A5B" w:rsidP="00FA3A5B">
            <w:pPr>
              <w:pStyle w:val="TableBlock"/>
              <w:rPr>
                <w:rtl/>
              </w:rPr>
            </w:pPr>
            <w:r w:rsidRPr="009D7811">
              <w:rPr>
                <w:rtl/>
              </w:rPr>
              <w:t>(א)</w:t>
            </w:r>
            <w:r w:rsidRPr="009D7811">
              <w:rPr>
                <w:rtl/>
              </w:rPr>
              <w:tab/>
              <w:t>אין בהוראות חוק זה כדי לגרוע מהוראות חוק המידע הפלילי לעניין מסירת מידע למי שזכאי לקבלו.</w:t>
            </w:r>
          </w:p>
        </w:tc>
      </w:tr>
      <w:tr w:rsidR="00FA3A5B" w:rsidRPr="009D7811" w14:paraId="4908F4A8" w14:textId="77777777" w:rsidTr="00FA3A5B">
        <w:trPr>
          <w:cantSplit/>
        </w:trPr>
        <w:tc>
          <w:tcPr>
            <w:tcW w:w="1870" w:type="dxa"/>
            <w:shd w:val="clear" w:color="auto" w:fill="auto"/>
            <w:tcMar>
              <w:top w:w="91" w:type="dxa"/>
              <w:left w:w="0" w:type="dxa"/>
              <w:bottom w:w="91" w:type="dxa"/>
              <w:right w:w="0" w:type="dxa"/>
            </w:tcMar>
          </w:tcPr>
          <w:p w14:paraId="7728A6E0"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6D96CAAB"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4CEA0685" w14:textId="77777777" w:rsidR="00FA3A5B" w:rsidRPr="009D7811" w:rsidRDefault="00FA3A5B" w:rsidP="00FA3A5B">
            <w:pPr>
              <w:pStyle w:val="TableBlock"/>
              <w:rPr>
                <w:rtl/>
              </w:rPr>
            </w:pPr>
            <w:r w:rsidRPr="009D7811">
              <w:rPr>
                <w:rtl/>
              </w:rPr>
              <w:t>(ב)</w:t>
            </w:r>
            <w:r w:rsidRPr="009D7811">
              <w:rPr>
                <w:rtl/>
              </w:rPr>
              <w:tab/>
              <w:t>על אף הוראות סעיף קטן (א), אין בהוראות חוק המידע הפלילי כדי לפגוע בהוראות סעיפים 2</w:t>
            </w:r>
            <w:r w:rsidRPr="009D7811">
              <w:rPr>
                <w:rFonts w:hint="cs"/>
                <w:rtl/>
              </w:rPr>
              <w:t xml:space="preserve"> ו־3</w:t>
            </w:r>
            <w:r w:rsidRPr="009D7811">
              <w:rPr>
                <w:rtl/>
              </w:rPr>
              <w:t xml:space="preserve"> לחוק זה.</w:t>
            </w:r>
          </w:p>
        </w:tc>
      </w:tr>
      <w:tr w:rsidR="00FA3A5B" w:rsidRPr="009D7811" w14:paraId="702169D8" w14:textId="77777777" w:rsidTr="00FA3A5B">
        <w:tblPrEx>
          <w:tblLook w:val="01E0" w:firstRow="1" w:lastRow="1" w:firstColumn="1" w:lastColumn="1" w:noHBand="0" w:noVBand="0"/>
        </w:tblPrEx>
        <w:trPr>
          <w:cantSplit/>
        </w:trPr>
        <w:tc>
          <w:tcPr>
            <w:tcW w:w="1870" w:type="dxa"/>
          </w:tcPr>
          <w:p w14:paraId="779EB0C9" w14:textId="77777777" w:rsidR="00FA3A5B" w:rsidRPr="009D7811" w:rsidRDefault="00FA3A5B" w:rsidP="00FA3A5B">
            <w:pPr>
              <w:pStyle w:val="TableSideHeading"/>
              <w:keepLines w:val="0"/>
              <w:ind w:right="-28"/>
            </w:pPr>
            <w:r w:rsidRPr="009D7811">
              <w:rPr>
                <w:rFonts w:hint="eastAsia"/>
                <w:rtl/>
              </w:rPr>
              <w:t>ביצוע</w:t>
            </w:r>
            <w:r w:rsidRPr="009D7811">
              <w:rPr>
                <w:rtl/>
              </w:rPr>
              <w:t xml:space="preserve"> ותקנות </w:t>
            </w:r>
          </w:p>
        </w:tc>
        <w:tc>
          <w:tcPr>
            <w:tcW w:w="624" w:type="dxa"/>
          </w:tcPr>
          <w:p w14:paraId="1DF11478" w14:textId="77777777" w:rsidR="00FA3A5B" w:rsidRPr="009D7811" w:rsidRDefault="00FA3A5B" w:rsidP="00FA3A5B">
            <w:pPr>
              <w:pStyle w:val="TableText"/>
              <w:keepLines w:val="0"/>
              <w:ind w:right="-28"/>
            </w:pPr>
            <w:r w:rsidRPr="009D7811">
              <w:rPr>
                <w:rFonts w:hint="cs"/>
                <w:rtl/>
              </w:rPr>
              <w:t>12</w:t>
            </w:r>
            <w:r w:rsidRPr="009D7811">
              <w:rPr>
                <w:rtl/>
              </w:rPr>
              <w:t xml:space="preserve">. </w:t>
            </w:r>
          </w:p>
        </w:tc>
        <w:tc>
          <w:tcPr>
            <w:tcW w:w="7143" w:type="dxa"/>
            <w:gridSpan w:val="2"/>
          </w:tcPr>
          <w:p w14:paraId="44AB0667" w14:textId="46886AA6" w:rsidR="00FA3A5B" w:rsidRPr="009D7811" w:rsidRDefault="00FA3A5B" w:rsidP="00FA3A5B">
            <w:pPr>
              <w:pStyle w:val="TableBlock"/>
            </w:pPr>
            <w:r w:rsidRPr="009D7811">
              <w:rPr>
                <w:rtl/>
              </w:rPr>
              <w:t>(א)</w:t>
            </w:r>
            <w:r w:rsidRPr="009D7811">
              <w:rPr>
                <w:rtl/>
              </w:rPr>
              <w:tab/>
              <w:t xml:space="preserve">השר לביטחון </w:t>
            </w:r>
            <w:r w:rsidRPr="009D7811">
              <w:rPr>
                <w:rFonts w:hint="eastAsia"/>
                <w:rtl/>
              </w:rPr>
              <w:t>לאומי</w:t>
            </w:r>
            <w:r w:rsidRPr="009D7811">
              <w:rPr>
                <w:rtl/>
              </w:rPr>
              <w:t xml:space="preserve"> ממונה על ביצוע חוק זה</w:t>
            </w:r>
            <w:r w:rsidRPr="009D7811">
              <w:rPr>
                <w:rFonts w:hint="cs"/>
                <w:rtl/>
              </w:rPr>
              <w:t>,</w:t>
            </w:r>
            <w:r w:rsidRPr="009D7811">
              <w:rPr>
                <w:rtl/>
              </w:rPr>
              <w:t xml:space="preserve"> והוא רשאי, באישור הוועדה לביטחון לאומי של הכנסת, להתקין תקנות בכל ענ</w:t>
            </w:r>
            <w:r>
              <w:rPr>
                <w:rFonts w:hint="cs"/>
                <w:rtl/>
              </w:rPr>
              <w:t>י</w:t>
            </w:r>
            <w:r w:rsidRPr="009D7811">
              <w:rPr>
                <w:rtl/>
              </w:rPr>
              <w:t xml:space="preserve">ין הנוגע לביצועו, </w:t>
            </w:r>
            <w:r w:rsidRPr="009D7811">
              <w:rPr>
                <w:rFonts w:hint="cs"/>
                <w:rtl/>
              </w:rPr>
              <w:t xml:space="preserve">לרבות </w:t>
            </w:r>
            <w:r w:rsidRPr="009D7811">
              <w:rPr>
                <w:rtl/>
              </w:rPr>
              <w:t>סדרי הגשת בקשות לקבלת אישור המשטרה ולמעט לענ</w:t>
            </w:r>
            <w:r w:rsidRPr="009D7811">
              <w:rPr>
                <w:rFonts w:hint="eastAsia"/>
                <w:rtl/>
              </w:rPr>
              <w:t>י</w:t>
            </w:r>
            <w:r w:rsidRPr="009D7811">
              <w:rPr>
                <w:rtl/>
              </w:rPr>
              <w:t>ין סעיף 5.</w:t>
            </w:r>
          </w:p>
        </w:tc>
      </w:tr>
      <w:tr w:rsidR="00FA3A5B" w:rsidRPr="009D7811" w14:paraId="27B20C6C" w14:textId="77777777" w:rsidTr="00FA3A5B">
        <w:tblPrEx>
          <w:tblLook w:val="01E0" w:firstRow="1" w:lastRow="1" w:firstColumn="1" w:lastColumn="1" w:noHBand="0" w:noVBand="0"/>
        </w:tblPrEx>
        <w:trPr>
          <w:cantSplit/>
        </w:trPr>
        <w:tc>
          <w:tcPr>
            <w:tcW w:w="1870" w:type="dxa"/>
          </w:tcPr>
          <w:p w14:paraId="4CE667CC" w14:textId="77777777" w:rsidR="00FA3A5B" w:rsidRPr="009D7811" w:rsidRDefault="00FA3A5B" w:rsidP="00FA3A5B">
            <w:pPr>
              <w:pStyle w:val="TableSideHeading"/>
              <w:keepLines w:val="0"/>
              <w:ind w:right="-28"/>
            </w:pPr>
          </w:p>
        </w:tc>
        <w:tc>
          <w:tcPr>
            <w:tcW w:w="624" w:type="dxa"/>
          </w:tcPr>
          <w:p w14:paraId="3E28DF57" w14:textId="77777777" w:rsidR="00FA3A5B" w:rsidRPr="009D7811" w:rsidRDefault="00FA3A5B" w:rsidP="00FA3A5B">
            <w:pPr>
              <w:pStyle w:val="TableText"/>
              <w:keepLines w:val="0"/>
              <w:ind w:right="-28"/>
            </w:pPr>
          </w:p>
        </w:tc>
        <w:tc>
          <w:tcPr>
            <w:tcW w:w="7143" w:type="dxa"/>
            <w:gridSpan w:val="2"/>
          </w:tcPr>
          <w:p w14:paraId="410CEB77" w14:textId="77777777" w:rsidR="00FA3A5B" w:rsidRPr="009D7811" w:rsidRDefault="00FA3A5B" w:rsidP="00FA3A5B">
            <w:pPr>
              <w:pStyle w:val="TableBlock"/>
            </w:pPr>
            <w:r w:rsidRPr="009D7811">
              <w:rPr>
                <w:rFonts w:hint="cs"/>
                <w:rtl/>
              </w:rPr>
              <w:t>(ב)</w:t>
            </w:r>
            <w:r w:rsidRPr="009D7811">
              <w:rPr>
                <w:rtl/>
              </w:rPr>
              <w:tab/>
            </w:r>
            <w:r w:rsidRPr="009D7811">
              <w:rPr>
                <w:rFonts w:hint="cs"/>
                <w:rtl/>
              </w:rPr>
              <w:t xml:space="preserve">לעניין סעיף 5, </w:t>
            </w:r>
            <w:r w:rsidRPr="009D7811">
              <w:rPr>
                <w:rtl/>
              </w:rPr>
              <w:t xml:space="preserve">שר המשפטים, בהתייעצות עם שר הרווחה והביטחון החברתי </w:t>
            </w:r>
            <w:r w:rsidRPr="009D7811">
              <w:rPr>
                <w:rFonts w:hint="cs"/>
                <w:rtl/>
              </w:rPr>
              <w:t xml:space="preserve">ועם שר הבריאות </w:t>
            </w:r>
            <w:r w:rsidRPr="009D7811">
              <w:rPr>
                <w:rtl/>
              </w:rPr>
              <w:t>ובאישור הוועדה לביטחון לאומי של הכנסת</w:t>
            </w:r>
            <w:r w:rsidRPr="009D7811">
              <w:rPr>
                <w:rFonts w:hint="cs"/>
                <w:rtl/>
              </w:rPr>
              <w:t xml:space="preserve"> </w:t>
            </w:r>
            <w:r w:rsidRPr="009D7811">
              <w:rPr>
                <w:rFonts w:hint="eastAsia"/>
                <w:rtl/>
              </w:rPr>
              <w:t>–</w:t>
            </w:r>
          </w:p>
        </w:tc>
      </w:tr>
      <w:tr w:rsidR="00FA3A5B" w:rsidRPr="009D7811" w14:paraId="3740DD9E" w14:textId="77777777" w:rsidTr="00FA3A5B">
        <w:tblPrEx>
          <w:tblLook w:val="01E0" w:firstRow="1" w:lastRow="1" w:firstColumn="1" w:lastColumn="1" w:noHBand="0" w:noVBand="0"/>
        </w:tblPrEx>
        <w:trPr>
          <w:cantSplit/>
        </w:trPr>
        <w:tc>
          <w:tcPr>
            <w:tcW w:w="1870" w:type="dxa"/>
          </w:tcPr>
          <w:p w14:paraId="74935D0E" w14:textId="77777777" w:rsidR="00FA3A5B" w:rsidRPr="009D7811" w:rsidRDefault="00FA3A5B" w:rsidP="00FA3A5B">
            <w:pPr>
              <w:pStyle w:val="TableSideHeading"/>
              <w:outlineLvl w:val="9"/>
            </w:pPr>
          </w:p>
        </w:tc>
        <w:tc>
          <w:tcPr>
            <w:tcW w:w="624" w:type="dxa"/>
          </w:tcPr>
          <w:p w14:paraId="5465C969" w14:textId="77777777" w:rsidR="00FA3A5B" w:rsidRPr="009D7811" w:rsidRDefault="00FA3A5B" w:rsidP="00FA3A5B">
            <w:pPr>
              <w:pStyle w:val="TableText"/>
              <w:jc w:val="both"/>
            </w:pPr>
          </w:p>
        </w:tc>
        <w:tc>
          <w:tcPr>
            <w:tcW w:w="624" w:type="dxa"/>
          </w:tcPr>
          <w:p w14:paraId="5FECAD90" w14:textId="77777777" w:rsidR="00FA3A5B" w:rsidRPr="009D7811" w:rsidRDefault="00FA3A5B" w:rsidP="00FA3A5B">
            <w:pPr>
              <w:pStyle w:val="TableText"/>
              <w:jc w:val="both"/>
              <w:rPr>
                <w:rtl/>
              </w:rPr>
            </w:pPr>
          </w:p>
        </w:tc>
        <w:tc>
          <w:tcPr>
            <w:tcW w:w="6519" w:type="dxa"/>
          </w:tcPr>
          <w:p w14:paraId="15CB6726" w14:textId="77777777" w:rsidR="00FA3A5B" w:rsidRPr="009D7811" w:rsidRDefault="00FA3A5B" w:rsidP="00FA3A5B">
            <w:pPr>
              <w:pStyle w:val="TableBlock"/>
              <w:rPr>
                <w:rtl/>
              </w:rPr>
            </w:pPr>
            <w:r w:rsidRPr="009D7811">
              <w:rPr>
                <w:rFonts w:hint="cs"/>
                <w:rtl/>
              </w:rPr>
              <w:t>(1)</w:t>
            </w:r>
            <w:r w:rsidRPr="009D7811">
              <w:rPr>
                <w:rtl/>
              </w:rPr>
              <w:tab/>
              <w:t xml:space="preserve">רשאי להתקין תקנות לביצוע </w:t>
            </w:r>
            <w:r w:rsidRPr="009D7811">
              <w:rPr>
                <w:rFonts w:hint="cs"/>
                <w:rtl/>
              </w:rPr>
              <w:t>ה</w:t>
            </w:r>
            <w:r w:rsidRPr="009D7811">
              <w:rPr>
                <w:rtl/>
              </w:rPr>
              <w:t>סעיף</w:t>
            </w:r>
            <w:r w:rsidRPr="009D7811">
              <w:rPr>
                <w:rFonts w:hint="cs"/>
                <w:rtl/>
              </w:rPr>
              <w:t xml:space="preserve">, ובכלל זה לעניין מינוי גורמים לשם מתן חוות דעת והערכות לוועדת המומחים בעניין מסוכנות עוברי חוק בגירים בכלל, ועוברי עבירות אלימות והתעללות בילדים או בחסרי ישע ואופן פעולתם בפרט; </w:t>
            </w:r>
          </w:p>
        </w:tc>
      </w:tr>
      <w:tr w:rsidR="00FA3A5B" w:rsidRPr="009D7811" w14:paraId="4D5C2D02" w14:textId="77777777" w:rsidTr="00FA3A5B">
        <w:tblPrEx>
          <w:tblLook w:val="01E0" w:firstRow="1" w:lastRow="1" w:firstColumn="1" w:lastColumn="1" w:noHBand="0" w:noVBand="0"/>
        </w:tblPrEx>
        <w:trPr>
          <w:cantSplit/>
        </w:trPr>
        <w:tc>
          <w:tcPr>
            <w:tcW w:w="1870" w:type="dxa"/>
            <w:shd w:val="clear" w:color="auto" w:fill="auto"/>
          </w:tcPr>
          <w:p w14:paraId="4E82D4CF" w14:textId="77777777" w:rsidR="00FA3A5B" w:rsidRPr="009D7811" w:rsidRDefault="00FA3A5B" w:rsidP="00FA3A5B">
            <w:pPr>
              <w:pStyle w:val="TableSideHeading"/>
              <w:outlineLvl w:val="9"/>
            </w:pPr>
          </w:p>
        </w:tc>
        <w:tc>
          <w:tcPr>
            <w:tcW w:w="624" w:type="dxa"/>
            <w:shd w:val="clear" w:color="auto" w:fill="auto"/>
          </w:tcPr>
          <w:p w14:paraId="0C2ADDF2" w14:textId="77777777" w:rsidR="00FA3A5B" w:rsidRPr="009D7811" w:rsidRDefault="00FA3A5B" w:rsidP="00FA3A5B">
            <w:pPr>
              <w:pStyle w:val="TableText"/>
              <w:jc w:val="both"/>
            </w:pPr>
          </w:p>
        </w:tc>
        <w:tc>
          <w:tcPr>
            <w:tcW w:w="624" w:type="dxa"/>
            <w:shd w:val="clear" w:color="auto" w:fill="auto"/>
          </w:tcPr>
          <w:p w14:paraId="63915119" w14:textId="77777777" w:rsidR="00FA3A5B" w:rsidRPr="009D7811" w:rsidRDefault="00FA3A5B" w:rsidP="00FA3A5B">
            <w:pPr>
              <w:pStyle w:val="TableText"/>
              <w:jc w:val="both"/>
              <w:rPr>
                <w:rtl/>
              </w:rPr>
            </w:pPr>
          </w:p>
        </w:tc>
        <w:tc>
          <w:tcPr>
            <w:tcW w:w="6519" w:type="dxa"/>
            <w:shd w:val="clear" w:color="auto" w:fill="auto"/>
          </w:tcPr>
          <w:p w14:paraId="58E11129" w14:textId="77777777" w:rsidR="00FA3A5B" w:rsidRPr="009D7811" w:rsidRDefault="00FA3A5B" w:rsidP="00FA3A5B">
            <w:pPr>
              <w:pStyle w:val="TableBlock"/>
              <w:rPr>
                <w:rtl/>
              </w:rPr>
            </w:pPr>
            <w:r w:rsidRPr="009D7811">
              <w:rPr>
                <w:rFonts w:hint="cs"/>
                <w:rtl/>
              </w:rPr>
              <w:t>(2)</w:t>
            </w:r>
            <w:r w:rsidRPr="009D7811">
              <w:rPr>
                <w:rtl/>
              </w:rPr>
              <w:tab/>
            </w:r>
            <w:r w:rsidRPr="009D7811">
              <w:rPr>
                <w:rFonts w:hint="eastAsia"/>
                <w:rtl/>
              </w:rPr>
              <w:t>יקבע</w:t>
            </w:r>
            <w:r w:rsidRPr="009D7811">
              <w:rPr>
                <w:rtl/>
              </w:rPr>
              <w:t xml:space="preserve"> הוראות לעניין </w:t>
            </w:r>
            <w:r w:rsidRPr="009D7811">
              <w:rPr>
                <w:rFonts w:hint="eastAsia"/>
                <w:rtl/>
              </w:rPr>
              <w:t>אופן</w:t>
            </w:r>
            <w:r w:rsidRPr="009D7811">
              <w:rPr>
                <w:rtl/>
              </w:rPr>
              <w:t xml:space="preserve"> הגשת הבקשה לוועדת המומחים והמסמכים שיש לצרף אליה ולעניין </w:t>
            </w:r>
            <w:r w:rsidRPr="009D7811">
              <w:rPr>
                <w:rFonts w:hint="eastAsia"/>
                <w:rtl/>
              </w:rPr>
              <w:t>המידע</w:t>
            </w:r>
            <w:r w:rsidRPr="009D7811">
              <w:rPr>
                <w:rtl/>
              </w:rPr>
              <w:t xml:space="preserve"> </w:t>
            </w:r>
            <w:r w:rsidRPr="009D7811">
              <w:rPr>
                <w:rFonts w:hint="eastAsia"/>
                <w:rtl/>
              </w:rPr>
              <w:t>שוועדת</w:t>
            </w:r>
            <w:r w:rsidRPr="009D7811">
              <w:rPr>
                <w:rtl/>
              </w:rPr>
              <w:t xml:space="preserve"> </w:t>
            </w:r>
            <w:r w:rsidRPr="009D7811">
              <w:rPr>
                <w:rFonts w:hint="eastAsia"/>
                <w:rtl/>
              </w:rPr>
              <w:t>המומחים</w:t>
            </w:r>
            <w:r w:rsidRPr="009D7811">
              <w:rPr>
                <w:rtl/>
              </w:rPr>
              <w:t xml:space="preserve"> </w:t>
            </w:r>
            <w:r w:rsidRPr="009D7811">
              <w:rPr>
                <w:rFonts w:hint="eastAsia"/>
                <w:rtl/>
              </w:rPr>
              <w:t>מוסמכת</w:t>
            </w:r>
            <w:r w:rsidRPr="009D7811">
              <w:rPr>
                <w:rtl/>
              </w:rPr>
              <w:t xml:space="preserve"> </w:t>
            </w:r>
            <w:r w:rsidRPr="009D7811">
              <w:rPr>
                <w:rFonts w:hint="eastAsia"/>
                <w:rtl/>
              </w:rPr>
              <w:t>לקבל</w:t>
            </w:r>
            <w:r w:rsidRPr="009D7811">
              <w:rPr>
                <w:rtl/>
              </w:rPr>
              <w:t xml:space="preserve"> </w:t>
            </w:r>
            <w:r w:rsidRPr="009D7811">
              <w:rPr>
                <w:rFonts w:hint="eastAsia"/>
                <w:rtl/>
              </w:rPr>
              <w:t>לפי</w:t>
            </w:r>
            <w:r w:rsidRPr="009D7811">
              <w:rPr>
                <w:rtl/>
              </w:rPr>
              <w:t xml:space="preserve"> </w:t>
            </w:r>
            <w:r w:rsidRPr="009D7811">
              <w:rPr>
                <w:rFonts w:hint="eastAsia"/>
                <w:rtl/>
              </w:rPr>
              <w:t>סעיף</w:t>
            </w:r>
            <w:r w:rsidRPr="009D7811">
              <w:rPr>
                <w:rtl/>
              </w:rPr>
              <w:t xml:space="preserve"> </w:t>
            </w:r>
            <w:r w:rsidRPr="009D7811">
              <w:rPr>
                <w:rFonts w:hint="eastAsia"/>
                <w:rtl/>
              </w:rPr>
              <w:t>קטן</w:t>
            </w:r>
            <w:r w:rsidRPr="009D7811">
              <w:rPr>
                <w:rtl/>
              </w:rPr>
              <w:t xml:space="preserve"> (ד)</w:t>
            </w:r>
            <w:r w:rsidRPr="009D7811">
              <w:rPr>
                <w:rFonts w:hint="cs"/>
                <w:rtl/>
              </w:rPr>
              <w:t xml:space="preserve"> של הסעיף האמור</w:t>
            </w:r>
            <w:r w:rsidRPr="009D7811">
              <w:rPr>
                <w:rtl/>
              </w:rPr>
              <w:t xml:space="preserve">, </w:t>
            </w:r>
            <w:r w:rsidRPr="009D7811">
              <w:rPr>
                <w:rFonts w:hint="eastAsia"/>
                <w:rtl/>
              </w:rPr>
              <w:t>ובכלל</w:t>
            </w:r>
            <w:r w:rsidRPr="009D7811">
              <w:rPr>
                <w:rtl/>
              </w:rPr>
              <w:t xml:space="preserve"> </w:t>
            </w:r>
            <w:r w:rsidRPr="009D7811">
              <w:rPr>
                <w:rFonts w:hint="eastAsia"/>
                <w:rtl/>
              </w:rPr>
              <w:t>זה</w:t>
            </w:r>
            <w:r w:rsidRPr="009D7811">
              <w:rPr>
                <w:rtl/>
              </w:rPr>
              <w:t xml:space="preserve"> </w:t>
            </w:r>
            <w:r w:rsidRPr="009D7811">
              <w:rPr>
                <w:rFonts w:hint="eastAsia"/>
                <w:rtl/>
              </w:rPr>
              <w:t>לעניין</w:t>
            </w:r>
            <w:r w:rsidRPr="009D7811">
              <w:rPr>
                <w:rtl/>
              </w:rPr>
              <w:t xml:space="preserve"> </w:t>
            </w:r>
            <w:r w:rsidRPr="009D7811">
              <w:rPr>
                <w:rFonts w:hint="eastAsia"/>
                <w:rtl/>
              </w:rPr>
              <w:t>סוגי</w:t>
            </w:r>
            <w:r w:rsidRPr="009D7811">
              <w:rPr>
                <w:rtl/>
              </w:rPr>
              <w:t xml:space="preserve"> </w:t>
            </w:r>
            <w:r w:rsidRPr="009D7811">
              <w:rPr>
                <w:rFonts w:hint="eastAsia"/>
                <w:rtl/>
              </w:rPr>
              <w:t>המידע</w:t>
            </w:r>
            <w:r w:rsidRPr="009D7811">
              <w:rPr>
                <w:rtl/>
              </w:rPr>
              <w:t xml:space="preserve">, </w:t>
            </w:r>
            <w:r w:rsidRPr="009D7811">
              <w:rPr>
                <w:rFonts w:hint="eastAsia"/>
                <w:rtl/>
              </w:rPr>
              <w:t>היקפו</w:t>
            </w:r>
            <w:r w:rsidRPr="009D7811">
              <w:rPr>
                <w:rtl/>
              </w:rPr>
              <w:t xml:space="preserve">, </w:t>
            </w:r>
            <w:r w:rsidRPr="009D7811">
              <w:rPr>
                <w:rFonts w:hint="eastAsia"/>
                <w:rtl/>
              </w:rPr>
              <w:t>חסיון</w:t>
            </w:r>
            <w:r w:rsidRPr="009D7811">
              <w:rPr>
                <w:rtl/>
              </w:rPr>
              <w:t xml:space="preserve"> </w:t>
            </w:r>
            <w:r w:rsidRPr="009D7811">
              <w:rPr>
                <w:rFonts w:hint="eastAsia"/>
                <w:rtl/>
              </w:rPr>
              <w:t>המידע</w:t>
            </w:r>
            <w:r w:rsidRPr="009D7811">
              <w:rPr>
                <w:rtl/>
              </w:rPr>
              <w:t xml:space="preserve"> ואופן מסירתו לוועד</w:t>
            </w:r>
            <w:r w:rsidRPr="009D7811">
              <w:rPr>
                <w:rFonts w:hint="cs"/>
                <w:rtl/>
              </w:rPr>
              <w:t>ת המומחים</w:t>
            </w:r>
            <w:r w:rsidRPr="009D7811">
              <w:rPr>
                <w:rtl/>
              </w:rPr>
              <w:t>.</w:t>
            </w:r>
          </w:p>
        </w:tc>
      </w:tr>
      <w:tr w:rsidR="00FA3A5B" w:rsidRPr="009D7811" w14:paraId="445AF475" w14:textId="77777777" w:rsidTr="00FA3A5B">
        <w:tblPrEx>
          <w:tblLook w:val="01E0" w:firstRow="1" w:lastRow="1" w:firstColumn="1" w:lastColumn="1" w:noHBand="0" w:noVBand="0"/>
        </w:tblPrEx>
        <w:trPr>
          <w:cantSplit/>
        </w:trPr>
        <w:tc>
          <w:tcPr>
            <w:tcW w:w="1870" w:type="dxa"/>
            <w:shd w:val="clear" w:color="auto" w:fill="auto"/>
          </w:tcPr>
          <w:p w14:paraId="64377AC5" w14:textId="77777777" w:rsidR="00FA3A5B" w:rsidRPr="009D7811" w:rsidRDefault="00FA3A5B" w:rsidP="00FA3A5B">
            <w:pPr>
              <w:pStyle w:val="TableSideHeading"/>
            </w:pPr>
            <w:r w:rsidRPr="009D7811">
              <w:rPr>
                <w:rFonts w:hint="cs"/>
                <w:rtl/>
              </w:rPr>
              <w:lastRenderedPageBreak/>
              <w:t>שינוי התוספת</w:t>
            </w:r>
          </w:p>
        </w:tc>
        <w:tc>
          <w:tcPr>
            <w:tcW w:w="624" w:type="dxa"/>
            <w:shd w:val="clear" w:color="auto" w:fill="auto"/>
          </w:tcPr>
          <w:p w14:paraId="3F6DB7A0" w14:textId="77777777" w:rsidR="00FA3A5B" w:rsidRPr="009D7811" w:rsidRDefault="00FA3A5B" w:rsidP="00FA3A5B">
            <w:pPr>
              <w:pStyle w:val="TableText"/>
            </w:pPr>
            <w:r w:rsidRPr="009D7811">
              <w:rPr>
                <w:rFonts w:hint="cs"/>
                <w:rtl/>
              </w:rPr>
              <w:t>13.</w:t>
            </w:r>
          </w:p>
        </w:tc>
        <w:tc>
          <w:tcPr>
            <w:tcW w:w="7143" w:type="dxa"/>
            <w:gridSpan w:val="2"/>
            <w:shd w:val="clear" w:color="auto" w:fill="auto"/>
          </w:tcPr>
          <w:p w14:paraId="6F2A49B7" w14:textId="77777777" w:rsidR="00FA3A5B" w:rsidRPr="009D7811" w:rsidRDefault="00FA3A5B" w:rsidP="00FA3A5B">
            <w:pPr>
              <w:pStyle w:val="TableBlock"/>
            </w:pPr>
            <w:r w:rsidRPr="009D7811">
              <w:rPr>
                <w:rFonts w:hint="cs"/>
                <w:rtl/>
              </w:rPr>
              <w:t xml:space="preserve">השר לביטחון לאומי, באישור </w:t>
            </w:r>
            <w:r w:rsidRPr="009D7811">
              <w:rPr>
                <w:rtl/>
              </w:rPr>
              <w:t>הוועדה לביטחון לאומי של הכנסת,</w:t>
            </w:r>
            <w:r w:rsidRPr="009D7811">
              <w:rPr>
                <w:rFonts w:hint="cs"/>
                <w:rtl/>
              </w:rPr>
              <w:t xml:space="preserve"> רשאי, בצו,    להוסיף לתוספת מעסיק שהוא משרד ממשלתי או רשות מקומית.</w:t>
            </w:r>
          </w:p>
        </w:tc>
      </w:tr>
      <w:tr w:rsidR="00FA3A5B" w:rsidRPr="009D7811" w14:paraId="7075E7F6" w14:textId="77777777" w:rsidTr="00FA3A5B">
        <w:tblPrEx>
          <w:tblLook w:val="01E0" w:firstRow="1" w:lastRow="1" w:firstColumn="1" w:lastColumn="1" w:noHBand="0" w:noVBand="0"/>
        </w:tblPrEx>
        <w:trPr>
          <w:cantSplit/>
        </w:trPr>
        <w:tc>
          <w:tcPr>
            <w:tcW w:w="1870" w:type="dxa"/>
          </w:tcPr>
          <w:p w14:paraId="7060F375" w14:textId="28D8DBBB" w:rsidR="00FA3A5B" w:rsidRPr="009D7811" w:rsidRDefault="00FA3A5B" w:rsidP="00FA3A5B">
            <w:pPr>
              <w:pStyle w:val="TableSideHeading"/>
              <w:keepLines w:val="0"/>
              <w:ind w:right="-28"/>
            </w:pPr>
            <w:r w:rsidRPr="009D7811">
              <w:rPr>
                <w:rFonts w:hint="cs"/>
                <w:rtl/>
              </w:rPr>
              <w:t xml:space="preserve">תיקון חוק בתי משפט לעניינים </w:t>
            </w:r>
            <w:proofErr w:type="spellStart"/>
            <w:r w:rsidRPr="009D7811">
              <w:rPr>
                <w:rFonts w:hint="cs"/>
                <w:rtl/>
              </w:rPr>
              <w:t>מינהליים</w:t>
            </w:r>
            <w:proofErr w:type="spellEnd"/>
            <w:r w:rsidR="00131EA2">
              <w:rPr>
                <w:rFonts w:hint="cs"/>
                <w:rtl/>
              </w:rPr>
              <w:t xml:space="preserve"> </w:t>
            </w:r>
            <w:r w:rsidR="00131EA2">
              <w:rPr>
                <w:rtl/>
              </w:rPr>
              <w:t>–</w:t>
            </w:r>
            <w:r w:rsidR="00131EA2">
              <w:rPr>
                <w:rFonts w:hint="cs"/>
                <w:rtl/>
              </w:rPr>
              <w:t xml:space="preserve"> מס' 136</w:t>
            </w:r>
            <w:r w:rsidRPr="009D7811">
              <w:rPr>
                <w:rFonts w:hint="cs"/>
                <w:rtl/>
              </w:rPr>
              <w:t xml:space="preserve"> </w:t>
            </w:r>
          </w:p>
        </w:tc>
        <w:tc>
          <w:tcPr>
            <w:tcW w:w="624" w:type="dxa"/>
          </w:tcPr>
          <w:p w14:paraId="5268D03B" w14:textId="77777777" w:rsidR="00FA3A5B" w:rsidRPr="009D7811" w:rsidRDefault="00FA3A5B" w:rsidP="00FA3A5B">
            <w:pPr>
              <w:pStyle w:val="TableText"/>
            </w:pPr>
            <w:r w:rsidRPr="009D7811">
              <w:rPr>
                <w:rFonts w:hint="cs"/>
                <w:rtl/>
              </w:rPr>
              <w:t xml:space="preserve">14. </w:t>
            </w:r>
          </w:p>
        </w:tc>
        <w:tc>
          <w:tcPr>
            <w:tcW w:w="7143" w:type="dxa"/>
            <w:gridSpan w:val="2"/>
          </w:tcPr>
          <w:p w14:paraId="1A0943AC" w14:textId="77777777" w:rsidR="00FA3A5B" w:rsidRPr="009D7811" w:rsidRDefault="00FA3A5B" w:rsidP="00FA3A5B">
            <w:pPr>
              <w:pStyle w:val="TableBlock"/>
              <w:rPr>
                <w:rtl/>
              </w:rPr>
            </w:pPr>
            <w:r w:rsidRPr="009D7811">
              <w:rPr>
                <w:rFonts w:hint="cs"/>
                <w:rtl/>
              </w:rPr>
              <w:t xml:space="preserve">בחוק בתי משפט לעניינים </w:t>
            </w:r>
            <w:proofErr w:type="spellStart"/>
            <w:r w:rsidRPr="009D7811">
              <w:rPr>
                <w:rFonts w:hint="cs"/>
                <w:rtl/>
              </w:rPr>
              <w:t>מינהליים</w:t>
            </w:r>
            <w:proofErr w:type="spellEnd"/>
            <w:r w:rsidRPr="009D7811">
              <w:rPr>
                <w:rFonts w:hint="cs"/>
                <w:rtl/>
              </w:rPr>
              <w:t xml:space="preserve">, </w:t>
            </w:r>
            <w:proofErr w:type="spellStart"/>
            <w:r w:rsidRPr="009D7811">
              <w:rPr>
                <w:rFonts w:hint="cs"/>
                <w:rtl/>
              </w:rPr>
              <w:t>התש"ס</w:t>
            </w:r>
            <w:proofErr w:type="spellEnd"/>
            <w:r w:rsidRPr="009D7811">
              <w:rPr>
                <w:rFonts w:hint="eastAsia"/>
                <w:rtl/>
              </w:rPr>
              <w:t>–</w:t>
            </w:r>
            <w:r w:rsidRPr="009D7811">
              <w:rPr>
                <w:rFonts w:hint="cs"/>
                <w:rtl/>
              </w:rPr>
              <w:t>2000</w:t>
            </w:r>
            <w:r w:rsidRPr="00FA3A5B">
              <w:rPr>
                <w:rStyle w:val="aa"/>
                <w:rFonts w:ascii="David" w:hAnsi="David"/>
                <w:sz w:val="26"/>
                <w:rtl/>
              </w:rPr>
              <w:footnoteReference w:id="8"/>
            </w:r>
            <w:r w:rsidRPr="009D7811">
              <w:rPr>
                <w:rFonts w:hint="cs"/>
                <w:rtl/>
              </w:rPr>
              <w:t xml:space="preserve">, בתוספת הראשונה, בפרט 44 </w:t>
            </w:r>
            <w:r w:rsidRPr="009D7811">
              <w:rPr>
                <w:rtl/>
              </w:rPr>
              <w:t>–</w:t>
            </w:r>
          </w:p>
        </w:tc>
      </w:tr>
      <w:tr w:rsidR="00FA3A5B" w:rsidRPr="009D7811" w14:paraId="62827193" w14:textId="77777777" w:rsidTr="00FA3A5B">
        <w:tblPrEx>
          <w:tblLook w:val="01E0" w:firstRow="1" w:lastRow="1" w:firstColumn="1" w:lastColumn="1" w:noHBand="0" w:noVBand="0"/>
        </w:tblPrEx>
        <w:trPr>
          <w:cantSplit/>
        </w:trPr>
        <w:tc>
          <w:tcPr>
            <w:tcW w:w="1870" w:type="dxa"/>
          </w:tcPr>
          <w:p w14:paraId="7650B755" w14:textId="77777777" w:rsidR="00FA3A5B" w:rsidRPr="009D7811" w:rsidRDefault="00FA3A5B" w:rsidP="00FA3A5B">
            <w:pPr>
              <w:pStyle w:val="TableSideHeading"/>
              <w:keepLines w:val="0"/>
              <w:ind w:right="-28"/>
              <w:rPr>
                <w:rtl/>
              </w:rPr>
            </w:pPr>
          </w:p>
        </w:tc>
        <w:tc>
          <w:tcPr>
            <w:tcW w:w="624" w:type="dxa"/>
          </w:tcPr>
          <w:p w14:paraId="11963889" w14:textId="77777777" w:rsidR="00FA3A5B" w:rsidRPr="009D7811" w:rsidRDefault="00FA3A5B" w:rsidP="00FA3A5B">
            <w:pPr>
              <w:pStyle w:val="TableText"/>
              <w:rPr>
                <w:rtl/>
              </w:rPr>
            </w:pPr>
          </w:p>
        </w:tc>
        <w:tc>
          <w:tcPr>
            <w:tcW w:w="7143" w:type="dxa"/>
            <w:gridSpan w:val="2"/>
          </w:tcPr>
          <w:p w14:paraId="4B038E99" w14:textId="77777777" w:rsidR="00FA3A5B" w:rsidRPr="009D7811" w:rsidRDefault="00FA3A5B" w:rsidP="00FA3A5B">
            <w:pPr>
              <w:pStyle w:val="TableBlock"/>
              <w:rPr>
                <w:rtl/>
              </w:rPr>
            </w:pPr>
            <w:r w:rsidRPr="009D7811">
              <w:rPr>
                <w:rFonts w:hint="cs"/>
                <w:rtl/>
              </w:rPr>
              <w:t>(1)</w:t>
            </w:r>
            <w:r w:rsidRPr="009D7811">
              <w:rPr>
                <w:rtl/>
              </w:rPr>
              <w:tab/>
            </w:r>
            <w:r w:rsidRPr="009D7811">
              <w:rPr>
                <w:rFonts w:hint="cs"/>
                <w:rtl/>
              </w:rPr>
              <w:t>המילים "</w:t>
            </w:r>
            <w:r w:rsidRPr="009D7811">
              <w:rPr>
                <w:rtl/>
              </w:rPr>
              <w:t>מפני עברייני מין</w:t>
            </w:r>
            <w:r w:rsidRPr="009D7811">
              <w:rPr>
                <w:rFonts w:hint="cs"/>
                <w:rtl/>
              </w:rPr>
              <w:t xml:space="preserve">" </w:t>
            </w:r>
            <w:r w:rsidRPr="009D7811">
              <w:rPr>
                <w:rtl/>
              </w:rPr>
              <w:t>–</w:t>
            </w:r>
            <w:r w:rsidRPr="009D7811">
              <w:rPr>
                <w:rFonts w:hint="cs"/>
                <w:rtl/>
              </w:rPr>
              <w:t xml:space="preserve"> יימחקו;</w:t>
            </w:r>
          </w:p>
        </w:tc>
      </w:tr>
      <w:tr w:rsidR="00FA3A5B" w:rsidRPr="009D7811" w14:paraId="7ADB5620" w14:textId="77777777" w:rsidTr="00FA3A5B">
        <w:tblPrEx>
          <w:tblLook w:val="01E0" w:firstRow="1" w:lastRow="1" w:firstColumn="1" w:lastColumn="1" w:noHBand="0" w:noVBand="0"/>
        </w:tblPrEx>
        <w:trPr>
          <w:cantSplit/>
        </w:trPr>
        <w:tc>
          <w:tcPr>
            <w:tcW w:w="1870" w:type="dxa"/>
          </w:tcPr>
          <w:p w14:paraId="414C071E" w14:textId="77777777" w:rsidR="00FA3A5B" w:rsidRPr="009D7811" w:rsidRDefault="00FA3A5B" w:rsidP="00FA3A5B">
            <w:pPr>
              <w:pStyle w:val="TableSideHeading"/>
              <w:keepLines w:val="0"/>
              <w:ind w:right="-28"/>
              <w:rPr>
                <w:rtl/>
              </w:rPr>
            </w:pPr>
          </w:p>
        </w:tc>
        <w:tc>
          <w:tcPr>
            <w:tcW w:w="624" w:type="dxa"/>
          </w:tcPr>
          <w:p w14:paraId="1CB9E743" w14:textId="77777777" w:rsidR="00FA3A5B" w:rsidRPr="009D7811" w:rsidRDefault="00FA3A5B" w:rsidP="00FA3A5B">
            <w:pPr>
              <w:pStyle w:val="TableText"/>
              <w:rPr>
                <w:rtl/>
              </w:rPr>
            </w:pPr>
          </w:p>
        </w:tc>
        <w:tc>
          <w:tcPr>
            <w:tcW w:w="7143" w:type="dxa"/>
            <w:gridSpan w:val="2"/>
          </w:tcPr>
          <w:p w14:paraId="22E9B541" w14:textId="77777777" w:rsidR="00FA3A5B" w:rsidRPr="009D7811" w:rsidRDefault="00FA3A5B" w:rsidP="00FA3A5B">
            <w:pPr>
              <w:pStyle w:val="TableBlock"/>
              <w:rPr>
                <w:rtl/>
              </w:rPr>
            </w:pPr>
            <w:r w:rsidRPr="009D7811">
              <w:rPr>
                <w:rFonts w:hint="cs"/>
                <w:rtl/>
              </w:rPr>
              <w:t>(2)</w:t>
            </w:r>
            <w:r w:rsidRPr="009D7811">
              <w:rPr>
                <w:rtl/>
              </w:rPr>
              <w:tab/>
            </w:r>
            <w:r w:rsidRPr="009D7811">
              <w:rPr>
                <w:rFonts w:hint="cs"/>
                <w:rtl/>
              </w:rPr>
              <w:t>הקטע החל במילים "</w:t>
            </w:r>
            <w:r w:rsidRPr="009D7811">
              <w:rPr>
                <w:rtl/>
              </w:rPr>
              <w:t>החלטה של רשות</w:t>
            </w:r>
            <w:r w:rsidRPr="009D7811">
              <w:rPr>
                <w:rFonts w:hint="cs"/>
                <w:rtl/>
              </w:rPr>
              <w:t>" יסומן כפסקה (1) ואחריה יבוא:</w:t>
            </w:r>
          </w:p>
        </w:tc>
      </w:tr>
      <w:tr w:rsidR="00FA3A5B" w:rsidRPr="009D7811" w14:paraId="01243E81" w14:textId="77777777" w:rsidTr="00FA3A5B">
        <w:tblPrEx>
          <w:tblLook w:val="01E0" w:firstRow="1" w:lastRow="1" w:firstColumn="1" w:lastColumn="1" w:noHBand="0" w:noVBand="0"/>
        </w:tblPrEx>
        <w:trPr>
          <w:cantSplit/>
        </w:trPr>
        <w:tc>
          <w:tcPr>
            <w:tcW w:w="1870" w:type="dxa"/>
          </w:tcPr>
          <w:p w14:paraId="4B840FD2" w14:textId="77777777" w:rsidR="00FA3A5B" w:rsidRPr="009D7811" w:rsidRDefault="00FA3A5B" w:rsidP="00FA3A5B">
            <w:pPr>
              <w:pStyle w:val="TableSideHeading"/>
            </w:pPr>
          </w:p>
        </w:tc>
        <w:tc>
          <w:tcPr>
            <w:tcW w:w="624" w:type="dxa"/>
          </w:tcPr>
          <w:p w14:paraId="245FD16B" w14:textId="77777777" w:rsidR="00FA3A5B" w:rsidRPr="009D7811" w:rsidRDefault="00FA3A5B" w:rsidP="00FA3A5B">
            <w:pPr>
              <w:pStyle w:val="TableText"/>
            </w:pPr>
          </w:p>
        </w:tc>
        <w:tc>
          <w:tcPr>
            <w:tcW w:w="624" w:type="dxa"/>
          </w:tcPr>
          <w:p w14:paraId="0AF1BF74" w14:textId="77777777" w:rsidR="00FA3A5B" w:rsidRPr="009D7811" w:rsidRDefault="00FA3A5B" w:rsidP="00FA3A5B">
            <w:pPr>
              <w:pStyle w:val="TableText"/>
            </w:pPr>
          </w:p>
        </w:tc>
        <w:tc>
          <w:tcPr>
            <w:tcW w:w="6519" w:type="dxa"/>
          </w:tcPr>
          <w:p w14:paraId="774A86DA" w14:textId="77777777" w:rsidR="00FA3A5B" w:rsidRPr="009D7811" w:rsidRDefault="00FA3A5B" w:rsidP="00FA3A5B">
            <w:pPr>
              <w:pStyle w:val="TableBlock"/>
            </w:pPr>
            <w:r w:rsidRPr="009D7811">
              <w:rPr>
                <w:rtl/>
              </w:rPr>
              <w:t>"(</w:t>
            </w:r>
            <w:r w:rsidRPr="009D7811">
              <w:rPr>
                <w:rFonts w:hint="cs"/>
                <w:rtl/>
              </w:rPr>
              <w:t>2</w:t>
            </w:r>
            <w:r w:rsidRPr="009D7811">
              <w:rPr>
                <w:rtl/>
              </w:rPr>
              <w:t>)</w:t>
            </w:r>
            <w:r w:rsidRPr="009D7811">
              <w:rPr>
                <w:rtl/>
              </w:rPr>
              <w:tab/>
            </w:r>
            <w:r w:rsidRPr="009D7811">
              <w:rPr>
                <w:rFonts w:hint="eastAsia"/>
                <w:rtl/>
              </w:rPr>
              <w:t>החלטה</w:t>
            </w:r>
            <w:r w:rsidRPr="009D7811">
              <w:rPr>
                <w:rtl/>
              </w:rPr>
              <w:t xml:space="preserve"> של רשות לפי סעיף 4 לחוק למניעת העסקה של עברייני מין במוסדות מסוימים, </w:t>
            </w:r>
            <w:proofErr w:type="spellStart"/>
            <w:r w:rsidRPr="009D7811">
              <w:rPr>
                <w:rFonts w:hint="eastAsia"/>
                <w:rtl/>
              </w:rPr>
              <w:t>ה</w:t>
            </w:r>
            <w:r w:rsidRPr="009D7811">
              <w:rPr>
                <w:rtl/>
              </w:rPr>
              <w:t>תשס"א</w:t>
            </w:r>
            <w:proofErr w:type="spellEnd"/>
            <w:r w:rsidRPr="009D7811">
              <w:rPr>
                <w:rFonts w:hint="cs"/>
                <w:rtl/>
              </w:rPr>
              <w:t>–</w:t>
            </w:r>
            <w:r w:rsidRPr="009D7811">
              <w:rPr>
                <w:rtl/>
              </w:rPr>
              <w:t>2001</w:t>
            </w:r>
            <w:r w:rsidRPr="00FA3A5B">
              <w:rPr>
                <w:rStyle w:val="aa"/>
                <w:rFonts w:ascii="David" w:hAnsi="David"/>
                <w:sz w:val="26"/>
                <w:rtl/>
              </w:rPr>
              <w:footnoteReference w:id="9"/>
            </w:r>
            <w:r w:rsidRPr="009D7811">
              <w:rPr>
                <w:rFonts w:hint="cs"/>
                <w:rtl/>
              </w:rPr>
              <w:t>,</w:t>
            </w:r>
            <w:r w:rsidRPr="009D7811">
              <w:rPr>
                <w:rtl/>
              </w:rPr>
              <w:t xml:space="preserve"> או לפי סעיף 5 לחוק למניעת העסקה במוסדות מסוימים של מי שהורשע באלימות כלפי ילדים וחסרי ישע, </w:t>
            </w:r>
            <w:proofErr w:type="spellStart"/>
            <w:r w:rsidRPr="009D7811">
              <w:rPr>
                <w:rtl/>
              </w:rPr>
              <w:t>התשפ"ג</w:t>
            </w:r>
            <w:proofErr w:type="spellEnd"/>
            <w:r w:rsidRPr="009D7811">
              <w:rPr>
                <w:rFonts w:hint="cs"/>
                <w:rtl/>
              </w:rPr>
              <w:t>–</w:t>
            </w:r>
            <w:r w:rsidRPr="009D7811">
              <w:rPr>
                <w:rtl/>
              </w:rPr>
              <w:t>2023</w:t>
            </w:r>
            <w:r w:rsidRPr="00FA3A5B">
              <w:rPr>
                <w:rStyle w:val="aa"/>
                <w:rFonts w:ascii="David" w:hAnsi="David"/>
                <w:sz w:val="26"/>
                <w:rtl/>
              </w:rPr>
              <w:footnoteReference w:id="10"/>
            </w:r>
            <w:r w:rsidRPr="009D7811">
              <w:rPr>
                <w:rFonts w:hint="cs"/>
                <w:rtl/>
              </w:rPr>
              <w:t>.</w:t>
            </w:r>
            <w:r w:rsidRPr="009D7811">
              <w:rPr>
                <w:rtl/>
              </w:rPr>
              <w:t>"</w:t>
            </w:r>
          </w:p>
        </w:tc>
      </w:tr>
      <w:tr w:rsidR="00FA3A5B" w:rsidRPr="009D7811" w14:paraId="54E31BB7" w14:textId="77777777" w:rsidTr="00FA3A5B">
        <w:tblPrEx>
          <w:tblLook w:val="01E0" w:firstRow="1" w:lastRow="1" w:firstColumn="1" w:lastColumn="1" w:noHBand="0" w:noVBand="0"/>
        </w:tblPrEx>
        <w:trPr>
          <w:cantSplit/>
        </w:trPr>
        <w:tc>
          <w:tcPr>
            <w:tcW w:w="1870" w:type="dxa"/>
          </w:tcPr>
          <w:p w14:paraId="667E7E27" w14:textId="255B0B81" w:rsidR="00FA3A5B" w:rsidRPr="009D7811" w:rsidRDefault="00FA3A5B" w:rsidP="00FA3A5B">
            <w:pPr>
              <w:pStyle w:val="TableSideHeading"/>
              <w:keepLines w:val="0"/>
              <w:ind w:right="-28"/>
            </w:pPr>
            <w:r w:rsidRPr="009D7811">
              <w:rPr>
                <w:rFonts w:hint="cs"/>
                <w:rtl/>
              </w:rPr>
              <w:t xml:space="preserve">תיקון חוק סדר הדין הפלילי (סמכויות אכיפה </w:t>
            </w:r>
            <w:r w:rsidRPr="009D7811">
              <w:rPr>
                <w:rtl/>
              </w:rPr>
              <w:t>–</w:t>
            </w:r>
            <w:r w:rsidRPr="009D7811">
              <w:rPr>
                <w:rFonts w:hint="cs"/>
                <w:rtl/>
              </w:rPr>
              <w:t xml:space="preserve"> מעצרים)</w:t>
            </w:r>
            <w:r w:rsidR="00131EA2">
              <w:rPr>
                <w:rFonts w:hint="cs"/>
                <w:rtl/>
              </w:rPr>
              <w:t xml:space="preserve"> </w:t>
            </w:r>
            <w:r w:rsidR="00131EA2">
              <w:rPr>
                <w:rtl/>
              </w:rPr>
              <w:t>–</w:t>
            </w:r>
            <w:r w:rsidR="00131EA2">
              <w:rPr>
                <w:rFonts w:hint="cs"/>
                <w:rtl/>
              </w:rPr>
              <w:t xml:space="preserve"> מס' 20</w:t>
            </w:r>
          </w:p>
        </w:tc>
        <w:tc>
          <w:tcPr>
            <w:tcW w:w="624" w:type="dxa"/>
          </w:tcPr>
          <w:p w14:paraId="1DBA8D37" w14:textId="77777777" w:rsidR="00FA3A5B" w:rsidRPr="009D7811" w:rsidRDefault="00FA3A5B" w:rsidP="00FA3A5B">
            <w:pPr>
              <w:pStyle w:val="TableText"/>
              <w:ind w:right="-28"/>
            </w:pPr>
            <w:r w:rsidRPr="009D7811">
              <w:rPr>
                <w:rFonts w:hint="cs"/>
                <w:rtl/>
              </w:rPr>
              <w:t>15.</w:t>
            </w:r>
          </w:p>
        </w:tc>
        <w:tc>
          <w:tcPr>
            <w:tcW w:w="7143" w:type="dxa"/>
            <w:gridSpan w:val="2"/>
          </w:tcPr>
          <w:p w14:paraId="18C83D44" w14:textId="77777777" w:rsidR="00FA3A5B" w:rsidRPr="009D7811" w:rsidRDefault="00FA3A5B" w:rsidP="00FA3A5B">
            <w:pPr>
              <w:pStyle w:val="TableBlock"/>
            </w:pPr>
            <w:r w:rsidRPr="009D7811">
              <w:rPr>
                <w:rFonts w:hint="cs"/>
                <w:rtl/>
              </w:rPr>
              <w:t xml:space="preserve">בחוק סדר הדין הפלילי (סמכויות אכיפה </w:t>
            </w:r>
            <w:r w:rsidRPr="009D7811">
              <w:rPr>
                <w:rtl/>
              </w:rPr>
              <w:t>–</w:t>
            </w:r>
            <w:r w:rsidRPr="009D7811">
              <w:rPr>
                <w:rFonts w:hint="cs"/>
                <w:rtl/>
              </w:rPr>
              <w:t xml:space="preserve"> מעצרים), </w:t>
            </w:r>
            <w:proofErr w:type="spellStart"/>
            <w:r w:rsidRPr="009D7811">
              <w:rPr>
                <w:rFonts w:hint="cs"/>
                <w:rtl/>
              </w:rPr>
              <w:t>התשנ"ו</w:t>
            </w:r>
            <w:proofErr w:type="spellEnd"/>
            <w:r w:rsidRPr="009D7811">
              <w:rPr>
                <w:rFonts w:hint="eastAsia"/>
                <w:rtl/>
              </w:rPr>
              <w:t>–</w:t>
            </w:r>
            <w:r w:rsidRPr="009D7811">
              <w:rPr>
                <w:rFonts w:hint="cs"/>
                <w:rtl/>
              </w:rPr>
              <w:t>1996</w:t>
            </w:r>
            <w:r w:rsidRPr="00FA3A5B">
              <w:rPr>
                <w:rStyle w:val="aa"/>
                <w:rFonts w:ascii="David" w:hAnsi="David"/>
                <w:sz w:val="26"/>
                <w:rtl/>
              </w:rPr>
              <w:footnoteReference w:id="11"/>
            </w:r>
            <w:r w:rsidRPr="009D7811">
              <w:rPr>
                <w:rFonts w:hint="cs"/>
                <w:rtl/>
              </w:rPr>
              <w:t xml:space="preserve">, בסעיף 48 </w:t>
            </w:r>
            <w:r w:rsidRPr="009D7811">
              <w:rPr>
                <w:rFonts w:hint="eastAsia"/>
                <w:rtl/>
              </w:rPr>
              <w:t>–</w:t>
            </w:r>
          </w:p>
        </w:tc>
      </w:tr>
      <w:tr w:rsidR="00FA3A5B" w:rsidRPr="009D7811" w14:paraId="5AA2C8D6" w14:textId="77777777" w:rsidTr="00FA3A5B">
        <w:tblPrEx>
          <w:tblLook w:val="01E0" w:firstRow="1" w:lastRow="1" w:firstColumn="1" w:lastColumn="1" w:noHBand="0" w:noVBand="0"/>
        </w:tblPrEx>
        <w:trPr>
          <w:cantSplit/>
        </w:trPr>
        <w:tc>
          <w:tcPr>
            <w:tcW w:w="1870" w:type="dxa"/>
          </w:tcPr>
          <w:p w14:paraId="27AB164C" w14:textId="77777777" w:rsidR="00FA3A5B" w:rsidRPr="009D7811" w:rsidRDefault="00FA3A5B" w:rsidP="00FA3A5B">
            <w:pPr>
              <w:pStyle w:val="TableSideHeading"/>
            </w:pPr>
          </w:p>
        </w:tc>
        <w:tc>
          <w:tcPr>
            <w:tcW w:w="624" w:type="dxa"/>
          </w:tcPr>
          <w:p w14:paraId="69831AC7" w14:textId="77777777" w:rsidR="00FA3A5B" w:rsidRPr="009D7811" w:rsidRDefault="00FA3A5B" w:rsidP="00FA3A5B">
            <w:pPr>
              <w:pStyle w:val="TableText"/>
            </w:pPr>
          </w:p>
        </w:tc>
        <w:tc>
          <w:tcPr>
            <w:tcW w:w="7143" w:type="dxa"/>
            <w:gridSpan w:val="2"/>
          </w:tcPr>
          <w:p w14:paraId="65A734D5" w14:textId="77777777" w:rsidR="00FA3A5B" w:rsidRPr="009D7811" w:rsidRDefault="00FA3A5B" w:rsidP="00FA3A5B">
            <w:pPr>
              <w:pStyle w:val="TableBlock"/>
            </w:pPr>
            <w:r w:rsidRPr="009D7811">
              <w:rPr>
                <w:rFonts w:hint="cs"/>
                <w:rtl/>
              </w:rPr>
              <w:t>(1)</w:t>
            </w:r>
            <w:r w:rsidRPr="009D7811">
              <w:rPr>
                <w:rtl/>
              </w:rPr>
              <w:tab/>
            </w:r>
            <w:r w:rsidRPr="009D7811">
              <w:rPr>
                <w:rFonts w:hint="cs"/>
                <w:rtl/>
              </w:rPr>
              <w:t xml:space="preserve">בסעיף קטן (א)(10) </w:t>
            </w:r>
            <w:r w:rsidRPr="009D7811">
              <w:rPr>
                <w:rFonts w:hint="eastAsia"/>
                <w:rtl/>
              </w:rPr>
              <w:t>–</w:t>
            </w:r>
          </w:p>
        </w:tc>
      </w:tr>
      <w:tr w:rsidR="00FA3A5B" w:rsidRPr="009D7811" w14:paraId="4EDA085E" w14:textId="77777777" w:rsidTr="00FA3A5B">
        <w:tblPrEx>
          <w:tblLook w:val="01E0" w:firstRow="1" w:lastRow="1" w:firstColumn="1" w:lastColumn="1" w:noHBand="0" w:noVBand="0"/>
        </w:tblPrEx>
        <w:trPr>
          <w:cantSplit/>
        </w:trPr>
        <w:tc>
          <w:tcPr>
            <w:tcW w:w="1870" w:type="dxa"/>
          </w:tcPr>
          <w:p w14:paraId="31FFA471" w14:textId="77777777" w:rsidR="00FA3A5B" w:rsidRPr="009D7811" w:rsidRDefault="00FA3A5B" w:rsidP="00FA3A5B">
            <w:pPr>
              <w:pStyle w:val="TableSideHeading"/>
            </w:pPr>
          </w:p>
        </w:tc>
        <w:tc>
          <w:tcPr>
            <w:tcW w:w="624" w:type="dxa"/>
          </w:tcPr>
          <w:p w14:paraId="37544FB4" w14:textId="77777777" w:rsidR="00FA3A5B" w:rsidRPr="009D7811" w:rsidRDefault="00FA3A5B" w:rsidP="00FA3A5B">
            <w:pPr>
              <w:pStyle w:val="TableText"/>
            </w:pPr>
          </w:p>
        </w:tc>
        <w:tc>
          <w:tcPr>
            <w:tcW w:w="624" w:type="dxa"/>
          </w:tcPr>
          <w:p w14:paraId="38827F43" w14:textId="77777777" w:rsidR="00FA3A5B" w:rsidRPr="009D7811" w:rsidRDefault="00FA3A5B" w:rsidP="00FA3A5B">
            <w:pPr>
              <w:pStyle w:val="TableText"/>
            </w:pPr>
          </w:p>
        </w:tc>
        <w:tc>
          <w:tcPr>
            <w:tcW w:w="6519" w:type="dxa"/>
          </w:tcPr>
          <w:p w14:paraId="01590323" w14:textId="77777777" w:rsidR="00FA3A5B" w:rsidRPr="009D7811" w:rsidRDefault="00FA3A5B" w:rsidP="00FA3A5B">
            <w:pPr>
              <w:pStyle w:val="TableBlock"/>
            </w:pPr>
            <w:r w:rsidRPr="009D7811">
              <w:rPr>
                <w:rFonts w:hint="cs"/>
                <w:rtl/>
              </w:rPr>
              <w:t xml:space="preserve">(א) </w:t>
            </w:r>
            <w:r w:rsidRPr="009D7811">
              <w:rPr>
                <w:rtl/>
              </w:rPr>
              <w:tab/>
            </w:r>
            <w:r w:rsidRPr="009D7811">
              <w:rPr>
                <w:rFonts w:hint="cs"/>
                <w:rtl/>
              </w:rPr>
              <w:t xml:space="preserve">בהגדרה ""מוסד" ו"עבודה"", בסופה יבוא "או בחוק למניעת העסקה במוסדות מסוימים של מי שהורשע באלימות כלפי ילדים וחסרי ישע, </w:t>
            </w:r>
            <w:proofErr w:type="spellStart"/>
            <w:r w:rsidRPr="009D7811">
              <w:rPr>
                <w:rFonts w:hint="cs"/>
                <w:rtl/>
              </w:rPr>
              <w:t>התשפ"ג</w:t>
            </w:r>
            <w:proofErr w:type="spellEnd"/>
            <w:r w:rsidRPr="009D7811">
              <w:rPr>
                <w:rFonts w:hint="eastAsia"/>
                <w:rtl/>
              </w:rPr>
              <w:t>–</w:t>
            </w:r>
            <w:r w:rsidRPr="009D7811">
              <w:rPr>
                <w:rFonts w:hint="cs"/>
                <w:rtl/>
              </w:rPr>
              <w:t>2023</w:t>
            </w:r>
            <w:r w:rsidRPr="00FA3A5B">
              <w:rPr>
                <w:rStyle w:val="aa"/>
                <w:rFonts w:ascii="David" w:hAnsi="David"/>
                <w:sz w:val="26"/>
                <w:rtl/>
              </w:rPr>
              <w:footnoteReference w:id="12"/>
            </w:r>
            <w:r w:rsidRPr="009D7811">
              <w:rPr>
                <w:rFonts w:hint="cs"/>
                <w:rtl/>
              </w:rPr>
              <w:t xml:space="preserve">, לפי העניין;"; </w:t>
            </w:r>
          </w:p>
        </w:tc>
      </w:tr>
      <w:tr w:rsidR="00FA3A5B" w:rsidRPr="009D7811" w14:paraId="087B8280" w14:textId="77777777" w:rsidTr="00FA3A5B">
        <w:tblPrEx>
          <w:tblLook w:val="01E0" w:firstRow="1" w:lastRow="1" w:firstColumn="1" w:lastColumn="1" w:noHBand="0" w:noVBand="0"/>
        </w:tblPrEx>
        <w:trPr>
          <w:cantSplit/>
        </w:trPr>
        <w:tc>
          <w:tcPr>
            <w:tcW w:w="1870" w:type="dxa"/>
          </w:tcPr>
          <w:p w14:paraId="1D7FCFE6" w14:textId="77777777" w:rsidR="00FA3A5B" w:rsidRPr="009D7811" w:rsidRDefault="00FA3A5B" w:rsidP="00FA3A5B">
            <w:pPr>
              <w:pStyle w:val="TableSideHeading"/>
            </w:pPr>
          </w:p>
        </w:tc>
        <w:tc>
          <w:tcPr>
            <w:tcW w:w="624" w:type="dxa"/>
          </w:tcPr>
          <w:p w14:paraId="4B577003" w14:textId="77777777" w:rsidR="00FA3A5B" w:rsidRPr="009D7811" w:rsidRDefault="00FA3A5B" w:rsidP="00FA3A5B">
            <w:pPr>
              <w:pStyle w:val="TableText"/>
            </w:pPr>
          </w:p>
        </w:tc>
        <w:tc>
          <w:tcPr>
            <w:tcW w:w="624" w:type="dxa"/>
          </w:tcPr>
          <w:p w14:paraId="74710B89" w14:textId="77777777" w:rsidR="00FA3A5B" w:rsidRPr="009D7811" w:rsidRDefault="00FA3A5B" w:rsidP="00FA3A5B">
            <w:pPr>
              <w:pStyle w:val="TableText"/>
            </w:pPr>
          </w:p>
        </w:tc>
        <w:tc>
          <w:tcPr>
            <w:tcW w:w="6519" w:type="dxa"/>
          </w:tcPr>
          <w:p w14:paraId="2FD48EEA" w14:textId="77777777" w:rsidR="00FA3A5B" w:rsidRPr="009D7811" w:rsidRDefault="00FA3A5B" w:rsidP="00FA3A5B">
            <w:pPr>
              <w:pStyle w:val="TableBlock"/>
            </w:pPr>
            <w:r w:rsidRPr="009D7811">
              <w:rPr>
                <w:rFonts w:hint="cs"/>
                <w:rtl/>
              </w:rPr>
              <w:t>(ב)</w:t>
            </w:r>
            <w:r w:rsidRPr="009D7811">
              <w:rPr>
                <w:rtl/>
              </w:rPr>
              <w:tab/>
            </w:r>
            <w:r w:rsidRPr="009D7811">
              <w:rPr>
                <w:rFonts w:hint="cs"/>
                <w:rtl/>
              </w:rPr>
              <w:t xml:space="preserve">בהגדרה "אישור משטרה", במקום "לחוק האמור" יבוא "לחוק למניעת העסקה של עברייני מין </w:t>
            </w:r>
            <w:r w:rsidRPr="009D7811">
              <w:rPr>
                <w:rtl/>
              </w:rPr>
              <w:t xml:space="preserve">במוסדות מסוימים, </w:t>
            </w:r>
            <w:proofErr w:type="spellStart"/>
            <w:r w:rsidRPr="009D7811">
              <w:rPr>
                <w:rtl/>
              </w:rPr>
              <w:t>התשס״א</w:t>
            </w:r>
            <w:proofErr w:type="spellEnd"/>
            <w:r w:rsidRPr="009D7811">
              <w:rPr>
                <w:rtl/>
              </w:rPr>
              <w:t>–2001</w:t>
            </w:r>
            <w:r w:rsidRPr="009D7811">
              <w:rPr>
                <w:rFonts w:hint="cs"/>
                <w:rtl/>
              </w:rPr>
              <w:t>, או כהגדרתו בחוק למניעת העסקה במוסדות מסוימים של מי שהורשע באלימות</w:t>
            </w:r>
            <w:r w:rsidRPr="009D7811">
              <w:rPr>
                <w:rtl/>
              </w:rPr>
              <w:t xml:space="preserve"> כלפי ילדים וחסרי ישע, </w:t>
            </w:r>
            <w:proofErr w:type="spellStart"/>
            <w:r w:rsidRPr="009D7811">
              <w:rPr>
                <w:rtl/>
              </w:rPr>
              <w:t>התשפ"ג</w:t>
            </w:r>
            <w:proofErr w:type="spellEnd"/>
            <w:r w:rsidRPr="009D7811">
              <w:rPr>
                <w:rFonts w:hint="cs"/>
                <w:rtl/>
              </w:rPr>
              <w:t>–</w:t>
            </w:r>
            <w:r w:rsidRPr="009D7811">
              <w:rPr>
                <w:rtl/>
              </w:rPr>
              <w:t>2023</w:t>
            </w:r>
            <w:r w:rsidRPr="009D7811">
              <w:rPr>
                <w:rFonts w:hint="cs"/>
                <w:rtl/>
              </w:rPr>
              <w:t xml:space="preserve">, לפי העניין;";  </w:t>
            </w:r>
          </w:p>
        </w:tc>
      </w:tr>
      <w:tr w:rsidR="00FA3A5B" w:rsidRPr="009D7811" w14:paraId="2F7250FA" w14:textId="77777777" w:rsidTr="00FA3A5B">
        <w:tblPrEx>
          <w:tblLook w:val="01E0" w:firstRow="1" w:lastRow="1" w:firstColumn="1" w:lastColumn="1" w:noHBand="0" w:noVBand="0"/>
        </w:tblPrEx>
        <w:trPr>
          <w:cantSplit/>
        </w:trPr>
        <w:tc>
          <w:tcPr>
            <w:tcW w:w="1870" w:type="dxa"/>
          </w:tcPr>
          <w:p w14:paraId="054A13AA" w14:textId="77777777" w:rsidR="00FA3A5B" w:rsidRPr="009D7811" w:rsidRDefault="00FA3A5B" w:rsidP="00FA3A5B">
            <w:pPr>
              <w:pStyle w:val="TableSideHeading"/>
            </w:pPr>
          </w:p>
        </w:tc>
        <w:tc>
          <w:tcPr>
            <w:tcW w:w="624" w:type="dxa"/>
          </w:tcPr>
          <w:p w14:paraId="05E105DA" w14:textId="77777777" w:rsidR="00FA3A5B" w:rsidRPr="009D7811" w:rsidRDefault="00FA3A5B" w:rsidP="00FA3A5B">
            <w:pPr>
              <w:pStyle w:val="TableText"/>
            </w:pPr>
          </w:p>
        </w:tc>
        <w:tc>
          <w:tcPr>
            <w:tcW w:w="7143" w:type="dxa"/>
            <w:gridSpan w:val="2"/>
          </w:tcPr>
          <w:p w14:paraId="24AA2C4D" w14:textId="77777777" w:rsidR="00FA3A5B" w:rsidRPr="009D7811" w:rsidRDefault="00FA3A5B" w:rsidP="00FA3A5B">
            <w:pPr>
              <w:pStyle w:val="TableBlock"/>
            </w:pPr>
            <w:r w:rsidRPr="009D7811">
              <w:rPr>
                <w:rFonts w:hint="cs"/>
                <w:rtl/>
              </w:rPr>
              <w:t>(2)</w:t>
            </w:r>
            <w:r w:rsidRPr="009D7811">
              <w:rPr>
                <w:rtl/>
              </w:rPr>
              <w:tab/>
            </w:r>
            <w:r w:rsidRPr="009D7811">
              <w:rPr>
                <w:rFonts w:hint="cs"/>
                <w:rtl/>
              </w:rPr>
              <w:t>אחרי סעיף קטן (ב1) יבוא:</w:t>
            </w:r>
          </w:p>
        </w:tc>
      </w:tr>
      <w:tr w:rsidR="00FA3A5B" w:rsidRPr="009D7811" w14:paraId="38E3A918" w14:textId="77777777" w:rsidTr="00FA3A5B">
        <w:tblPrEx>
          <w:tblLook w:val="01E0" w:firstRow="1" w:lastRow="1" w:firstColumn="1" w:lastColumn="1" w:noHBand="0" w:noVBand="0"/>
        </w:tblPrEx>
        <w:trPr>
          <w:cantSplit/>
        </w:trPr>
        <w:tc>
          <w:tcPr>
            <w:tcW w:w="1870" w:type="dxa"/>
          </w:tcPr>
          <w:p w14:paraId="4F9959D7" w14:textId="77777777" w:rsidR="00FA3A5B" w:rsidRPr="009D7811" w:rsidRDefault="00FA3A5B" w:rsidP="00FA3A5B">
            <w:pPr>
              <w:pStyle w:val="TableSideHeading"/>
            </w:pPr>
          </w:p>
        </w:tc>
        <w:tc>
          <w:tcPr>
            <w:tcW w:w="624" w:type="dxa"/>
          </w:tcPr>
          <w:p w14:paraId="491870D6" w14:textId="77777777" w:rsidR="00FA3A5B" w:rsidRPr="009D7811" w:rsidRDefault="00FA3A5B" w:rsidP="00FA3A5B">
            <w:pPr>
              <w:pStyle w:val="TableText"/>
            </w:pPr>
          </w:p>
        </w:tc>
        <w:tc>
          <w:tcPr>
            <w:tcW w:w="624" w:type="dxa"/>
          </w:tcPr>
          <w:p w14:paraId="49AD9284" w14:textId="77777777" w:rsidR="00FA3A5B" w:rsidRPr="009D7811" w:rsidRDefault="00FA3A5B" w:rsidP="00FA3A5B">
            <w:pPr>
              <w:pStyle w:val="TableText"/>
            </w:pPr>
          </w:p>
        </w:tc>
        <w:tc>
          <w:tcPr>
            <w:tcW w:w="6519" w:type="dxa"/>
          </w:tcPr>
          <w:p w14:paraId="22DAA474" w14:textId="77777777" w:rsidR="00FA3A5B" w:rsidRPr="009D7811" w:rsidRDefault="00FA3A5B" w:rsidP="00FA3A5B">
            <w:pPr>
              <w:pStyle w:val="TableBlock"/>
            </w:pPr>
            <w:r w:rsidRPr="009D7811">
              <w:rPr>
                <w:rFonts w:hint="cs"/>
                <w:rtl/>
              </w:rPr>
              <w:t>"(ב2)</w:t>
            </w:r>
            <w:r w:rsidRPr="009D7811">
              <w:rPr>
                <w:rtl/>
              </w:rPr>
              <w:tab/>
              <w:t xml:space="preserve">הורה בית המשפט על שחרור של </w:t>
            </w:r>
            <w:r w:rsidRPr="009D7811">
              <w:rPr>
                <w:rFonts w:hint="cs"/>
                <w:rtl/>
              </w:rPr>
              <w:t xml:space="preserve">נאשם בעבירת מין </w:t>
            </w:r>
            <w:r w:rsidRPr="009D7811">
              <w:rPr>
                <w:rFonts w:hint="eastAsia"/>
                <w:rtl/>
              </w:rPr>
              <w:t>כהגדרתה</w:t>
            </w:r>
            <w:r w:rsidRPr="009D7811">
              <w:rPr>
                <w:rtl/>
              </w:rPr>
              <w:t xml:space="preserve"> </w:t>
            </w:r>
            <w:r w:rsidRPr="009D7811">
              <w:rPr>
                <w:rFonts w:hint="eastAsia"/>
                <w:rtl/>
              </w:rPr>
              <w:t>בחוק</w:t>
            </w:r>
            <w:r w:rsidRPr="009D7811">
              <w:rPr>
                <w:rtl/>
              </w:rPr>
              <w:t xml:space="preserve"> </w:t>
            </w:r>
            <w:r w:rsidRPr="009D7811">
              <w:rPr>
                <w:rFonts w:hint="cs"/>
                <w:rtl/>
              </w:rPr>
              <w:t>ל</w:t>
            </w:r>
            <w:r w:rsidRPr="009D7811">
              <w:rPr>
                <w:rFonts w:hint="eastAsia"/>
                <w:rtl/>
              </w:rPr>
              <w:t>מניעת</w:t>
            </w:r>
            <w:r w:rsidRPr="009D7811">
              <w:rPr>
                <w:rtl/>
              </w:rPr>
              <w:t xml:space="preserve"> </w:t>
            </w:r>
            <w:r w:rsidRPr="009D7811">
              <w:rPr>
                <w:rFonts w:hint="eastAsia"/>
                <w:rtl/>
              </w:rPr>
              <w:t>העסקה</w:t>
            </w:r>
            <w:r w:rsidRPr="009D7811">
              <w:rPr>
                <w:rtl/>
              </w:rPr>
              <w:t xml:space="preserve"> </w:t>
            </w:r>
            <w:r w:rsidRPr="009D7811">
              <w:rPr>
                <w:rFonts w:hint="eastAsia"/>
                <w:rtl/>
              </w:rPr>
              <w:t>של</w:t>
            </w:r>
            <w:r w:rsidRPr="009D7811">
              <w:rPr>
                <w:rtl/>
              </w:rPr>
              <w:t xml:space="preserve"> </w:t>
            </w:r>
            <w:r w:rsidRPr="009D7811">
              <w:rPr>
                <w:rFonts w:hint="eastAsia"/>
                <w:rtl/>
              </w:rPr>
              <w:t>עברייני</w:t>
            </w:r>
            <w:r w:rsidRPr="009D7811">
              <w:rPr>
                <w:rtl/>
              </w:rPr>
              <w:t xml:space="preserve"> </w:t>
            </w:r>
            <w:r w:rsidRPr="009D7811">
              <w:rPr>
                <w:rFonts w:hint="eastAsia"/>
                <w:rtl/>
              </w:rPr>
              <w:t>מין</w:t>
            </w:r>
            <w:r w:rsidRPr="009D7811">
              <w:rPr>
                <w:rFonts w:hint="cs"/>
                <w:rtl/>
              </w:rPr>
              <w:t xml:space="preserve"> </w:t>
            </w:r>
            <w:r w:rsidRPr="009D7811">
              <w:rPr>
                <w:rtl/>
              </w:rPr>
              <w:t xml:space="preserve">במוסדות מסוימים, </w:t>
            </w:r>
            <w:proofErr w:type="spellStart"/>
            <w:r w:rsidRPr="009D7811">
              <w:rPr>
                <w:rFonts w:hint="eastAsia"/>
                <w:rtl/>
              </w:rPr>
              <w:t>ה</w:t>
            </w:r>
            <w:r w:rsidRPr="009D7811">
              <w:rPr>
                <w:rtl/>
              </w:rPr>
              <w:t>תשס"א</w:t>
            </w:r>
            <w:proofErr w:type="spellEnd"/>
            <w:r w:rsidRPr="009D7811">
              <w:rPr>
                <w:rFonts w:hint="cs"/>
                <w:rtl/>
              </w:rPr>
              <w:t>–</w:t>
            </w:r>
            <w:r w:rsidRPr="009D7811">
              <w:rPr>
                <w:rtl/>
              </w:rPr>
              <w:t>2001</w:t>
            </w:r>
            <w:r w:rsidRPr="009D7811">
              <w:rPr>
                <w:rFonts w:hint="cs"/>
                <w:rtl/>
              </w:rPr>
              <w:t xml:space="preserve">, או </w:t>
            </w:r>
            <w:r w:rsidRPr="009D7811">
              <w:rPr>
                <w:rtl/>
              </w:rPr>
              <w:t xml:space="preserve">בעבירת אלימות </w:t>
            </w:r>
            <w:r w:rsidRPr="009D7811">
              <w:rPr>
                <w:rFonts w:hint="cs"/>
                <w:rtl/>
              </w:rPr>
              <w:t>או התעללות בילד או בחסר ישע כהגדרתה בחוק למניעת העסקה במוסדות מסוימים של מי שהורשע באלימות</w:t>
            </w:r>
            <w:r w:rsidRPr="009D7811">
              <w:rPr>
                <w:rtl/>
              </w:rPr>
              <w:t xml:space="preserve"> כלפי ילדים וחסרי ישע, </w:t>
            </w:r>
            <w:proofErr w:type="spellStart"/>
            <w:r w:rsidRPr="009D7811">
              <w:rPr>
                <w:rtl/>
              </w:rPr>
              <w:t>התשפ"ג</w:t>
            </w:r>
            <w:proofErr w:type="spellEnd"/>
            <w:r w:rsidRPr="009D7811">
              <w:rPr>
                <w:rFonts w:hint="cs"/>
                <w:rtl/>
              </w:rPr>
              <w:t>–</w:t>
            </w:r>
            <w:r w:rsidRPr="009D7811">
              <w:rPr>
                <w:rtl/>
              </w:rPr>
              <w:t>2023</w:t>
            </w:r>
            <w:r w:rsidRPr="009D7811">
              <w:rPr>
                <w:rFonts w:hint="cs"/>
                <w:rtl/>
              </w:rPr>
              <w:t xml:space="preserve">, </w:t>
            </w:r>
            <w:r w:rsidRPr="009D7811">
              <w:rPr>
                <w:rtl/>
              </w:rPr>
              <w:t xml:space="preserve">שעל פי </w:t>
            </w:r>
            <w:r w:rsidRPr="009D7811">
              <w:rPr>
                <w:rFonts w:hint="cs"/>
                <w:rtl/>
              </w:rPr>
              <w:t xml:space="preserve">כתב </w:t>
            </w:r>
            <w:r w:rsidRPr="009D7811">
              <w:rPr>
                <w:rtl/>
              </w:rPr>
              <w:t xml:space="preserve">האישום ביצע </w:t>
            </w:r>
            <w:r w:rsidRPr="009D7811">
              <w:rPr>
                <w:rFonts w:hint="cs"/>
                <w:rtl/>
              </w:rPr>
              <w:t xml:space="preserve">הנאשם </w:t>
            </w:r>
            <w:r w:rsidRPr="009D7811">
              <w:rPr>
                <w:rtl/>
              </w:rPr>
              <w:t>בהיותו בגיר</w:t>
            </w:r>
            <w:r w:rsidRPr="009D7811">
              <w:rPr>
                <w:rFonts w:hint="cs"/>
                <w:rtl/>
              </w:rPr>
              <w:t>,</w:t>
            </w:r>
            <w:r w:rsidRPr="009D7811">
              <w:rPr>
                <w:rtl/>
              </w:rPr>
              <w:t xml:space="preserve"> </w:t>
            </w:r>
            <w:r w:rsidRPr="009D7811">
              <w:rPr>
                <w:rFonts w:hint="cs"/>
                <w:rtl/>
              </w:rPr>
              <w:t xml:space="preserve">ולא התנה את </w:t>
            </w:r>
            <w:r w:rsidRPr="009D7811">
              <w:rPr>
                <w:rtl/>
              </w:rPr>
              <w:t>השחרור ב</w:t>
            </w:r>
            <w:r w:rsidRPr="009D7811">
              <w:rPr>
                <w:rFonts w:hint="cs"/>
                <w:rtl/>
              </w:rPr>
              <w:t>איסור עבודה במוסד כאמור בסעיף קטן (א)(10)</w:t>
            </w:r>
            <w:r w:rsidRPr="009D7811">
              <w:rPr>
                <w:rtl/>
              </w:rPr>
              <w:t xml:space="preserve">, יפרט </w:t>
            </w:r>
            <w:r w:rsidRPr="009D7811">
              <w:rPr>
                <w:rFonts w:hint="cs"/>
                <w:rtl/>
              </w:rPr>
              <w:t>את נימוקיו לכך בהחלטתו."</w:t>
            </w:r>
          </w:p>
        </w:tc>
      </w:tr>
      <w:tr w:rsidR="00FA3A5B" w:rsidRPr="009D7811" w14:paraId="4FCA771B" w14:textId="77777777" w:rsidTr="00FA3A5B">
        <w:tblPrEx>
          <w:tblLook w:val="01E0" w:firstRow="1" w:lastRow="1" w:firstColumn="1" w:lastColumn="1" w:noHBand="0" w:noVBand="0"/>
        </w:tblPrEx>
        <w:trPr>
          <w:cantSplit/>
        </w:trPr>
        <w:tc>
          <w:tcPr>
            <w:tcW w:w="1870" w:type="dxa"/>
            <w:shd w:val="clear" w:color="auto" w:fill="auto"/>
          </w:tcPr>
          <w:p w14:paraId="10DAC4FB" w14:textId="00A8D6EF" w:rsidR="00FA3A5B" w:rsidRPr="009D7811" w:rsidRDefault="00FA3A5B" w:rsidP="00FA3A5B">
            <w:pPr>
              <w:pStyle w:val="TableSideHeading"/>
              <w:keepLines w:val="0"/>
            </w:pPr>
            <w:r w:rsidRPr="009D7811">
              <w:rPr>
                <w:rFonts w:hint="eastAsia"/>
                <w:rtl/>
              </w:rPr>
              <w:t>תיקון</w:t>
            </w:r>
            <w:r w:rsidRPr="009D7811">
              <w:rPr>
                <w:rtl/>
              </w:rPr>
              <w:t xml:space="preserve"> חוק המידע הפלילי </w:t>
            </w:r>
            <w:r w:rsidRPr="009D7811">
              <w:rPr>
                <w:rFonts w:hint="eastAsia"/>
                <w:rtl/>
              </w:rPr>
              <w:t>ותקנת</w:t>
            </w:r>
            <w:r w:rsidRPr="009D7811">
              <w:rPr>
                <w:rtl/>
              </w:rPr>
              <w:t xml:space="preserve"> השבים</w:t>
            </w:r>
            <w:r w:rsidR="00131EA2">
              <w:rPr>
                <w:rFonts w:hint="cs"/>
                <w:rtl/>
              </w:rPr>
              <w:t xml:space="preserve"> </w:t>
            </w:r>
            <w:r w:rsidR="00131EA2">
              <w:rPr>
                <w:rtl/>
              </w:rPr>
              <w:t>–</w:t>
            </w:r>
            <w:r w:rsidR="00131EA2">
              <w:rPr>
                <w:rFonts w:hint="cs"/>
                <w:rtl/>
              </w:rPr>
              <w:t xml:space="preserve"> מס' 5</w:t>
            </w:r>
          </w:p>
        </w:tc>
        <w:tc>
          <w:tcPr>
            <w:tcW w:w="624" w:type="dxa"/>
            <w:shd w:val="clear" w:color="auto" w:fill="auto"/>
          </w:tcPr>
          <w:p w14:paraId="33C37AB2" w14:textId="77777777" w:rsidR="00FA3A5B" w:rsidRPr="009D7811" w:rsidRDefault="00FA3A5B" w:rsidP="00FA3A5B">
            <w:pPr>
              <w:pStyle w:val="TableText"/>
              <w:keepLines w:val="0"/>
            </w:pPr>
            <w:r w:rsidRPr="009D7811">
              <w:rPr>
                <w:rFonts w:hint="cs"/>
                <w:rtl/>
              </w:rPr>
              <w:t>16.</w:t>
            </w:r>
          </w:p>
        </w:tc>
        <w:tc>
          <w:tcPr>
            <w:tcW w:w="7143" w:type="dxa"/>
            <w:gridSpan w:val="2"/>
            <w:shd w:val="clear" w:color="auto" w:fill="auto"/>
          </w:tcPr>
          <w:p w14:paraId="6D46CA44" w14:textId="77777777" w:rsidR="00FA3A5B" w:rsidRPr="009D7811" w:rsidRDefault="00FA3A5B" w:rsidP="00FA3A5B">
            <w:pPr>
              <w:pStyle w:val="TableBlock"/>
            </w:pPr>
            <w:r w:rsidRPr="009D7811">
              <w:rPr>
                <w:rFonts w:hint="eastAsia"/>
                <w:rtl/>
              </w:rPr>
              <w:t>בחוק</w:t>
            </w:r>
            <w:r w:rsidRPr="009D7811">
              <w:rPr>
                <w:rtl/>
              </w:rPr>
              <w:t xml:space="preserve"> </w:t>
            </w:r>
            <w:r w:rsidRPr="009D7811">
              <w:rPr>
                <w:rFonts w:hint="eastAsia"/>
                <w:rtl/>
              </w:rPr>
              <w:t>המידע</w:t>
            </w:r>
            <w:r w:rsidRPr="009D7811">
              <w:rPr>
                <w:rtl/>
              </w:rPr>
              <w:t xml:space="preserve"> </w:t>
            </w:r>
            <w:r w:rsidRPr="009D7811">
              <w:rPr>
                <w:rFonts w:hint="eastAsia"/>
                <w:rtl/>
              </w:rPr>
              <w:t>הפלילי</w:t>
            </w:r>
            <w:r w:rsidRPr="009D7811">
              <w:rPr>
                <w:rtl/>
              </w:rPr>
              <w:t xml:space="preserve"> </w:t>
            </w:r>
            <w:r w:rsidRPr="009D7811">
              <w:rPr>
                <w:rFonts w:hint="eastAsia"/>
                <w:rtl/>
              </w:rPr>
              <w:t>ותקנת</w:t>
            </w:r>
            <w:r w:rsidRPr="009D7811">
              <w:rPr>
                <w:rtl/>
              </w:rPr>
              <w:t xml:space="preserve"> </w:t>
            </w:r>
            <w:r w:rsidRPr="009D7811">
              <w:rPr>
                <w:rFonts w:hint="eastAsia"/>
                <w:rtl/>
              </w:rPr>
              <w:t>השבים</w:t>
            </w:r>
            <w:r w:rsidRPr="009D7811">
              <w:rPr>
                <w:rtl/>
              </w:rPr>
              <w:t xml:space="preserve">, </w:t>
            </w:r>
            <w:proofErr w:type="spellStart"/>
            <w:r w:rsidRPr="009D7811">
              <w:rPr>
                <w:rFonts w:hint="eastAsia"/>
                <w:rtl/>
              </w:rPr>
              <w:t>התשע</w:t>
            </w:r>
            <w:r w:rsidRPr="009D7811">
              <w:rPr>
                <w:rtl/>
              </w:rPr>
              <w:t>"ט</w:t>
            </w:r>
            <w:proofErr w:type="spellEnd"/>
            <w:r w:rsidRPr="009D7811">
              <w:rPr>
                <w:rFonts w:hint="eastAsia"/>
                <w:rtl/>
              </w:rPr>
              <w:t>–</w:t>
            </w:r>
            <w:r w:rsidRPr="009D7811">
              <w:rPr>
                <w:rtl/>
              </w:rPr>
              <w:t>2019</w:t>
            </w:r>
            <w:r w:rsidRPr="00FA3A5B">
              <w:rPr>
                <w:rStyle w:val="aa"/>
                <w:rFonts w:ascii="David" w:hAnsi="David"/>
                <w:sz w:val="26"/>
                <w:rtl/>
              </w:rPr>
              <w:footnoteReference w:id="13"/>
            </w:r>
            <w:r w:rsidRPr="009D7811">
              <w:rPr>
                <w:rtl/>
              </w:rPr>
              <w:t xml:space="preserve"> </w:t>
            </w:r>
            <w:r w:rsidRPr="009D7811">
              <w:rPr>
                <w:rFonts w:hint="eastAsia"/>
                <w:rtl/>
              </w:rPr>
              <w:t>–</w:t>
            </w:r>
          </w:p>
        </w:tc>
      </w:tr>
      <w:tr w:rsidR="00FA3A5B" w:rsidRPr="009D7811" w14:paraId="3BB97835" w14:textId="77777777" w:rsidTr="00FA3A5B">
        <w:tblPrEx>
          <w:tblLook w:val="01E0" w:firstRow="1" w:lastRow="1" w:firstColumn="1" w:lastColumn="1" w:noHBand="0" w:noVBand="0"/>
        </w:tblPrEx>
        <w:trPr>
          <w:cantSplit/>
        </w:trPr>
        <w:tc>
          <w:tcPr>
            <w:tcW w:w="1870" w:type="dxa"/>
            <w:shd w:val="clear" w:color="auto" w:fill="auto"/>
          </w:tcPr>
          <w:p w14:paraId="25482FEF" w14:textId="77777777" w:rsidR="00FA3A5B" w:rsidRPr="009D7811" w:rsidRDefault="00FA3A5B" w:rsidP="00FA3A5B">
            <w:pPr>
              <w:pStyle w:val="TableSideHeading"/>
              <w:keepLines w:val="0"/>
              <w:ind w:right="-28"/>
              <w:rPr>
                <w:rtl/>
              </w:rPr>
            </w:pPr>
          </w:p>
        </w:tc>
        <w:tc>
          <w:tcPr>
            <w:tcW w:w="624" w:type="dxa"/>
            <w:shd w:val="clear" w:color="auto" w:fill="auto"/>
          </w:tcPr>
          <w:p w14:paraId="5D63B798" w14:textId="77777777" w:rsidR="00FA3A5B" w:rsidRPr="009D7811" w:rsidRDefault="00FA3A5B" w:rsidP="00FA3A5B">
            <w:pPr>
              <w:pStyle w:val="TableText"/>
              <w:rPr>
                <w:rtl/>
              </w:rPr>
            </w:pPr>
          </w:p>
        </w:tc>
        <w:tc>
          <w:tcPr>
            <w:tcW w:w="7143" w:type="dxa"/>
            <w:gridSpan w:val="2"/>
            <w:shd w:val="clear" w:color="auto" w:fill="auto"/>
          </w:tcPr>
          <w:p w14:paraId="55871EE7" w14:textId="77777777" w:rsidR="00FA3A5B" w:rsidRPr="009D7811" w:rsidRDefault="00FA3A5B" w:rsidP="00FA3A5B">
            <w:pPr>
              <w:pStyle w:val="TableBlock"/>
              <w:rPr>
                <w:rtl/>
              </w:rPr>
            </w:pPr>
            <w:r w:rsidRPr="009D7811">
              <w:rPr>
                <w:rtl/>
              </w:rPr>
              <w:t>(1)</w:t>
            </w:r>
            <w:r w:rsidRPr="009D7811">
              <w:rPr>
                <w:rtl/>
              </w:rPr>
              <w:tab/>
              <w:t xml:space="preserve">בתוספת הראשונה, </w:t>
            </w:r>
            <w:r w:rsidRPr="009D7811">
              <w:rPr>
                <w:rFonts w:hint="cs"/>
                <w:rtl/>
              </w:rPr>
              <w:t>ב</w:t>
            </w:r>
            <w:r w:rsidRPr="009D7811">
              <w:rPr>
                <w:rtl/>
              </w:rPr>
              <w:t>פרט 5</w:t>
            </w:r>
            <w:r w:rsidRPr="009D7811">
              <w:rPr>
                <w:rFonts w:hint="cs"/>
                <w:rtl/>
              </w:rPr>
              <w:t xml:space="preserve">, אחרי פסקה </w:t>
            </w:r>
            <w:r w:rsidRPr="009D7811">
              <w:rPr>
                <w:rtl/>
              </w:rPr>
              <w:t>(24) יבוא</w:t>
            </w:r>
            <w:r w:rsidRPr="009D7811">
              <w:rPr>
                <w:rFonts w:hint="cs"/>
                <w:rtl/>
              </w:rPr>
              <w:t>:</w:t>
            </w:r>
            <w:r w:rsidRPr="009D7811">
              <w:rPr>
                <w:rtl/>
              </w:rPr>
              <w:t xml:space="preserve"> </w:t>
            </w:r>
          </w:p>
        </w:tc>
      </w:tr>
      <w:tr w:rsidR="00FA3A5B" w:rsidRPr="009D7811" w14:paraId="19B07B95" w14:textId="77777777" w:rsidTr="00FA3A5B">
        <w:tblPrEx>
          <w:tblLook w:val="01E0" w:firstRow="1" w:lastRow="1" w:firstColumn="1" w:lastColumn="1" w:noHBand="0" w:noVBand="0"/>
        </w:tblPrEx>
        <w:trPr>
          <w:cantSplit/>
        </w:trPr>
        <w:tc>
          <w:tcPr>
            <w:tcW w:w="1870" w:type="dxa"/>
            <w:shd w:val="clear" w:color="auto" w:fill="auto"/>
          </w:tcPr>
          <w:p w14:paraId="55455F7F" w14:textId="77777777" w:rsidR="00FA3A5B" w:rsidRPr="009D7811" w:rsidRDefault="00FA3A5B" w:rsidP="00FA3A5B">
            <w:pPr>
              <w:pStyle w:val="TableSideHeading"/>
            </w:pPr>
          </w:p>
        </w:tc>
        <w:tc>
          <w:tcPr>
            <w:tcW w:w="624" w:type="dxa"/>
            <w:shd w:val="clear" w:color="auto" w:fill="auto"/>
          </w:tcPr>
          <w:p w14:paraId="616D6799" w14:textId="77777777" w:rsidR="00FA3A5B" w:rsidRPr="009D7811" w:rsidRDefault="00FA3A5B" w:rsidP="00FA3A5B">
            <w:pPr>
              <w:pStyle w:val="TableText"/>
            </w:pPr>
          </w:p>
        </w:tc>
        <w:tc>
          <w:tcPr>
            <w:tcW w:w="624" w:type="dxa"/>
            <w:shd w:val="clear" w:color="auto" w:fill="auto"/>
          </w:tcPr>
          <w:p w14:paraId="3D2C37F7" w14:textId="77777777" w:rsidR="00FA3A5B" w:rsidRPr="009D7811" w:rsidRDefault="00FA3A5B" w:rsidP="00FA3A5B">
            <w:pPr>
              <w:pStyle w:val="TableText"/>
            </w:pPr>
          </w:p>
        </w:tc>
        <w:tc>
          <w:tcPr>
            <w:tcW w:w="6519" w:type="dxa"/>
            <w:shd w:val="clear" w:color="auto" w:fill="auto"/>
          </w:tcPr>
          <w:p w14:paraId="646BE156" w14:textId="77777777" w:rsidR="00FA3A5B" w:rsidRPr="009D7811" w:rsidRDefault="00FA3A5B" w:rsidP="00FA3A5B">
            <w:pPr>
              <w:pStyle w:val="TableBlock"/>
            </w:pPr>
            <w:r w:rsidRPr="009D7811">
              <w:rPr>
                <w:rtl/>
              </w:rPr>
              <w:t>"(25)</w:t>
            </w:r>
            <w:r w:rsidRPr="009D7811">
              <w:rPr>
                <w:rtl/>
              </w:rPr>
              <w:tab/>
              <w:t xml:space="preserve">ועדת מומחים לפי סעיף 5 לחוק מניעת העסקה במוסדות מסוימים של מי שהורשע באלימות כלפי ילדים וחסרי ישע, </w:t>
            </w:r>
            <w:proofErr w:type="spellStart"/>
            <w:r w:rsidRPr="009D7811">
              <w:rPr>
                <w:rtl/>
              </w:rPr>
              <w:t>התשפ"ג</w:t>
            </w:r>
            <w:proofErr w:type="spellEnd"/>
            <w:r w:rsidRPr="009D7811">
              <w:rPr>
                <w:rtl/>
              </w:rPr>
              <w:t>–2023</w:t>
            </w:r>
            <w:r w:rsidRPr="00FA3A5B">
              <w:rPr>
                <w:rStyle w:val="aa"/>
                <w:rFonts w:ascii="David" w:hAnsi="David"/>
                <w:sz w:val="26"/>
                <w:rtl/>
              </w:rPr>
              <w:footnoteReference w:id="14"/>
            </w:r>
            <w:r w:rsidRPr="009D7811">
              <w:rPr>
                <w:rtl/>
              </w:rPr>
              <w:t xml:space="preserve">, </w:t>
            </w:r>
            <w:r w:rsidRPr="009D7811">
              <w:rPr>
                <w:rFonts w:hint="cs"/>
                <w:rtl/>
              </w:rPr>
              <w:t xml:space="preserve">לשם </w:t>
            </w:r>
            <w:r w:rsidRPr="009D7811">
              <w:rPr>
                <w:rtl/>
              </w:rPr>
              <w:t xml:space="preserve">מתן פטור מן האיסור לפי </w:t>
            </w:r>
            <w:r w:rsidRPr="009D7811">
              <w:rPr>
                <w:rFonts w:hint="cs"/>
                <w:rtl/>
              </w:rPr>
              <w:t xml:space="preserve">אותו </w:t>
            </w:r>
            <w:r w:rsidRPr="009D7811">
              <w:rPr>
                <w:rtl/>
              </w:rPr>
              <w:t>סעיף</w:t>
            </w:r>
            <w:r w:rsidRPr="009D7811">
              <w:rPr>
                <w:rFonts w:hint="cs"/>
                <w:rtl/>
              </w:rPr>
              <w:t>.</w:t>
            </w:r>
            <w:r w:rsidRPr="009D7811">
              <w:rPr>
                <w:rtl/>
              </w:rPr>
              <w:t>"</w:t>
            </w:r>
            <w:r w:rsidRPr="009D7811">
              <w:rPr>
                <w:rFonts w:hint="cs"/>
                <w:rtl/>
              </w:rPr>
              <w:t>;</w:t>
            </w:r>
          </w:p>
        </w:tc>
      </w:tr>
      <w:tr w:rsidR="00FA3A5B" w:rsidRPr="009D7811" w14:paraId="64374038" w14:textId="77777777" w:rsidTr="00FA3A5B">
        <w:tblPrEx>
          <w:tblLook w:val="01E0" w:firstRow="1" w:lastRow="1" w:firstColumn="1" w:lastColumn="1" w:noHBand="0" w:noVBand="0"/>
        </w:tblPrEx>
        <w:trPr>
          <w:cantSplit/>
        </w:trPr>
        <w:tc>
          <w:tcPr>
            <w:tcW w:w="1870" w:type="dxa"/>
            <w:shd w:val="clear" w:color="auto" w:fill="auto"/>
          </w:tcPr>
          <w:p w14:paraId="2281C6B7" w14:textId="77777777" w:rsidR="00FA3A5B" w:rsidRPr="009D7811" w:rsidRDefault="00FA3A5B" w:rsidP="00FA3A5B">
            <w:pPr>
              <w:pStyle w:val="TableSideHeading"/>
            </w:pPr>
          </w:p>
        </w:tc>
        <w:tc>
          <w:tcPr>
            <w:tcW w:w="624" w:type="dxa"/>
            <w:shd w:val="clear" w:color="auto" w:fill="auto"/>
          </w:tcPr>
          <w:p w14:paraId="67B12E2C" w14:textId="77777777" w:rsidR="00FA3A5B" w:rsidRPr="009D7811" w:rsidRDefault="00FA3A5B" w:rsidP="00FA3A5B">
            <w:pPr>
              <w:pStyle w:val="TableText"/>
            </w:pPr>
          </w:p>
        </w:tc>
        <w:tc>
          <w:tcPr>
            <w:tcW w:w="7143" w:type="dxa"/>
            <w:gridSpan w:val="2"/>
            <w:shd w:val="clear" w:color="auto" w:fill="auto"/>
          </w:tcPr>
          <w:p w14:paraId="13454A12" w14:textId="77777777" w:rsidR="00FA3A5B" w:rsidRPr="009D7811" w:rsidRDefault="00FA3A5B" w:rsidP="00FA3A5B">
            <w:pPr>
              <w:pStyle w:val="TableBlock"/>
            </w:pPr>
            <w:r w:rsidRPr="009D7811">
              <w:rPr>
                <w:rtl/>
              </w:rPr>
              <w:t>(2)</w:t>
            </w:r>
            <w:r w:rsidRPr="009D7811">
              <w:rPr>
                <w:rtl/>
              </w:rPr>
              <w:tab/>
              <w:t>בתוספת ה</w:t>
            </w:r>
            <w:r w:rsidRPr="009D7811">
              <w:rPr>
                <w:rFonts w:hint="eastAsia"/>
                <w:rtl/>
              </w:rPr>
              <w:t>שישית</w:t>
            </w:r>
            <w:r w:rsidRPr="009D7811">
              <w:rPr>
                <w:rtl/>
              </w:rPr>
              <w:t>, אחר</w:t>
            </w:r>
            <w:r w:rsidRPr="009D7811">
              <w:rPr>
                <w:rFonts w:hint="cs"/>
                <w:rtl/>
              </w:rPr>
              <w:t>י</w:t>
            </w:r>
            <w:r w:rsidRPr="009D7811">
              <w:rPr>
                <w:rtl/>
              </w:rPr>
              <w:t xml:space="preserve"> פרט 15 יבוא</w:t>
            </w:r>
            <w:r w:rsidRPr="009D7811">
              <w:rPr>
                <w:rFonts w:hint="cs"/>
                <w:rtl/>
              </w:rPr>
              <w:t>:</w:t>
            </w:r>
          </w:p>
        </w:tc>
      </w:tr>
      <w:tr w:rsidR="00FA3A5B" w:rsidRPr="009D7811" w14:paraId="4A996270" w14:textId="77777777" w:rsidTr="00FA3A5B">
        <w:tblPrEx>
          <w:tblLook w:val="01E0" w:firstRow="1" w:lastRow="1" w:firstColumn="1" w:lastColumn="1" w:noHBand="0" w:noVBand="0"/>
        </w:tblPrEx>
        <w:trPr>
          <w:cantSplit/>
        </w:trPr>
        <w:tc>
          <w:tcPr>
            <w:tcW w:w="1870" w:type="dxa"/>
            <w:shd w:val="clear" w:color="auto" w:fill="auto"/>
          </w:tcPr>
          <w:p w14:paraId="36A7A093" w14:textId="77777777" w:rsidR="00FA3A5B" w:rsidRPr="009D7811" w:rsidRDefault="00FA3A5B" w:rsidP="00FA3A5B">
            <w:pPr>
              <w:pStyle w:val="TableSideHeading"/>
            </w:pPr>
          </w:p>
        </w:tc>
        <w:tc>
          <w:tcPr>
            <w:tcW w:w="624" w:type="dxa"/>
            <w:shd w:val="clear" w:color="auto" w:fill="auto"/>
          </w:tcPr>
          <w:p w14:paraId="57C80762" w14:textId="77777777" w:rsidR="00FA3A5B" w:rsidRPr="009D7811" w:rsidRDefault="00FA3A5B" w:rsidP="00FA3A5B">
            <w:pPr>
              <w:pStyle w:val="TableText"/>
            </w:pPr>
          </w:p>
        </w:tc>
        <w:tc>
          <w:tcPr>
            <w:tcW w:w="624" w:type="dxa"/>
            <w:shd w:val="clear" w:color="auto" w:fill="auto"/>
          </w:tcPr>
          <w:p w14:paraId="2FD02E98" w14:textId="77777777" w:rsidR="00FA3A5B" w:rsidRPr="009D7811" w:rsidRDefault="00FA3A5B" w:rsidP="00FA3A5B">
            <w:pPr>
              <w:pStyle w:val="TableText"/>
            </w:pPr>
          </w:p>
        </w:tc>
        <w:tc>
          <w:tcPr>
            <w:tcW w:w="6519" w:type="dxa"/>
            <w:shd w:val="clear" w:color="auto" w:fill="auto"/>
          </w:tcPr>
          <w:p w14:paraId="60983796" w14:textId="77777777" w:rsidR="00FA3A5B" w:rsidRPr="009D7811" w:rsidRDefault="00FA3A5B" w:rsidP="00FA3A5B">
            <w:pPr>
              <w:pStyle w:val="TableBlock"/>
              <w:rPr>
                <w:rtl/>
              </w:rPr>
            </w:pPr>
            <w:r w:rsidRPr="009D7811">
              <w:rPr>
                <w:rtl/>
              </w:rPr>
              <w:t xml:space="preserve">"16. </w:t>
            </w:r>
            <w:r w:rsidRPr="009D7811">
              <w:rPr>
                <w:rtl/>
              </w:rPr>
              <w:tab/>
              <w:t>הגורם המנוי בפרט 5(25) לתוספת הראשונה לעניין מתן פטור כאמור באותו פרט</w:t>
            </w:r>
            <w:r w:rsidRPr="009D7811">
              <w:rPr>
                <w:rFonts w:hint="cs"/>
                <w:rtl/>
              </w:rPr>
              <w:t>.</w:t>
            </w:r>
            <w:r w:rsidRPr="009D7811">
              <w:rPr>
                <w:rtl/>
              </w:rPr>
              <w:t>"</w:t>
            </w:r>
          </w:p>
        </w:tc>
      </w:tr>
      <w:tr w:rsidR="00FA3A5B" w:rsidRPr="009D7811" w14:paraId="5DBFCD2F" w14:textId="77777777" w:rsidTr="00FA3A5B">
        <w:tblPrEx>
          <w:tblLook w:val="01E0" w:firstRow="1" w:lastRow="1" w:firstColumn="1" w:lastColumn="1" w:noHBand="0" w:noVBand="0"/>
        </w:tblPrEx>
        <w:trPr>
          <w:cantSplit/>
        </w:trPr>
        <w:tc>
          <w:tcPr>
            <w:tcW w:w="1870" w:type="dxa"/>
          </w:tcPr>
          <w:p w14:paraId="79624092" w14:textId="77777777" w:rsidR="00FA3A5B" w:rsidRPr="009D7811" w:rsidRDefault="00FA3A5B" w:rsidP="00FA3A5B">
            <w:pPr>
              <w:pStyle w:val="TableSideHeading"/>
              <w:keepLines w:val="0"/>
              <w:ind w:right="-28"/>
            </w:pPr>
            <w:r w:rsidRPr="009D7811">
              <w:rPr>
                <w:rFonts w:hint="cs"/>
                <w:rtl/>
              </w:rPr>
              <w:t>תחילה, תחולה והוראות מעבר</w:t>
            </w:r>
          </w:p>
        </w:tc>
        <w:tc>
          <w:tcPr>
            <w:tcW w:w="624" w:type="dxa"/>
          </w:tcPr>
          <w:p w14:paraId="495411BB" w14:textId="77777777" w:rsidR="00FA3A5B" w:rsidRPr="009D7811" w:rsidRDefault="00FA3A5B" w:rsidP="00FA3A5B">
            <w:pPr>
              <w:pStyle w:val="TableText"/>
              <w:rPr>
                <w:rtl/>
              </w:rPr>
            </w:pPr>
            <w:r w:rsidRPr="009D7811">
              <w:rPr>
                <w:rFonts w:hint="cs"/>
                <w:rtl/>
              </w:rPr>
              <w:t xml:space="preserve">17. </w:t>
            </w:r>
          </w:p>
        </w:tc>
        <w:tc>
          <w:tcPr>
            <w:tcW w:w="7143" w:type="dxa"/>
            <w:gridSpan w:val="2"/>
          </w:tcPr>
          <w:p w14:paraId="393913F7" w14:textId="77777777" w:rsidR="00FA3A5B" w:rsidRPr="009D7811" w:rsidRDefault="00FA3A5B" w:rsidP="00FA3A5B">
            <w:pPr>
              <w:pStyle w:val="TableBlock"/>
            </w:pPr>
            <w:r w:rsidRPr="009D7811">
              <w:rPr>
                <w:rFonts w:hint="cs"/>
                <w:rtl/>
              </w:rPr>
              <w:t>(א)</w:t>
            </w:r>
            <w:r w:rsidRPr="009D7811">
              <w:rPr>
                <w:rtl/>
              </w:rPr>
              <w:tab/>
            </w:r>
            <w:r w:rsidRPr="009D7811">
              <w:rPr>
                <w:rFonts w:hint="cs"/>
                <w:rtl/>
              </w:rPr>
              <w:t xml:space="preserve">תחילתו של חוק זה, למעט סעיף 5, שנה מיום פרסומו (להלן </w:t>
            </w:r>
            <w:r w:rsidRPr="009D7811">
              <w:rPr>
                <w:rtl/>
              </w:rPr>
              <w:t>–</w:t>
            </w:r>
            <w:r w:rsidRPr="009D7811">
              <w:rPr>
                <w:rFonts w:hint="cs"/>
                <w:rtl/>
              </w:rPr>
              <w:t xml:space="preserve"> יום התחילה).</w:t>
            </w:r>
          </w:p>
        </w:tc>
      </w:tr>
      <w:tr w:rsidR="00FA3A5B" w:rsidRPr="009D7811" w14:paraId="577B4754" w14:textId="77777777" w:rsidTr="00FA3A5B">
        <w:tblPrEx>
          <w:tblLook w:val="01E0" w:firstRow="1" w:lastRow="1" w:firstColumn="1" w:lastColumn="1" w:noHBand="0" w:noVBand="0"/>
        </w:tblPrEx>
        <w:trPr>
          <w:cantSplit/>
        </w:trPr>
        <w:tc>
          <w:tcPr>
            <w:tcW w:w="1870" w:type="dxa"/>
          </w:tcPr>
          <w:p w14:paraId="222F77D7" w14:textId="77777777" w:rsidR="00FA3A5B" w:rsidRPr="009D7811" w:rsidRDefault="00FA3A5B" w:rsidP="00FA3A5B">
            <w:pPr>
              <w:pStyle w:val="TableSideHeading"/>
              <w:keepLines w:val="0"/>
              <w:ind w:right="-28"/>
              <w:rPr>
                <w:rtl/>
              </w:rPr>
            </w:pPr>
          </w:p>
        </w:tc>
        <w:tc>
          <w:tcPr>
            <w:tcW w:w="624" w:type="dxa"/>
          </w:tcPr>
          <w:p w14:paraId="12153EF0" w14:textId="77777777" w:rsidR="00FA3A5B" w:rsidRPr="009D7811" w:rsidRDefault="00FA3A5B" w:rsidP="00FA3A5B">
            <w:pPr>
              <w:pStyle w:val="TableText"/>
              <w:rPr>
                <w:rtl/>
              </w:rPr>
            </w:pPr>
          </w:p>
        </w:tc>
        <w:tc>
          <w:tcPr>
            <w:tcW w:w="7143" w:type="dxa"/>
            <w:gridSpan w:val="2"/>
          </w:tcPr>
          <w:p w14:paraId="541C29C5" w14:textId="77777777" w:rsidR="00FA3A5B" w:rsidRPr="009D7811" w:rsidRDefault="00FA3A5B" w:rsidP="00FA3A5B">
            <w:pPr>
              <w:pStyle w:val="TableBlock"/>
              <w:rPr>
                <w:rtl/>
              </w:rPr>
            </w:pPr>
            <w:r w:rsidRPr="009D7811">
              <w:rPr>
                <w:rFonts w:hint="cs"/>
                <w:rtl/>
              </w:rPr>
              <w:t>(ב)</w:t>
            </w:r>
            <w:r w:rsidRPr="009D7811">
              <w:rPr>
                <w:rtl/>
              </w:rPr>
              <w:tab/>
            </w:r>
            <w:r w:rsidRPr="009D7811">
              <w:rPr>
                <w:rFonts w:hint="cs"/>
                <w:rtl/>
              </w:rPr>
              <w:t xml:space="preserve">תחילתו של סעיף 5 שישה חודשים מיום פרסומו (להלן </w:t>
            </w:r>
            <w:r w:rsidRPr="009D7811">
              <w:rPr>
                <w:rtl/>
              </w:rPr>
              <w:t>–</w:t>
            </w:r>
            <w:r w:rsidRPr="009D7811">
              <w:rPr>
                <w:rFonts w:hint="cs"/>
                <w:rtl/>
              </w:rPr>
              <w:t xml:space="preserve"> יום הקמת ועדת המומחים); על אף האמור בסעיף 5(ב), בגיר שהאיסור לפי סעיף 2(ב) יחול עליו ביום התחילה או לאחריו יהיה רשאי להגיש בקשה לוועדת המומחים החל מיום הקמת ועדת המומחים ואף בטרם חל עליו האיסור, והוועדה תהיה מוסמכת להעריך את הצורך באיסור ולתת פטור ממנו.</w:t>
            </w:r>
          </w:p>
        </w:tc>
      </w:tr>
      <w:tr w:rsidR="00FA3A5B" w:rsidRPr="009D7811" w14:paraId="27FDCEFF" w14:textId="77777777" w:rsidTr="00FA3A5B">
        <w:tblPrEx>
          <w:tblLook w:val="01E0" w:firstRow="1" w:lastRow="1" w:firstColumn="1" w:lastColumn="1" w:noHBand="0" w:noVBand="0"/>
        </w:tblPrEx>
        <w:trPr>
          <w:cantSplit/>
        </w:trPr>
        <w:tc>
          <w:tcPr>
            <w:tcW w:w="1870" w:type="dxa"/>
          </w:tcPr>
          <w:p w14:paraId="2F6C3669" w14:textId="77777777" w:rsidR="00FA3A5B" w:rsidRPr="009D7811" w:rsidRDefault="00FA3A5B" w:rsidP="00FA3A5B">
            <w:pPr>
              <w:pStyle w:val="TableSideHeading"/>
              <w:keepLines w:val="0"/>
              <w:ind w:right="-28"/>
              <w:rPr>
                <w:rtl/>
              </w:rPr>
            </w:pPr>
          </w:p>
        </w:tc>
        <w:tc>
          <w:tcPr>
            <w:tcW w:w="624" w:type="dxa"/>
          </w:tcPr>
          <w:p w14:paraId="65702C44" w14:textId="77777777" w:rsidR="00FA3A5B" w:rsidRPr="009D7811" w:rsidRDefault="00FA3A5B" w:rsidP="00FA3A5B">
            <w:pPr>
              <w:pStyle w:val="TableText"/>
              <w:rPr>
                <w:rtl/>
              </w:rPr>
            </w:pPr>
          </w:p>
        </w:tc>
        <w:tc>
          <w:tcPr>
            <w:tcW w:w="7143" w:type="dxa"/>
            <w:gridSpan w:val="2"/>
          </w:tcPr>
          <w:p w14:paraId="1B5F098B" w14:textId="77777777" w:rsidR="00FA3A5B" w:rsidRPr="009D7811" w:rsidRDefault="00FA3A5B" w:rsidP="00FA3A5B">
            <w:pPr>
              <w:pStyle w:val="TableBlock"/>
              <w:rPr>
                <w:rtl/>
              </w:rPr>
            </w:pPr>
            <w:r w:rsidRPr="009D7811">
              <w:rPr>
                <w:rFonts w:hint="cs"/>
                <w:rtl/>
              </w:rPr>
              <w:t>(ג)</w:t>
            </w:r>
            <w:r w:rsidRPr="009D7811">
              <w:rPr>
                <w:rtl/>
              </w:rPr>
              <w:tab/>
            </w:r>
            <w:r w:rsidRPr="009D7811">
              <w:rPr>
                <w:rFonts w:hint="cs"/>
                <w:rtl/>
              </w:rPr>
              <w:t>הגיש בגיר כאמור בסעיף קטן (ב) בקשה לוועדת מומחים בתוך 60 ימים מיום הקמת ועדת המומחים, תדון הוועדה ותחליט בעניינו בתוך ארבעה חודשים מיום הגשת הבקשה.</w:t>
            </w:r>
          </w:p>
        </w:tc>
      </w:tr>
      <w:tr w:rsidR="00FA3A5B" w:rsidRPr="009D7811" w14:paraId="0A978BF3" w14:textId="77777777" w:rsidTr="00FA3A5B">
        <w:tblPrEx>
          <w:tblLook w:val="01E0" w:firstRow="1" w:lastRow="1" w:firstColumn="1" w:lastColumn="1" w:noHBand="0" w:noVBand="0"/>
        </w:tblPrEx>
        <w:trPr>
          <w:cantSplit/>
        </w:trPr>
        <w:tc>
          <w:tcPr>
            <w:tcW w:w="1870" w:type="dxa"/>
          </w:tcPr>
          <w:p w14:paraId="4EFADAA3" w14:textId="77777777" w:rsidR="00FA3A5B" w:rsidRPr="009D7811" w:rsidRDefault="00FA3A5B" w:rsidP="00FA3A5B">
            <w:pPr>
              <w:pStyle w:val="TableSideHeading"/>
              <w:keepLines w:val="0"/>
              <w:ind w:right="-28"/>
              <w:rPr>
                <w:rtl/>
              </w:rPr>
            </w:pPr>
          </w:p>
        </w:tc>
        <w:tc>
          <w:tcPr>
            <w:tcW w:w="624" w:type="dxa"/>
          </w:tcPr>
          <w:p w14:paraId="08A27C6E" w14:textId="77777777" w:rsidR="00FA3A5B" w:rsidRPr="009D7811" w:rsidRDefault="00FA3A5B" w:rsidP="00FA3A5B">
            <w:pPr>
              <w:pStyle w:val="TableText"/>
              <w:rPr>
                <w:rtl/>
              </w:rPr>
            </w:pPr>
          </w:p>
        </w:tc>
        <w:tc>
          <w:tcPr>
            <w:tcW w:w="7143" w:type="dxa"/>
            <w:gridSpan w:val="2"/>
          </w:tcPr>
          <w:p w14:paraId="5C8C39F0" w14:textId="77777777" w:rsidR="00FA3A5B" w:rsidRPr="009D7811" w:rsidRDefault="00FA3A5B" w:rsidP="00FA3A5B">
            <w:pPr>
              <w:pStyle w:val="TableBlock"/>
              <w:rPr>
                <w:rtl/>
              </w:rPr>
            </w:pPr>
            <w:r w:rsidRPr="009D7811">
              <w:rPr>
                <w:rFonts w:hint="cs"/>
                <w:rtl/>
              </w:rPr>
              <w:t>(ד)</w:t>
            </w:r>
            <w:r w:rsidRPr="009D7811">
              <w:rPr>
                <w:rtl/>
              </w:rPr>
              <w:tab/>
            </w:r>
            <w:r w:rsidRPr="009D7811">
              <w:rPr>
                <w:rFonts w:hint="cs"/>
                <w:rtl/>
              </w:rPr>
              <w:t xml:space="preserve">לעניין בגיר המועסק במוסד ביום התחילה יחולו הוראות אלה: </w:t>
            </w:r>
          </w:p>
        </w:tc>
      </w:tr>
      <w:tr w:rsidR="00FA3A5B" w:rsidRPr="009D7811" w14:paraId="2960D318" w14:textId="77777777" w:rsidTr="00FA3A5B">
        <w:tblPrEx>
          <w:tblLook w:val="01E0" w:firstRow="1" w:lastRow="1" w:firstColumn="1" w:lastColumn="1" w:noHBand="0" w:noVBand="0"/>
        </w:tblPrEx>
        <w:trPr>
          <w:cantSplit/>
        </w:trPr>
        <w:tc>
          <w:tcPr>
            <w:tcW w:w="1870" w:type="dxa"/>
          </w:tcPr>
          <w:p w14:paraId="72E0A1FF" w14:textId="77777777" w:rsidR="00FA3A5B" w:rsidRPr="009D7811" w:rsidRDefault="00FA3A5B" w:rsidP="00FA3A5B">
            <w:pPr>
              <w:pStyle w:val="TableSideHeading"/>
            </w:pPr>
          </w:p>
        </w:tc>
        <w:tc>
          <w:tcPr>
            <w:tcW w:w="624" w:type="dxa"/>
          </w:tcPr>
          <w:p w14:paraId="2EB3A0BC" w14:textId="77777777" w:rsidR="00FA3A5B" w:rsidRPr="009D7811" w:rsidRDefault="00FA3A5B" w:rsidP="00FA3A5B">
            <w:pPr>
              <w:pStyle w:val="TableText"/>
            </w:pPr>
          </w:p>
        </w:tc>
        <w:tc>
          <w:tcPr>
            <w:tcW w:w="624" w:type="dxa"/>
          </w:tcPr>
          <w:p w14:paraId="3C2A11C2" w14:textId="77777777" w:rsidR="00FA3A5B" w:rsidRPr="009D7811" w:rsidRDefault="00FA3A5B" w:rsidP="00FA3A5B">
            <w:pPr>
              <w:pStyle w:val="TableText"/>
            </w:pPr>
          </w:p>
        </w:tc>
        <w:tc>
          <w:tcPr>
            <w:tcW w:w="6519" w:type="dxa"/>
          </w:tcPr>
          <w:p w14:paraId="34F80190" w14:textId="77777777" w:rsidR="00FA3A5B" w:rsidRPr="009D7811" w:rsidRDefault="00FA3A5B" w:rsidP="00FA3A5B">
            <w:pPr>
              <w:pStyle w:val="TableBlock"/>
            </w:pPr>
            <w:r w:rsidRPr="009D7811">
              <w:rPr>
                <w:rFonts w:hint="cs"/>
                <w:rtl/>
              </w:rPr>
              <w:t>(1)</w:t>
            </w:r>
            <w:r w:rsidRPr="009D7811">
              <w:rPr>
                <w:rtl/>
              </w:rPr>
              <w:tab/>
            </w:r>
            <w:r w:rsidRPr="009D7811">
              <w:rPr>
                <w:rFonts w:hint="cs"/>
                <w:rtl/>
              </w:rPr>
              <w:t>הוראות סעיפים 2 ו־3 יחולו החל מתום שלושה חודשים מיום התחילה;</w:t>
            </w:r>
          </w:p>
        </w:tc>
      </w:tr>
      <w:tr w:rsidR="00FA3A5B" w:rsidRPr="009D7811" w14:paraId="3A74D87E" w14:textId="77777777" w:rsidTr="00FA3A5B">
        <w:tblPrEx>
          <w:tblLook w:val="01E0" w:firstRow="1" w:lastRow="1" w:firstColumn="1" w:lastColumn="1" w:noHBand="0" w:noVBand="0"/>
        </w:tblPrEx>
        <w:trPr>
          <w:cantSplit/>
        </w:trPr>
        <w:tc>
          <w:tcPr>
            <w:tcW w:w="1870" w:type="dxa"/>
          </w:tcPr>
          <w:p w14:paraId="028F1B23" w14:textId="77777777" w:rsidR="00FA3A5B" w:rsidRPr="009D7811" w:rsidRDefault="00FA3A5B" w:rsidP="00FA3A5B">
            <w:pPr>
              <w:pStyle w:val="TableSideHeading"/>
            </w:pPr>
          </w:p>
        </w:tc>
        <w:tc>
          <w:tcPr>
            <w:tcW w:w="624" w:type="dxa"/>
          </w:tcPr>
          <w:p w14:paraId="4710B1E8" w14:textId="77777777" w:rsidR="00FA3A5B" w:rsidRPr="009D7811" w:rsidRDefault="00FA3A5B" w:rsidP="00FA3A5B">
            <w:pPr>
              <w:pStyle w:val="TableText"/>
            </w:pPr>
          </w:p>
        </w:tc>
        <w:tc>
          <w:tcPr>
            <w:tcW w:w="624" w:type="dxa"/>
          </w:tcPr>
          <w:p w14:paraId="6685E0DB" w14:textId="77777777" w:rsidR="00FA3A5B" w:rsidRPr="009D7811" w:rsidRDefault="00FA3A5B" w:rsidP="00FA3A5B">
            <w:pPr>
              <w:pStyle w:val="TableText"/>
            </w:pPr>
          </w:p>
        </w:tc>
        <w:tc>
          <w:tcPr>
            <w:tcW w:w="6519" w:type="dxa"/>
          </w:tcPr>
          <w:p w14:paraId="39101EA8" w14:textId="119C593B" w:rsidR="00FA3A5B" w:rsidRPr="009D7811" w:rsidRDefault="0095296F" w:rsidP="00FA3A5B">
            <w:pPr>
              <w:pStyle w:val="TableBlock"/>
            </w:pPr>
            <w:r>
              <w:rPr>
                <w:rFonts w:hint="cs"/>
                <w:rtl/>
              </w:rPr>
              <w:t>(2)</w:t>
            </w:r>
            <w:r w:rsidR="00FA3A5B" w:rsidRPr="009D7811">
              <w:rPr>
                <w:rtl/>
              </w:rPr>
              <w:tab/>
            </w:r>
            <w:r w:rsidR="00FA3A5B" w:rsidRPr="009D7811">
              <w:rPr>
                <w:rFonts w:hint="cs"/>
                <w:rtl/>
              </w:rPr>
              <w:t>תנאי להמשך העסקתו במוסד הוא כי המעסיק קיבל את אישור המשטרה לגביו;</w:t>
            </w:r>
          </w:p>
        </w:tc>
      </w:tr>
      <w:tr w:rsidR="00FA3A5B" w:rsidRPr="009D7811" w14:paraId="0B79ECE8" w14:textId="77777777" w:rsidTr="00FA3A5B">
        <w:tblPrEx>
          <w:tblLook w:val="01E0" w:firstRow="1" w:lastRow="1" w:firstColumn="1" w:lastColumn="1" w:noHBand="0" w:noVBand="0"/>
        </w:tblPrEx>
        <w:trPr>
          <w:cantSplit/>
        </w:trPr>
        <w:tc>
          <w:tcPr>
            <w:tcW w:w="1870" w:type="dxa"/>
          </w:tcPr>
          <w:p w14:paraId="2FA21BDD" w14:textId="77777777" w:rsidR="00FA3A5B" w:rsidRPr="009D7811" w:rsidRDefault="00FA3A5B" w:rsidP="00FA3A5B">
            <w:pPr>
              <w:pStyle w:val="TableSideHeading"/>
            </w:pPr>
          </w:p>
        </w:tc>
        <w:tc>
          <w:tcPr>
            <w:tcW w:w="624" w:type="dxa"/>
          </w:tcPr>
          <w:p w14:paraId="7913A8B3" w14:textId="77777777" w:rsidR="00FA3A5B" w:rsidRPr="009D7811" w:rsidRDefault="00FA3A5B" w:rsidP="00FA3A5B">
            <w:pPr>
              <w:pStyle w:val="TableText"/>
            </w:pPr>
          </w:p>
        </w:tc>
        <w:tc>
          <w:tcPr>
            <w:tcW w:w="624" w:type="dxa"/>
          </w:tcPr>
          <w:p w14:paraId="023BDCCF" w14:textId="77777777" w:rsidR="00FA3A5B" w:rsidRPr="009D7811" w:rsidRDefault="00FA3A5B" w:rsidP="00FA3A5B">
            <w:pPr>
              <w:pStyle w:val="TableText"/>
            </w:pPr>
          </w:p>
        </w:tc>
        <w:tc>
          <w:tcPr>
            <w:tcW w:w="6519" w:type="dxa"/>
          </w:tcPr>
          <w:p w14:paraId="4D929564" w14:textId="77777777" w:rsidR="00FA3A5B" w:rsidRPr="009D7811" w:rsidRDefault="00FA3A5B" w:rsidP="00FA3A5B">
            <w:pPr>
              <w:pStyle w:val="TableBlock"/>
            </w:pPr>
            <w:r w:rsidRPr="009D7811">
              <w:rPr>
                <w:rFonts w:hint="cs"/>
                <w:rtl/>
              </w:rPr>
              <w:t>(3)</w:t>
            </w:r>
            <w:r w:rsidRPr="009D7811">
              <w:rPr>
                <w:rtl/>
              </w:rPr>
              <w:tab/>
              <w:t>מעסיק לא יישא באחריות פלילית לפי סעיף 6(א)</w:t>
            </w:r>
            <w:r w:rsidRPr="009D7811">
              <w:rPr>
                <w:rFonts w:hint="cs"/>
                <w:rtl/>
              </w:rPr>
              <w:t xml:space="preserve"> רק בשל </w:t>
            </w:r>
            <w:proofErr w:type="spellStart"/>
            <w:r w:rsidRPr="009D7811">
              <w:rPr>
                <w:rFonts w:hint="cs"/>
                <w:rtl/>
              </w:rPr>
              <w:t>אי־קבלת</w:t>
            </w:r>
            <w:proofErr w:type="spellEnd"/>
            <w:r w:rsidRPr="009D7811">
              <w:rPr>
                <w:rFonts w:hint="cs"/>
                <w:rtl/>
              </w:rPr>
              <w:t xml:space="preserve"> אישור המשטרה, ובלבד שהבגיר או המעסיק פנו </w:t>
            </w:r>
            <w:r w:rsidRPr="009D7811">
              <w:rPr>
                <w:rtl/>
              </w:rPr>
              <w:t>לקבל את האישור</w:t>
            </w:r>
            <w:r w:rsidRPr="009D7811">
              <w:rPr>
                <w:rFonts w:hint="cs"/>
                <w:rtl/>
              </w:rPr>
              <w:t xml:space="preserve"> בתוך שלושה חודשים מיום התחילה</w:t>
            </w:r>
            <w:r w:rsidRPr="009D7811">
              <w:rPr>
                <w:rtl/>
              </w:rPr>
              <w:t>.</w:t>
            </w:r>
          </w:p>
        </w:tc>
      </w:tr>
      <w:tr w:rsidR="00FA3A5B" w:rsidRPr="009D7811" w14:paraId="056D8291" w14:textId="77777777" w:rsidTr="00FA3A5B">
        <w:tblPrEx>
          <w:tblLook w:val="01E0" w:firstRow="1" w:lastRow="1" w:firstColumn="1" w:lastColumn="1" w:noHBand="0" w:noVBand="0"/>
        </w:tblPrEx>
        <w:trPr>
          <w:cantSplit/>
        </w:trPr>
        <w:tc>
          <w:tcPr>
            <w:tcW w:w="1870" w:type="dxa"/>
          </w:tcPr>
          <w:p w14:paraId="0FB3B819" w14:textId="456368B5" w:rsidR="00FA3A5B" w:rsidRPr="009D7811" w:rsidRDefault="00FA3A5B" w:rsidP="00FA3A5B">
            <w:pPr>
              <w:pStyle w:val="TableSideHeading"/>
              <w:keepLines w:val="0"/>
              <w:ind w:right="-28"/>
              <w:rPr>
                <w:rtl/>
              </w:rPr>
            </w:pPr>
            <w:r w:rsidRPr="009D7811">
              <w:rPr>
                <w:rFonts w:hint="cs"/>
                <w:sz w:val="16"/>
                <w:szCs w:val="22"/>
                <w:rtl/>
              </w:rPr>
              <w:t xml:space="preserve"> </w:t>
            </w:r>
            <w:r>
              <w:rPr>
                <w:sz w:val="16"/>
                <w:szCs w:val="22"/>
                <w:rtl/>
              </w:rPr>
              <w:t xml:space="preserve">  </w:t>
            </w:r>
          </w:p>
        </w:tc>
        <w:tc>
          <w:tcPr>
            <w:tcW w:w="624" w:type="dxa"/>
          </w:tcPr>
          <w:p w14:paraId="7CAA527F" w14:textId="77777777" w:rsidR="00FA3A5B" w:rsidRPr="009D7811" w:rsidRDefault="00FA3A5B" w:rsidP="00FA3A5B">
            <w:pPr>
              <w:pStyle w:val="TableText"/>
              <w:rPr>
                <w:rtl/>
              </w:rPr>
            </w:pPr>
          </w:p>
        </w:tc>
        <w:tc>
          <w:tcPr>
            <w:tcW w:w="7143" w:type="dxa"/>
            <w:gridSpan w:val="2"/>
          </w:tcPr>
          <w:p w14:paraId="2D2BD3EA" w14:textId="77777777" w:rsidR="00FA3A5B" w:rsidRPr="009D7811" w:rsidRDefault="00FA3A5B" w:rsidP="00FA3A5B">
            <w:pPr>
              <w:pStyle w:val="TableBlock"/>
              <w:rPr>
                <w:rtl/>
              </w:rPr>
            </w:pPr>
            <w:r w:rsidRPr="009D7811">
              <w:rPr>
                <w:rFonts w:hint="cs"/>
                <w:rtl/>
              </w:rPr>
              <w:t>(ה)</w:t>
            </w:r>
            <w:r w:rsidRPr="009D7811">
              <w:rPr>
                <w:rtl/>
              </w:rPr>
              <w:tab/>
              <w:t xml:space="preserve">הוראות חוק זה יחולו על בגיר שהורשע בעבירת </w:t>
            </w:r>
            <w:r w:rsidRPr="009D7811">
              <w:rPr>
                <w:rFonts w:hint="cs"/>
                <w:rtl/>
              </w:rPr>
              <w:t>אלימות או התעללות בילד או בחסר ישע ש</w:t>
            </w:r>
            <w:r w:rsidRPr="009D7811">
              <w:rPr>
                <w:rtl/>
              </w:rPr>
              <w:t xml:space="preserve">ביצע בהיותו בגיר, </w:t>
            </w:r>
            <w:r w:rsidRPr="009D7811">
              <w:rPr>
                <w:rFonts w:hint="cs"/>
                <w:rtl/>
              </w:rPr>
              <w:t xml:space="preserve">גם </w:t>
            </w:r>
            <w:r w:rsidRPr="009D7811">
              <w:rPr>
                <w:rtl/>
              </w:rPr>
              <w:t>אם הורשע בעבירה כאמור</w:t>
            </w:r>
            <w:r w:rsidRPr="009D7811">
              <w:rPr>
                <w:rFonts w:hint="cs"/>
                <w:rtl/>
              </w:rPr>
              <w:t xml:space="preserve"> לפני יום התחילה. </w:t>
            </w:r>
          </w:p>
        </w:tc>
      </w:tr>
      <w:tr w:rsidR="00FA3A5B" w:rsidRPr="009D7811" w14:paraId="5BEB1095" w14:textId="77777777" w:rsidTr="00FA3A5B">
        <w:tblPrEx>
          <w:tblLook w:val="01E0" w:firstRow="1" w:lastRow="1" w:firstColumn="1" w:lastColumn="1" w:noHBand="0" w:noVBand="0"/>
        </w:tblPrEx>
        <w:trPr>
          <w:cantSplit/>
        </w:trPr>
        <w:tc>
          <w:tcPr>
            <w:tcW w:w="1870" w:type="dxa"/>
          </w:tcPr>
          <w:p w14:paraId="55369DE3" w14:textId="77777777" w:rsidR="00FA3A5B" w:rsidRPr="009D7811" w:rsidRDefault="00FA3A5B" w:rsidP="00FA3A5B">
            <w:pPr>
              <w:pStyle w:val="TableSideHeading"/>
              <w:outlineLvl w:val="9"/>
              <w:rPr>
                <w:rtl/>
              </w:rPr>
            </w:pPr>
            <w:r w:rsidRPr="009D7811">
              <w:rPr>
                <w:rFonts w:hint="eastAsia"/>
                <w:rtl/>
              </w:rPr>
              <w:t>פרסום</w:t>
            </w:r>
            <w:r w:rsidRPr="009D7811">
              <w:rPr>
                <w:rtl/>
              </w:rPr>
              <w:t xml:space="preserve"> </w:t>
            </w:r>
            <w:r w:rsidRPr="009D7811">
              <w:rPr>
                <w:rFonts w:hint="cs"/>
                <w:rtl/>
              </w:rPr>
              <w:t xml:space="preserve">לציבור והודעה </w:t>
            </w:r>
          </w:p>
        </w:tc>
        <w:tc>
          <w:tcPr>
            <w:tcW w:w="624" w:type="dxa"/>
          </w:tcPr>
          <w:p w14:paraId="2B53E38F" w14:textId="77777777" w:rsidR="00FA3A5B" w:rsidRPr="00FA3A5B" w:rsidRDefault="00FA3A5B" w:rsidP="00FA3A5B">
            <w:pPr>
              <w:pStyle w:val="TableText"/>
              <w:jc w:val="both"/>
              <w:rPr>
                <w:rtl/>
              </w:rPr>
            </w:pPr>
            <w:r w:rsidRPr="00FA3A5B">
              <w:rPr>
                <w:rFonts w:hint="cs"/>
                <w:rtl/>
              </w:rPr>
              <w:t>18.</w:t>
            </w:r>
          </w:p>
        </w:tc>
        <w:tc>
          <w:tcPr>
            <w:tcW w:w="7143" w:type="dxa"/>
            <w:gridSpan w:val="2"/>
          </w:tcPr>
          <w:p w14:paraId="4C4DB379" w14:textId="77777777" w:rsidR="00FA3A5B" w:rsidRPr="009D7811" w:rsidRDefault="00FA3A5B" w:rsidP="00FA3A5B">
            <w:pPr>
              <w:pStyle w:val="TableBlock"/>
              <w:rPr>
                <w:rtl/>
              </w:rPr>
            </w:pPr>
            <w:r w:rsidRPr="009D7811">
              <w:rPr>
                <w:rtl/>
              </w:rPr>
              <w:t>(א)</w:t>
            </w:r>
            <w:r w:rsidRPr="009D7811">
              <w:rPr>
                <w:rtl/>
              </w:rPr>
              <w:tab/>
            </w:r>
            <w:r w:rsidRPr="009D7811">
              <w:rPr>
                <w:rFonts w:hint="cs"/>
                <w:rtl/>
              </w:rPr>
              <w:t>השר לביטחון לאומי ושר המשפטים יפרסמו, בסמוך לפני יום הקמת ועדת המומחים ובסמוך לפני יום התחילה, הודעה לציבור בדבר הוראות חוק זה, ובכלל זה בדבר האיסורים החלים לפיו, הקמת ועדת המומחים ודרכי הפנייה אליה.</w:t>
            </w:r>
          </w:p>
        </w:tc>
      </w:tr>
      <w:tr w:rsidR="00FA3A5B" w:rsidRPr="009D7811" w14:paraId="5C6C7723" w14:textId="77777777" w:rsidTr="00FA3A5B">
        <w:tblPrEx>
          <w:tblLook w:val="01E0" w:firstRow="1" w:lastRow="1" w:firstColumn="1" w:lastColumn="1" w:noHBand="0" w:noVBand="0"/>
        </w:tblPrEx>
        <w:trPr>
          <w:cantSplit/>
        </w:trPr>
        <w:tc>
          <w:tcPr>
            <w:tcW w:w="1870" w:type="dxa"/>
          </w:tcPr>
          <w:p w14:paraId="63E805FC" w14:textId="77777777" w:rsidR="00FA3A5B" w:rsidRPr="009D7811" w:rsidRDefault="00FA3A5B" w:rsidP="00FA3A5B">
            <w:pPr>
              <w:pStyle w:val="TableSideHeading"/>
              <w:outlineLvl w:val="9"/>
              <w:rPr>
                <w:rtl/>
              </w:rPr>
            </w:pPr>
          </w:p>
        </w:tc>
        <w:tc>
          <w:tcPr>
            <w:tcW w:w="624" w:type="dxa"/>
          </w:tcPr>
          <w:p w14:paraId="573A76ED" w14:textId="77777777" w:rsidR="00FA3A5B" w:rsidRPr="009D7811" w:rsidRDefault="00FA3A5B" w:rsidP="00FA3A5B">
            <w:pPr>
              <w:pStyle w:val="TableText"/>
              <w:rPr>
                <w:rtl/>
              </w:rPr>
            </w:pPr>
          </w:p>
        </w:tc>
        <w:tc>
          <w:tcPr>
            <w:tcW w:w="7143" w:type="dxa"/>
            <w:gridSpan w:val="2"/>
          </w:tcPr>
          <w:p w14:paraId="78F14EE4" w14:textId="77777777" w:rsidR="00FA3A5B" w:rsidRPr="009D7811" w:rsidRDefault="00FA3A5B" w:rsidP="00FA3A5B">
            <w:pPr>
              <w:pStyle w:val="TableBlock"/>
              <w:rPr>
                <w:rtl/>
              </w:rPr>
            </w:pPr>
            <w:r w:rsidRPr="009D7811">
              <w:rPr>
                <w:rtl/>
              </w:rPr>
              <w:t>(ב)</w:t>
            </w:r>
            <w:r w:rsidRPr="009D7811">
              <w:rPr>
                <w:rtl/>
              </w:rPr>
              <w:tab/>
            </w:r>
            <w:r w:rsidRPr="009D7811">
              <w:rPr>
                <w:rFonts w:hint="eastAsia"/>
                <w:rtl/>
              </w:rPr>
              <w:t>הודעה</w:t>
            </w:r>
            <w:r w:rsidRPr="009D7811">
              <w:rPr>
                <w:rtl/>
              </w:rPr>
              <w:t xml:space="preserve"> כאמור בסעיף קטן (א) תפורסם בשני עיתונים יומיים נפוצים בשפה העברית, וכן בעיתונים נפוצים, אחד בשפה הערבית ואחד בשפה הרוסית; הפרסום יהיה לכל הפחות במשך עשרה ימים לא רציפים בחודש </w:t>
            </w:r>
            <w:r w:rsidRPr="009D7811">
              <w:rPr>
                <w:rFonts w:hint="cs"/>
                <w:rtl/>
              </w:rPr>
              <w:t xml:space="preserve">שלפני יום הקמת ועדת המומחים ובחודש </w:t>
            </w:r>
            <w:r w:rsidRPr="009D7811">
              <w:rPr>
                <w:rFonts w:hint="eastAsia"/>
                <w:rtl/>
              </w:rPr>
              <w:t>שלפני</w:t>
            </w:r>
            <w:r w:rsidRPr="009D7811">
              <w:rPr>
                <w:rtl/>
              </w:rPr>
              <w:t xml:space="preserve"> </w:t>
            </w:r>
            <w:r w:rsidRPr="009D7811">
              <w:rPr>
                <w:rFonts w:hint="eastAsia"/>
                <w:rtl/>
              </w:rPr>
              <w:t>יום</w:t>
            </w:r>
            <w:r w:rsidRPr="009D7811">
              <w:rPr>
                <w:rtl/>
              </w:rPr>
              <w:t xml:space="preserve"> </w:t>
            </w:r>
            <w:r w:rsidRPr="009D7811">
              <w:rPr>
                <w:rFonts w:hint="eastAsia"/>
                <w:rtl/>
              </w:rPr>
              <w:t>התחילה</w:t>
            </w:r>
            <w:r w:rsidRPr="009D7811">
              <w:rPr>
                <w:rtl/>
              </w:rPr>
              <w:t xml:space="preserve">; המשרד לביטחון לאומי, משרד המשפטים, משרד החינוך, </w:t>
            </w:r>
            <w:r w:rsidRPr="009D7811">
              <w:rPr>
                <w:rFonts w:hint="eastAsia"/>
                <w:rtl/>
              </w:rPr>
              <w:t>משרד</w:t>
            </w:r>
            <w:r w:rsidRPr="009D7811">
              <w:rPr>
                <w:rtl/>
              </w:rPr>
              <w:t xml:space="preserve"> </w:t>
            </w:r>
            <w:r w:rsidRPr="009D7811">
              <w:rPr>
                <w:rFonts w:hint="eastAsia"/>
                <w:rtl/>
              </w:rPr>
              <w:t>ה</w:t>
            </w:r>
            <w:r w:rsidRPr="009D7811">
              <w:rPr>
                <w:rtl/>
              </w:rPr>
              <w:t xml:space="preserve">בריאות, </w:t>
            </w:r>
            <w:r w:rsidRPr="009D7811">
              <w:rPr>
                <w:rFonts w:hint="eastAsia"/>
                <w:rtl/>
              </w:rPr>
              <w:t>משרד</w:t>
            </w:r>
            <w:r w:rsidRPr="009D7811">
              <w:rPr>
                <w:rtl/>
              </w:rPr>
              <w:t xml:space="preserve"> </w:t>
            </w:r>
            <w:r w:rsidRPr="009D7811">
              <w:rPr>
                <w:rFonts w:hint="eastAsia"/>
                <w:rtl/>
              </w:rPr>
              <w:t>ה</w:t>
            </w:r>
            <w:r w:rsidRPr="009D7811">
              <w:rPr>
                <w:rtl/>
              </w:rPr>
              <w:t>רווחה והביטחון החברתי ומשרד העבודה יפרסמו הודעה כאמור באתרי האינטרנט של המשרדים האמורים.</w:t>
            </w:r>
          </w:p>
        </w:tc>
      </w:tr>
      <w:tr w:rsidR="00FA3A5B" w:rsidRPr="009D7811" w14:paraId="3A3121BA" w14:textId="77777777" w:rsidTr="00FA3A5B">
        <w:tblPrEx>
          <w:tblLook w:val="01E0" w:firstRow="1" w:lastRow="1" w:firstColumn="1" w:lastColumn="1" w:noHBand="0" w:noVBand="0"/>
        </w:tblPrEx>
        <w:trPr>
          <w:cantSplit/>
        </w:trPr>
        <w:tc>
          <w:tcPr>
            <w:tcW w:w="1870" w:type="dxa"/>
          </w:tcPr>
          <w:p w14:paraId="482372B9" w14:textId="77777777" w:rsidR="00FA3A5B" w:rsidRPr="00FA3A5B" w:rsidRDefault="00FA3A5B" w:rsidP="00FA3A5B">
            <w:pPr>
              <w:pStyle w:val="TableSideHeading"/>
              <w:outlineLvl w:val="9"/>
              <w:rPr>
                <w:rtl/>
              </w:rPr>
            </w:pPr>
          </w:p>
        </w:tc>
        <w:tc>
          <w:tcPr>
            <w:tcW w:w="624" w:type="dxa"/>
          </w:tcPr>
          <w:p w14:paraId="12F50A76" w14:textId="77777777" w:rsidR="00FA3A5B" w:rsidRPr="009D7811" w:rsidRDefault="00FA3A5B" w:rsidP="00FA3A5B">
            <w:pPr>
              <w:pStyle w:val="TableText"/>
              <w:rPr>
                <w:rtl/>
              </w:rPr>
            </w:pPr>
          </w:p>
        </w:tc>
        <w:tc>
          <w:tcPr>
            <w:tcW w:w="7143" w:type="dxa"/>
            <w:gridSpan w:val="2"/>
          </w:tcPr>
          <w:p w14:paraId="5D9F0FE1" w14:textId="7A7047FB" w:rsidR="00FA3A5B" w:rsidRPr="009D7811" w:rsidRDefault="00FA3A5B" w:rsidP="00FA3A5B">
            <w:pPr>
              <w:pStyle w:val="TableBlock"/>
              <w:rPr>
                <w:rtl/>
              </w:rPr>
            </w:pPr>
            <w:r w:rsidRPr="009D7811">
              <w:rPr>
                <w:rFonts w:hint="cs"/>
                <w:rtl/>
              </w:rPr>
              <w:t>(ג)</w:t>
            </w:r>
            <w:r w:rsidRPr="009D7811">
              <w:rPr>
                <w:rtl/>
              </w:rPr>
              <w:tab/>
            </w:r>
            <w:r w:rsidRPr="009D7811">
              <w:rPr>
                <w:rFonts w:hint="eastAsia"/>
                <w:rtl/>
              </w:rPr>
              <w:t>חודש</w:t>
            </w:r>
            <w:r w:rsidRPr="009D7811">
              <w:rPr>
                <w:rtl/>
              </w:rPr>
              <w:t xml:space="preserve"> לפני יום התחילה </w:t>
            </w:r>
            <w:r w:rsidRPr="009D7811">
              <w:rPr>
                <w:rFonts w:hint="eastAsia"/>
                <w:rtl/>
              </w:rPr>
              <w:t>יודיע</w:t>
            </w:r>
            <w:r w:rsidRPr="009D7811">
              <w:rPr>
                <w:rtl/>
              </w:rPr>
              <w:t xml:space="preserve"> </w:t>
            </w:r>
            <w:r w:rsidRPr="009D7811">
              <w:rPr>
                <w:rFonts w:hint="eastAsia"/>
                <w:rtl/>
              </w:rPr>
              <w:t>מוסד</w:t>
            </w:r>
            <w:r w:rsidRPr="009D7811">
              <w:rPr>
                <w:rtl/>
              </w:rPr>
              <w:t xml:space="preserve"> </w:t>
            </w:r>
            <w:r w:rsidRPr="009D7811">
              <w:rPr>
                <w:rFonts w:hint="eastAsia"/>
                <w:rtl/>
              </w:rPr>
              <w:t>לבגיר</w:t>
            </w:r>
            <w:r w:rsidRPr="009D7811">
              <w:rPr>
                <w:rtl/>
              </w:rPr>
              <w:t xml:space="preserve"> </w:t>
            </w:r>
            <w:r w:rsidRPr="009D7811">
              <w:rPr>
                <w:rFonts w:hint="eastAsia"/>
                <w:rtl/>
              </w:rPr>
              <w:t>המועסק</w:t>
            </w:r>
            <w:r w:rsidRPr="009D7811">
              <w:rPr>
                <w:rtl/>
              </w:rPr>
              <w:t xml:space="preserve"> </w:t>
            </w:r>
            <w:r w:rsidRPr="009D7811">
              <w:rPr>
                <w:rFonts w:hint="eastAsia"/>
                <w:rtl/>
              </w:rPr>
              <w:t>אצלו</w:t>
            </w:r>
            <w:r w:rsidRPr="009D7811">
              <w:rPr>
                <w:rFonts w:hint="cs"/>
                <w:rtl/>
              </w:rPr>
              <w:t>, במסירת הודעה בכתב ו</w:t>
            </w:r>
            <w:r>
              <w:rPr>
                <w:rFonts w:hint="cs"/>
                <w:rtl/>
              </w:rPr>
              <w:t>ב</w:t>
            </w:r>
            <w:r w:rsidRPr="009D7811">
              <w:rPr>
                <w:rFonts w:hint="cs"/>
                <w:rtl/>
              </w:rPr>
              <w:t>הצבת שלט בולט במקום העבודה,</w:t>
            </w:r>
            <w:r w:rsidRPr="009D7811">
              <w:rPr>
                <w:rtl/>
              </w:rPr>
              <w:t xml:space="preserve"> על הוראות חוק זה, </w:t>
            </w:r>
            <w:r w:rsidRPr="009D7811">
              <w:rPr>
                <w:rFonts w:hint="eastAsia"/>
                <w:rtl/>
              </w:rPr>
              <w:t>לרבות</w:t>
            </w:r>
            <w:r w:rsidRPr="009D7811">
              <w:rPr>
                <w:rtl/>
              </w:rPr>
              <w:t xml:space="preserve"> </w:t>
            </w:r>
            <w:r w:rsidRPr="009D7811">
              <w:rPr>
                <w:rFonts w:hint="eastAsia"/>
                <w:rtl/>
              </w:rPr>
              <w:t>לעניין</w:t>
            </w:r>
            <w:r w:rsidRPr="009D7811">
              <w:rPr>
                <w:rtl/>
              </w:rPr>
              <w:t xml:space="preserve"> </w:t>
            </w:r>
            <w:r w:rsidRPr="009D7811">
              <w:rPr>
                <w:rFonts w:hint="eastAsia"/>
                <w:rtl/>
              </w:rPr>
              <w:t>מועד</w:t>
            </w:r>
            <w:r w:rsidRPr="009D7811">
              <w:rPr>
                <w:rtl/>
              </w:rPr>
              <w:t xml:space="preserve"> </w:t>
            </w:r>
            <w:r w:rsidRPr="009D7811">
              <w:rPr>
                <w:rFonts w:hint="eastAsia"/>
                <w:rtl/>
              </w:rPr>
              <w:t>תחילתם</w:t>
            </w:r>
            <w:r w:rsidRPr="009D7811">
              <w:rPr>
                <w:rtl/>
              </w:rPr>
              <w:t xml:space="preserve"> </w:t>
            </w:r>
            <w:r w:rsidRPr="009D7811">
              <w:rPr>
                <w:rFonts w:hint="eastAsia"/>
                <w:rtl/>
              </w:rPr>
              <w:t>של</w:t>
            </w:r>
            <w:r w:rsidRPr="009D7811">
              <w:rPr>
                <w:rtl/>
              </w:rPr>
              <w:t xml:space="preserve"> </w:t>
            </w:r>
            <w:r w:rsidRPr="009D7811">
              <w:rPr>
                <w:rFonts w:hint="eastAsia"/>
                <w:rtl/>
              </w:rPr>
              <w:t>האיסורים</w:t>
            </w:r>
            <w:r w:rsidRPr="009D7811">
              <w:rPr>
                <w:rtl/>
              </w:rPr>
              <w:t xml:space="preserve"> </w:t>
            </w:r>
            <w:r w:rsidRPr="009D7811">
              <w:rPr>
                <w:rFonts w:hint="eastAsia"/>
                <w:rtl/>
              </w:rPr>
              <w:t>לפי</w:t>
            </w:r>
            <w:r w:rsidRPr="009D7811">
              <w:rPr>
                <w:rtl/>
              </w:rPr>
              <w:t xml:space="preserve"> החוק </w:t>
            </w:r>
            <w:r w:rsidRPr="009D7811">
              <w:rPr>
                <w:rFonts w:hint="eastAsia"/>
                <w:rtl/>
              </w:rPr>
              <w:t>על</w:t>
            </w:r>
            <w:r w:rsidRPr="009D7811">
              <w:rPr>
                <w:rtl/>
              </w:rPr>
              <w:t xml:space="preserve"> </w:t>
            </w:r>
            <w:r w:rsidRPr="009D7811">
              <w:rPr>
                <w:rFonts w:hint="eastAsia"/>
                <w:rtl/>
              </w:rPr>
              <w:t>מועסקים</w:t>
            </w:r>
            <w:r w:rsidRPr="009D7811">
              <w:rPr>
                <w:rtl/>
              </w:rPr>
              <w:t xml:space="preserve"> </w:t>
            </w:r>
            <w:r w:rsidRPr="009D7811">
              <w:rPr>
                <w:rFonts w:hint="eastAsia"/>
                <w:rtl/>
              </w:rPr>
              <w:t>קיימים</w:t>
            </w:r>
            <w:r w:rsidRPr="009D7811">
              <w:rPr>
                <w:rtl/>
              </w:rPr>
              <w:t xml:space="preserve">, </w:t>
            </w:r>
            <w:r w:rsidRPr="009D7811">
              <w:rPr>
                <w:rFonts w:hint="eastAsia"/>
                <w:rtl/>
              </w:rPr>
              <w:t>הקמת</w:t>
            </w:r>
            <w:r w:rsidRPr="009D7811">
              <w:rPr>
                <w:rtl/>
              </w:rPr>
              <w:t xml:space="preserve"> </w:t>
            </w:r>
            <w:r w:rsidRPr="009D7811">
              <w:rPr>
                <w:rFonts w:hint="eastAsia"/>
                <w:rtl/>
              </w:rPr>
              <w:t>ועדת</w:t>
            </w:r>
            <w:r w:rsidRPr="009D7811">
              <w:rPr>
                <w:rtl/>
              </w:rPr>
              <w:t xml:space="preserve"> </w:t>
            </w:r>
            <w:r w:rsidRPr="009D7811">
              <w:rPr>
                <w:rFonts w:hint="eastAsia"/>
                <w:rtl/>
              </w:rPr>
              <w:t>המומחים</w:t>
            </w:r>
            <w:r w:rsidRPr="009D7811">
              <w:rPr>
                <w:rtl/>
              </w:rPr>
              <w:t xml:space="preserve"> </w:t>
            </w:r>
            <w:r w:rsidRPr="009D7811">
              <w:rPr>
                <w:rFonts w:hint="eastAsia"/>
                <w:rtl/>
              </w:rPr>
              <w:t>ודרכי</w:t>
            </w:r>
            <w:r w:rsidRPr="009D7811">
              <w:rPr>
                <w:rtl/>
              </w:rPr>
              <w:t xml:space="preserve"> </w:t>
            </w:r>
            <w:r w:rsidRPr="009D7811">
              <w:rPr>
                <w:rFonts w:hint="eastAsia"/>
                <w:rtl/>
              </w:rPr>
              <w:t>הפנייה</w:t>
            </w:r>
            <w:r w:rsidRPr="009D7811">
              <w:rPr>
                <w:rtl/>
              </w:rPr>
              <w:t xml:space="preserve"> </w:t>
            </w:r>
            <w:r w:rsidRPr="009D7811">
              <w:rPr>
                <w:rFonts w:hint="eastAsia"/>
                <w:rtl/>
              </w:rPr>
              <w:t>אליה</w:t>
            </w:r>
            <w:r w:rsidRPr="009D7811">
              <w:rPr>
                <w:rtl/>
              </w:rPr>
              <w:t>.</w:t>
            </w:r>
          </w:p>
        </w:tc>
      </w:tr>
      <w:tr w:rsidR="00FA3A5B" w:rsidRPr="009D7811" w14:paraId="70158CA0" w14:textId="77777777" w:rsidTr="00FA3A5B">
        <w:trPr>
          <w:cantSplit/>
        </w:trPr>
        <w:tc>
          <w:tcPr>
            <w:tcW w:w="1870" w:type="dxa"/>
            <w:shd w:val="clear" w:color="auto" w:fill="auto"/>
            <w:tcMar>
              <w:top w:w="91" w:type="dxa"/>
              <w:left w:w="0" w:type="dxa"/>
              <w:bottom w:w="91" w:type="dxa"/>
              <w:right w:w="0" w:type="dxa"/>
            </w:tcMar>
          </w:tcPr>
          <w:p w14:paraId="161D508C" w14:textId="614DD50A" w:rsidR="00FA3A5B" w:rsidRPr="009D7811" w:rsidRDefault="00FA3A5B" w:rsidP="00FA3A5B">
            <w:pPr>
              <w:pStyle w:val="TableSideHeading"/>
              <w:rPr>
                <w:rtl/>
              </w:rPr>
            </w:pPr>
            <w:r w:rsidRPr="009D7811">
              <w:rPr>
                <w:rtl/>
              </w:rPr>
              <w:t xml:space="preserve">דיווח לכנסת </w:t>
            </w:r>
            <w:r>
              <w:rPr>
                <w:rtl/>
              </w:rPr>
              <w:t xml:space="preserve"> </w:t>
            </w:r>
            <w:r w:rsidRPr="009D7811">
              <w:rPr>
                <w:rFonts w:hint="cs"/>
                <w:rtl/>
              </w:rPr>
              <w:t xml:space="preserve"> </w:t>
            </w:r>
          </w:p>
        </w:tc>
        <w:tc>
          <w:tcPr>
            <w:tcW w:w="624" w:type="dxa"/>
            <w:shd w:val="clear" w:color="auto" w:fill="auto"/>
            <w:tcMar>
              <w:top w:w="91" w:type="dxa"/>
              <w:left w:w="0" w:type="dxa"/>
              <w:bottom w:w="91" w:type="dxa"/>
              <w:right w:w="0" w:type="dxa"/>
            </w:tcMar>
          </w:tcPr>
          <w:p w14:paraId="7DA7D15D" w14:textId="77777777" w:rsidR="00FA3A5B" w:rsidRPr="009D7811" w:rsidRDefault="00FA3A5B" w:rsidP="00FA3A5B">
            <w:pPr>
              <w:pStyle w:val="TableText"/>
              <w:rPr>
                <w:rtl/>
              </w:rPr>
            </w:pPr>
            <w:r w:rsidRPr="009D7811">
              <w:rPr>
                <w:rFonts w:hint="cs"/>
                <w:rtl/>
              </w:rPr>
              <w:t>19.</w:t>
            </w:r>
          </w:p>
        </w:tc>
        <w:tc>
          <w:tcPr>
            <w:tcW w:w="7143" w:type="dxa"/>
            <w:gridSpan w:val="2"/>
            <w:shd w:val="clear" w:color="auto" w:fill="auto"/>
            <w:tcMar>
              <w:top w:w="91" w:type="dxa"/>
              <w:left w:w="0" w:type="dxa"/>
              <w:bottom w:w="91" w:type="dxa"/>
              <w:right w:w="0" w:type="dxa"/>
            </w:tcMar>
          </w:tcPr>
          <w:p w14:paraId="2A17DA11" w14:textId="40B14B7C" w:rsidR="00FA3A5B" w:rsidRPr="009D7811" w:rsidRDefault="00FA3A5B" w:rsidP="00FA3A5B">
            <w:pPr>
              <w:pStyle w:val="TableBlock"/>
              <w:rPr>
                <w:rtl/>
              </w:rPr>
            </w:pPr>
            <w:r w:rsidRPr="009D7811">
              <w:rPr>
                <w:rFonts w:hint="cs"/>
                <w:rtl/>
              </w:rPr>
              <w:t xml:space="preserve">לוועדה לביטחון לאומי </w:t>
            </w:r>
            <w:r w:rsidRPr="009D7811">
              <w:rPr>
                <w:rtl/>
              </w:rPr>
              <w:t xml:space="preserve">ולוועדת החינוך, התרבות והספורט של הכנסת, </w:t>
            </w:r>
            <w:r w:rsidRPr="009D7811">
              <w:rPr>
                <w:rFonts w:hint="cs"/>
                <w:rtl/>
              </w:rPr>
              <w:t>יימסר דיווח, אחת ל</w:t>
            </w:r>
            <w:r w:rsidRPr="009D7811">
              <w:rPr>
                <w:rtl/>
              </w:rPr>
              <w:t>שנה, ולא יאוחר מיום א' בכסלו, על יישומ</w:t>
            </w:r>
            <w:r w:rsidRPr="009D7811">
              <w:rPr>
                <w:rFonts w:hint="cs"/>
                <w:rtl/>
              </w:rPr>
              <w:t>ן</w:t>
            </w:r>
            <w:r w:rsidRPr="009D7811">
              <w:rPr>
                <w:rtl/>
              </w:rPr>
              <w:t xml:space="preserve"> של </w:t>
            </w:r>
            <w:r w:rsidRPr="009D7811">
              <w:rPr>
                <w:rFonts w:hint="cs"/>
                <w:rtl/>
              </w:rPr>
              <w:t xml:space="preserve">הוראות </w:t>
            </w:r>
            <w:r w:rsidRPr="009D7811">
              <w:rPr>
                <w:rtl/>
              </w:rPr>
              <w:t xml:space="preserve">חוק זה בשנה שקדמה למועד הדיווח </w:t>
            </w:r>
            <w:r w:rsidR="00720151">
              <w:rPr>
                <w:rFonts w:hint="cs"/>
                <w:rtl/>
              </w:rPr>
              <w:t>בין השאר</w:t>
            </w:r>
            <w:r w:rsidRPr="009D7811">
              <w:rPr>
                <w:rFonts w:hint="cs"/>
                <w:rtl/>
              </w:rPr>
              <w:t xml:space="preserve"> בעניינים אלה:</w:t>
            </w:r>
          </w:p>
        </w:tc>
      </w:tr>
      <w:tr w:rsidR="00FA3A5B" w:rsidRPr="009D7811" w14:paraId="21ABF9A9" w14:textId="77777777" w:rsidTr="00FA3A5B">
        <w:trPr>
          <w:cantSplit/>
        </w:trPr>
        <w:tc>
          <w:tcPr>
            <w:tcW w:w="1870" w:type="dxa"/>
            <w:shd w:val="clear" w:color="auto" w:fill="auto"/>
            <w:tcMar>
              <w:top w:w="91" w:type="dxa"/>
              <w:left w:w="0" w:type="dxa"/>
              <w:bottom w:w="91" w:type="dxa"/>
              <w:right w:w="0" w:type="dxa"/>
            </w:tcMar>
          </w:tcPr>
          <w:p w14:paraId="05C0B6C9"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4D30FCC8"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6B5E7499" w14:textId="77777777" w:rsidR="00FA3A5B" w:rsidRPr="009D7811" w:rsidRDefault="00FA3A5B" w:rsidP="00FA3A5B">
            <w:pPr>
              <w:pStyle w:val="TableBlock"/>
              <w:rPr>
                <w:rtl/>
              </w:rPr>
            </w:pPr>
            <w:r w:rsidRPr="009D7811">
              <w:rPr>
                <w:rFonts w:hint="cs"/>
                <w:rtl/>
              </w:rPr>
              <w:t>(1)</w:t>
            </w:r>
            <w:r w:rsidRPr="009D7811">
              <w:rPr>
                <w:rtl/>
              </w:rPr>
              <w:tab/>
            </w:r>
            <w:r w:rsidRPr="009D7811">
              <w:rPr>
                <w:rFonts w:hint="cs"/>
                <w:rtl/>
              </w:rPr>
              <w:t xml:space="preserve">השר לביטחון לאומי ידווח על </w:t>
            </w:r>
            <w:r w:rsidRPr="009D7811">
              <w:rPr>
                <w:rtl/>
              </w:rPr>
              <w:t>מספר הפניות למשטרה לשם קבלת אישור המשטרה</w:t>
            </w:r>
            <w:r w:rsidRPr="009D7811">
              <w:rPr>
                <w:rFonts w:hint="cs"/>
                <w:rtl/>
              </w:rPr>
              <w:t>,</w:t>
            </w:r>
            <w:r w:rsidRPr="009D7811">
              <w:rPr>
                <w:rtl/>
              </w:rPr>
              <w:t xml:space="preserve"> </w:t>
            </w:r>
            <w:r w:rsidRPr="009D7811">
              <w:rPr>
                <w:rFonts w:hint="cs"/>
                <w:rtl/>
              </w:rPr>
              <w:t xml:space="preserve">על </w:t>
            </w:r>
            <w:r w:rsidRPr="009D7811">
              <w:rPr>
                <w:rtl/>
              </w:rPr>
              <w:t>מספר אישורי המשטרה שניתנו</w:t>
            </w:r>
            <w:r w:rsidRPr="009D7811">
              <w:rPr>
                <w:rFonts w:hint="cs"/>
                <w:rtl/>
              </w:rPr>
              <w:t xml:space="preserve"> ועל מספר ה</w:t>
            </w:r>
            <w:r w:rsidRPr="009D7811">
              <w:rPr>
                <w:rFonts w:hint="cs"/>
                <w:w w:val="102"/>
                <w:rtl/>
              </w:rPr>
              <w:t xml:space="preserve">הליכים הפליליים שנפתחו </w:t>
            </w:r>
            <w:r w:rsidRPr="009D7811">
              <w:rPr>
                <w:w w:val="102"/>
                <w:rtl/>
              </w:rPr>
              <w:t>לפי סעיף 6</w:t>
            </w:r>
            <w:r w:rsidRPr="009D7811">
              <w:rPr>
                <w:rFonts w:hint="cs"/>
                <w:w w:val="102"/>
                <w:rtl/>
              </w:rPr>
              <w:t>;</w:t>
            </w:r>
          </w:p>
        </w:tc>
      </w:tr>
      <w:tr w:rsidR="00FA3A5B" w:rsidRPr="009D7811" w14:paraId="7B941E2E" w14:textId="77777777" w:rsidTr="00FA3A5B">
        <w:trPr>
          <w:cantSplit/>
        </w:trPr>
        <w:tc>
          <w:tcPr>
            <w:tcW w:w="1870" w:type="dxa"/>
            <w:shd w:val="clear" w:color="auto" w:fill="auto"/>
            <w:tcMar>
              <w:top w:w="91" w:type="dxa"/>
              <w:left w:w="0" w:type="dxa"/>
              <w:bottom w:w="91" w:type="dxa"/>
              <w:right w:w="0" w:type="dxa"/>
            </w:tcMar>
          </w:tcPr>
          <w:p w14:paraId="5D958768"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4C7897C4"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23110FF3" w14:textId="77777777" w:rsidR="00FA3A5B" w:rsidRDefault="00FA3A5B" w:rsidP="00FA3A5B">
            <w:pPr>
              <w:pStyle w:val="TableBlock"/>
              <w:rPr>
                <w:rtl/>
              </w:rPr>
            </w:pPr>
            <w:r w:rsidRPr="009D7811">
              <w:rPr>
                <w:rFonts w:hint="cs"/>
                <w:rtl/>
              </w:rPr>
              <w:t>(2)</w:t>
            </w:r>
            <w:r w:rsidRPr="009D7811">
              <w:rPr>
                <w:rtl/>
              </w:rPr>
              <w:tab/>
            </w:r>
            <w:r w:rsidRPr="009D7811">
              <w:rPr>
                <w:rFonts w:hint="cs"/>
                <w:rtl/>
              </w:rPr>
              <w:t xml:space="preserve">שר המשפטים ידווח על </w:t>
            </w:r>
            <w:r w:rsidRPr="009D7811">
              <w:rPr>
                <w:rtl/>
              </w:rPr>
              <w:t>מס</w:t>
            </w:r>
            <w:r>
              <w:rPr>
                <w:rtl/>
              </w:rPr>
              <w:t>פר הבקשות שהוגשו לוועדת המומחים</w:t>
            </w:r>
            <w:r w:rsidRPr="009D7811">
              <w:rPr>
                <w:rtl/>
              </w:rPr>
              <w:t xml:space="preserve"> </w:t>
            </w:r>
            <w:r w:rsidRPr="009D7811">
              <w:rPr>
                <w:rFonts w:hint="cs"/>
                <w:rtl/>
              </w:rPr>
              <w:t>ו</w:t>
            </w:r>
            <w:r>
              <w:rPr>
                <w:rFonts w:hint="cs"/>
                <w:rtl/>
              </w:rPr>
              <w:t xml:space="preserve">על </w:t>
            </w:r>
            <w:r w:rsidRPr="009D7811">
              <w:rPr>
                <w:rtl/>
              </w:rPr>
              <w:t>מספר החלטות הפטור שניתנו</w:t>
            </w:r>
            <w:r w:rsidRPr="009D7811">
              <w:rPr>
                <w:rFonts w:hint="cs"/>
                <w:rtl/>
              </w:rPr>
              <w:t xml:space="preserve"> על ידה.</w:t>
            </w:r>
          </w:p>
          <w:p w14:paraId="49632520" w14:textId="40F3D05C" w:rsidR="003C6EE4" w:rsidRPr="009D7811" w:rsidRDefault="003C6EE4" w:rsidP="00FA3A5B">
            <w:pPr>
              <w:pStyle w:val="TableBlock"/>
              <w:rPr>
                <w:rtl/>
              </w:rPr>
            </w:pPr>
          </w:p>
        </w:tc>
      </w:tr>
      <w:tr w:rsidR="00FA3A5B" w:rsidRPr="009D7811" w14:paraId="64A4779E" w14:textId="77777777" w:rsidTr="00FA3A5B">
        <w:trPr>
          <w:cantSplit/>
        </w:trPr>
        <w:tc>
          <w:tcPr>
            <w:tcW w:w="1870" w:type="dxa"/>
            <w:shd w:val="clear" w:color="auto" w:fill="auto"/>
            <w:tcMar>
              <w:top w:w="91" w:type="dxa"/>
              <w:left w:w="0" w:type="dxa"/>
              <w:bottom w:w="91" w:type="dxa"/>
              <w:right w:w="0" w:type="dxa"/>
            </w:tcMar>
          </w:tcPr>
          <w:p w14:paraId="7C56B794"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25CDA61F"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5D6AC8C1" w14:textId="77777777" w:rsidR="00FA3A5B" w:rsidRPr="009D7811" w:rsidRDefault="00FA3A5B" w:rsidP="00FA3A5B">
            <w:pPr>
              <w:pStyle w:val="TableHead"/>
              <w:outlineLvl w:val="9"/>
              <w:rPr>
                <w:rtl/>
              </w:rPr>
            </w:pPr>
            <w:r w:rsidRPr="009D7811">
              <w:rPr>
                <w:rFonts w:hint="cs"/>
                <w:rtl/>
              </w:rPr>
              <w:t>תוספת</w:t>
            </w:r>
          </w:p>
        </w:tc>
      </w:tr>
      <w:tr w:rsidR="00FA3A5B" w:rsidRPr="009D7811" w14:paraId="625BC580" w14:textId="77777777" w:rsidTr="00FA3A5B">
        <w:trPr>
          <w:cantSplit/>
        </w:trPr>
        <w:tc>
          <w:tcPr>
            <w:tcW w:w="1870" w:type="dxa"/>
            <w:shd w:val="clear" w:color="auto" w:fill="auto"/>
            <w:tcMar>
              <w:top w:w="91" w:type="dxa"/>
              <w:left w:w="0" w:type="dxa"/>
              <w:bottom w:w="91" w:type="dxa"/>
              <w:right w:w="0" w:type="dxa"/>
            </w:tcMar>
          </w:tcPr>
          <w:p w14:paraId="148DCAA2"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1EA3615A"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7CDA6B85" w14:textId="77777777" w:rsidR="00FA3A5B" w:rsidRPr="009D7811" w:rsidRDefault="00FA3A5B" w:rsidP="00FA3A5B">
            <w:pPr>
              <w:pStyle w:val="TableBlock"/>
              <w:jc w:val="center"/>
              <w:rPr>
                <w:rtl/>
              </w:rPr>
            </w:pPr>
            <w:r w:rsidRPr="009D7811">
              <w:rPr>
                <w:rFonts w:hint="cs"/>
                <w:rtl/>
              </w:rPr>
              <w:t>(סעיפים 4(ה) ו־13)</w:t>
            </w:r>
          </w:p>
        </w:tc>
      </w:tr>
      <w:tr w:rsidR="00FA3A5B" w:rsidRPr="009D7811" w14:paraId="02E3568B" w14:textId="77777777" w:rsidTr="00FA3A5B">
        <w:trPr>
          <w:cantSplit/>
        </w:trPr>
        <w:tc>
          <w:tcPr>
            <w:tcW w:w="1870" w:type="dxa"/>
            <w:shd w:val="clear" w:color="auto" w:fill="auto"/>
            <w:tcMar>
              <w:top w:w="91" w:type="dxa"/>
              <w:left w:w="0" w:type="dxa"/>
              <w:bottom w:w="91" w:type="dxa"/>
              <w:right w:w="0" w:type="dxa"/>
            </w:tcMar>
          </w:tcPr>
          <w:p w14:paraId="75B4A6D3" w14:textId="77777777" w:rsidR="00FA3A5B" w:rsidRPr="009D7811" w:rsidRDefault="00FA3A5B" w:rsidP="00FA3A5B">
            <w:pPr>
              <w:pStyle w:val="TableSideHeading"/>
              <w:rPr>
                <w:rtl/>
              </w:rPr>
            </w:pPr>
          </w:p>
        </w:tc>
        <w:tc>
          <w:tcPr>
            <w:tcW w:w="624" w:type="dxa"/>
            <w:shd w:val="clear" w:color="auto" w:fill="auto"/>
            <w:tcMar>
              <w:top w:w="91" w:type="dxa"/>
              <w:left w:w="0" w:type="dxa"/>
              <w:bottom w:w="91" w:type="dxa"/>
              <w:right w:w="0" w:type="dxa"/>
            </w:tcMar>
          </w:tcPr>
          <w:p w14:paraId="2E70D900" w14:textId="77777777" w:rsidR="00FA3A5B" w:rsidRPr="009D7811" w:rsidRDefault="00FA3A5B" w:rsidP="00FA3A5B">
            <w:pPr>
              <w:pStyle w:val="TableText"/>
              <w:rPr>
                <w:rtl/>
              </w:rPr>
            </w:pPr>
          </w:p>
        </w:tc>
        <w:tc>
          <w:tcPr>
            <w:tcW w:w="7143" w:type="dxa"/>
            <w:gridSpan w:val="2"/>
            <w:shd w:val="clear" w:color="auto" w:fill="auto"/>
            <w:tcMar>
              <w:top w:w="91" w:type="dxa"/>
              <w:left w:w="0" w:type="dxa"/>
              <w:bottom w:w="91" w:type="dxa"/>
              <w:right w:w="0" w:type="dxa"/>
            </w:tcMar>
          </w:tcPr>
          <w:p w14:paraId="3A41A1A7" w14:textId="6CA99FF2" w:rsidR="00FA3A5B" w:rsidRPr="009D7811" w:rsidRDefault="00FA3A5B" w:rsidP="00FA3A5B">
            <w:pPr>
              <w:pStyle w:val="TableBlock"/>
              <w:rPr>
                <w:rtl/>
              </w:rPr>
            </w:pPr>
            <w:r w:rsidRPr="009D7811">
              <w:rPr>
                <w:rFonts w:hint="cs"/>
                <w:rtl/>
              </w:rPr>
              <w:t>1.</w:t>
            </w:r>
            <w:r w:rsidRPr="009D7811">
              <w:rPr>
                <w:rtl/>
              </w:rPr>
              <w:tab/>
            </w:r>
            <w:r w:rsidRPr="009D7811">
              <w:rPr>
                <w:rFonts w:hint="cs"/>
                <w:rtl/>
              </w:rPr>
              <w:t>משרד החינוך</w:t>
            </w:r>
            <w:r w:rsidR="00720151">
              <w:rPr>
                <w:rFonts w:hint="cs"/>
                <w:rtl/>
              </w:rPr>
              <w:t>.</w:t>
            </w:r>
            <w:bookmarkStart w:id="5" w:name="_GoBack"/>
            <w:bookmarkEnd w:id="5"/>
          </w:p>
        </w:tc>
      </w:tr>
    </w:tbl>
    <w:p w14:paraId="11F1CEAE" w14:textId="77777777" w:rsidR="008525E2" w:rsidRPr="00E125CC" w:rsidRDefault="008525E2" w:rsidP="008525E2">
      <w:pPr>
        <w:pStyle w:val="Noparagraphstyle"/>
        <w:rPr>
          <w:sz w:val="26"/>
          <w:rtl/>
        </w:rPr>
      </w:pPr>
    </w:p>
    <w:p w14:paraId="11F1CEAF" w14:textId="77777777" w:rsidR="008525E2" w:rsidRPr="00E125CC" w:rsidRDefault="008525E2" w:rsidP="008525E2">
      <w:pPr>
        <w:pStyle w:val="Noparagraphstyle"/>
        <w:rPr>
          <w:sz w:val="26"/>
          <w:rtl/>
        </w:rPr>
      </w:pPr>
    </w:p>
    <w:p w14:paraId="11F1CEB0" w14:textId="77777777" w:rsidR="008525E2" w:rsidRPr="00E125CC" w:rsidRDefault="008525E2" w:rsidP="008525E2">
      <w:pPr>
        <w:pStyle w:val="Noparagraphstyle"/>
        <w:rPr>
          <w:sz w:val="26"/>
          <w:rtl/>
        </w:rPr>
      </w:pPr>
    </w:p>
    <w:p w14:paraId="11F1CEB1" w14:textId="77777777" w:rsidR="008525E2" w:rsidRPr="00E125CC" w:rsidRDefault="008525E2" w:rsidP="008525E2">
      <w:pPr>
        <w:pStyle w:val="Noparagraphstyle"/>
        <w:rPr>
          <w:sz w:val="26"/>
          <w:rtl/>
        </w:rPr>
      </w:pPr>
    </w:p>
    <w:p w14:paraId="11F1CEB2" w14:textId="77777777" w:rsidR="008525E2" w:rsidRPr="00E125CC" w:rsidRDefault="008525E2" w:rsidP="008525E2">
      <w:pPr>
        <w:pStyle w:val="Noparagraphstyle"/>
        <w:rPr>
          <w:sz w:val="26"/>
          <w:rtl/>
        </w:rPr>
      </w:pPr>
    </w:p>
    <w:tbl>
      <w:tblPr>
        <w:bidiVisual/>
        <w:tblW w:w="9888" w:type="dxa"/>
        <w:tblLook w:val="00A0" w:firstRow="1" w:lastRow="0" w:firstColumn="1" w:lastColumn="0" w:noHBand="0" w:noVBand="0"/>
      </w:tblPr>
      <w:tblGrid>
        <w:gridCol w:w="2409"/>
        <w:gridCol w:w="2410"/>
        <w:gridCol w:w="2410"/>
        <w:gridCol w:w="2659"/>
      </w:tblGrid>
      <w:tr w:rsidR="008525E2" w:rsidRPr="00D466D4" w14:paraId="11F1CEB9" w14:textId="77777777" w:rsidTr="003A6179">
        <w:tc>
          <w:tcPr>
            <w:tcW w:w="2409" w:type="dxa"/>
            <w:shd w:val="clear" w:color="auto" w:fill="auto"/>
          </w:tcPr>
          <w:p w14:paraId="11F1CEB3" w14:textId="77777777" w:rsidR="008525E2" w:rsidRPr="00D466D4" w:rsidRDefault="008525E2" w:rsidP="006F3CC7">
            <w:pPr>
              <w:jc w:val="center"/>
              <w:rPr>
                <w:sz w:val="26"/>
                <w:szCs w:val="26"/>
                <w:rtl/>
              </w:rPr>
            </w:pPr>
          </w:p>
        </w:tc>
        <w:tc>
          <w:tcPr>
            <w:tcW w:w="2410" w:type="dxa"/>
            <w:shd w:val="clear" w:color="auto" w:fill="auto"/>
          </w:tcPr>
          <w:p w14:paraId="11F1CEB4" w14:textId="77777777" w:rsidR="008525E2" w:rsidRPr="00D466D4" w:rsidRDefault="00220CAF" w:rsidP="006F3CC7">
            <w:pPr>
              <w:jc w:val="center"/>
              <w:rPr>
                <w:sz w:val="26"/>
                <w:szCs w:val="26"/>
                <w:rtl/>
              </w:rPr>
            </w:pPr>
            <w:bookmarkStart w:id="6" w:name="PrimeMinistryName"/>
            <w:r>
              <w:rPr>
                <w:rFonts w:hint="cs"/>
                <w:sz w:val="26"/>
                <w:szCs w:val="26"/>
                <w:rtl/>
              </w:rPr>
              <w:t>בנימין נתניהו</w:t>
            </w:r>
            <w:bookmarkEnd w:id="6"/>
          </w:p>
          <w:p w14:paraId="11F1CEB5" w14:textId="77777777" w:rsidR="008525E2" w:rsidRPr="00D466D4" w:rsidRDefault="008525E2" w:rsidP="006F3CC7">
            <w:pPr>
              <w:jc w:val="center"/>
              <w:rPr>
                <w:sz w:val="26"/>
                <w:szCs w:val="26"/>
                <w:rtl/>
              </w:rPr>
            </w:pPr>
            <w:r w:rsidRPr="00D466D4">
              <w:rPr>
                <w:rFonts w:hint="cs"/>
                <w:sz w:val="26"/>
                <w:szCs w:val="26"/>
                <w:rtl/>
              </w:rPr>
              <w:t>ראש הממשלה</w:t>
            </w:r>
          </w:p>
        </w:tc>
        <w:tc>
          <w:tcPr>
            <w:tcW w:w="2410" w:type="dxa"/>
            <w:shd w:val="clear" w:color="auto" w:fill="auto"/>
          </w:tcPr>
          <w:p w14:paraId="11F1CEB6" w14:textId="77777777" w:rsidR="008525E2" w:rsidRPr="00D466D4" w:rsidRDefault="008525E2" w:rsidP="006F3CC7">
            <w:pPr>
              <w:jc w:val="center"/>
              <w:rPr>
                <w:sz w:val="26"/>
                <w:szCs w:val="26"/>
                <w:rtl/>
              </w:rPr>
            </w:pPr>
          </w:p>
        </w:tc>
        <w:tc>
          <w:tcPr>
            <w:tcW w:w="2659" w:type="dxa"/>
            <w:shd w:val="clear" w:color="auto" w:fill="auto"/>
          </w:tcPr>
          <w:p w14:paraId="11F1CEB7" w14:textId="1B3186F4" w:rsidR="008525E2" w:rsidRPr="00D466D4" w:rsidRDefault="003A6179" w:rsidP="006F3CC7">
            <w:pPr>
              <w:jc w:val="center"/>
              <w:rPr>
                <w:sz w:val="26"/>
                <w:szCs w:val="26"/>
                <w:rtl/>
              </w:rPr>
            </w:pPr>
            <w:r>
              <w:rPr>
                <w:rFonts w:hint="cs"/>
                <w:sz w:val="26"/>
                <w:szCs w:val="26"/>
                <w:rtl/>
              </w:rPr>
              <w:t>איתמר בן גביר</w:t>
            </w:r>
          </w:p>
          <w:p w14:paraId="11F1CEB8" w14:textId="0783739A" w:rsidR="008525E2" w:rsidRPr="00D466D4" w:rsidRDefault="003A6179" w:rsidP="006F3CC7">
            <w:pPr>
              <w:jc w:val="center"/>
              <w:rPr>
                <w:sz w:val="26"/>
                <w:szCs w:val="26"/>
                <w:rtl/>
              </w:rPr>
            </w:pPr>
            <w:r>
              <w:rPr>
                <w:rFonts w:hint="cs"/>
                <w:sz w:val="26"/>
                <w:szCs w:val="26"/>
                <w:rtl/>
              </w:rPr>
              <w:t>השר לביטחון לאומי</w:t>
            </w:r>
          </w:p>
        </w:tc>
      </w:tr>
      <w:tr w:rsidR="008525E2" w:rsidRPr="00D466D4" w14:paraId="11F1CEC0" w14:textId="77777777" w:rsidTr="003A6179">
        <w:tc>
          <w:tcPr>
            <w:tcW w:w="2409" w:type="dxa"/>
            <w:shd w:val="clear" w:color="auto" w:fill="auto"/>
          </w:tcPr>
          <w:p w14:paraId="11F1CEBA" w14:textId="77777777" w:rsidR="008525E2" w:rsidRPr="00D466D4" w:rsidRDefault="008525E2" w:rsidP="006F3CC7">
            <w:pPr>
              <w:jc w:val="center"/>
              <w:rPr>
                <w:sz w:val="26"/>
                <w:szCs w:val="26"/>
                <w:rtl/>
              </w:rPr>
            </w:pPr>
          </w:p>
          <w:p w14:paraId="11F1CEBB" w14:textId="77777777" w:rsidR="008525E2" w:rsidRPr="00D466D4" w:rsidRDefault="008525E2" w:rsidP="006F3CC7">
            <w:pPr>
              <w:jc w:val="center"/>
              <w:rPr>
                <w:sz w:val="26"/>
                <w:szCs w:val="26"/>
                <w:rtl/>
              </w:rPr>
            </w:pPr>
          </w:p>
        </w:tc>
        <w:tc>
          <w:tcPr>
            <w:tcW w:w="2410" w:type="dxa"/>
            <w:shd w:val="clear" w:color="auto" w:fill="auto"/>
          </w:tcPr>
          <w:p w14:paraId="11F1CEBC" w14:textId="77777777" w:rsidR="008525E2" w:rsidRPr="00D466D4" w:rsidRDefault="008525E2" w:rsidP="006F3CC7">
            <w:pPr>
              <w:jc w:val="center"/>
              <w:rPr>
                <w:sz w:val="26"/>
                <w:szCs w:val="26"/>
                <w:rtl/>
              </w:rPr>
            </w:pPr>
          </w:p>
        </w:tc>
        <w:tc>
          <w:tcPr>
            <w:tcW w:w="2410" w:type="dxa"/>
            <w:shd w:val="clear" w:color="auto" w:fill="auto"/>
          </w:tcPr>
          <w:p w14:paraId="11F1CEBD" w14:textId="77777777" w:rsidR="008525E2" w:rsidRPr="00D466D4" w:rsidRDefault="008525E2" w:rsidP="006F3CC7">
            <w:pPr>
              <w:jc w:val="center"/>
              <w:rPr>
                <w:sz w:val="26"/>
                <w:szCs w:val="26"/>
                <w:rtl/>
              </w:rPr>
            </w:pPr>
          </w:p>
        </w:tc>
        <w:tc>
          <w:tcPr>
            <w:tcW w:w="2659" w:type="dxa"/>
            <w:shd w:val="clear" w:color="auto" w:fill="auto"/>
          </w:tcPr>
          <w:p w14:paraId="11F1CEBE" w14:textId="77777777" w:rsidR="008525E2" w:rsidRPr="00D466D4" w:rsidRDefault="008525E2" w:rsidP="006F3CC7">
            <w:pPr>
              <w:jc w:val="center"/>
              <w:rPr>
                <w:sz w:val="26"/>
                <w:szCs w:val="26"/>
                <w:rtl/>
              </w:rPr>
            </w:pPr>
          </w:p>
          <w:p w14:paraId="11F1CEBF" w14:textId="77777777" w:rsidR="008525E2" w:rsidRPr="00D466D4" w:rsidRDefault="008525E2" w:rsidP="006F3CC7">
            <w:pPr>
              <w:jc w:val="center"/>
              <w:rPr>
                <w:sz w:val="26"/>
                <w:szCs w:val="26"/>
                <w:rtl/>
              </w:rPr>
            </w:pPr>
          </w:p>
        </w:tc>
      </w:tr>
      <w:tr w:rsidR="008525E2" w:rsidRPr="00D466D4" w14:paraId="11F1CEC7" w14:textId="77777777" w:rsidTr="003A6179">
        <w:tc>
          <w:tcPr>
            <w:tcW w:w="2409" w:type="dxa"/>
            <w:shd w:val="clear" w:color="auto" w:fill="auto"/>
          </w:tcPr>
          <w:p w14:paraId="11F1CEC1" w14:textId="31B1DDE8" w:rsidR="008525E2" w:rsidRPr="00D466D4" w:rsidRDefault="00ED2936" w:rsidP="006F3CC7">
            <w:pPr>
              <w:jc w:val="center"/>
              <w:rPr>
                <w:sz w:val="26"/>
                <w:szCs w:val="26"/>
                <w:rtl/>
              </w:rPr>
            </w:pPr>
            <w:r>
              <w:rPr>
                <w:rFonts w:hint="cs"/>
                <w:sz w:val="26"/>
                <w:szCs w:val="26"/>
                <w:rtl/>
              </w:rPr>
              <w:t>יצחק הרצוג</w:t>
            </w:r>
          </w:p>
          <w:p w14:paraId="11F1CEC2" w14:textId="77777777" w:rsidR="008525E2" w:rsidRPr="00D466D4" w:rsidRDefault="008525E2" w:rsidP="006F3CC7">
            <w:pPr>
              <w:jc w:val="center"/>
              <w:rPr>
                <w:sz w:val="26"/>
                <w:szCs w:val="26"/>
                <w:rtl/>
              </w:rPr>
            </w:pPr>
            <w:r w:rsidRPr="00D466D4">
              <w:rPr>
                <w:rFonts w:hint="cs"/>
                <w:sz w:val="26"/>
                <w:szCs w:val="26"/>
                <w:rtl/>
              </w:rPr>
              <w:t>נשיא המדינה</w:t>
            </w:r>
          </w:p>
        </w:tc>
        <w:tc>
          <w:tcPr>
            <w:tcW w:w="2410" w:type="dxa"/>
            <w:shd w:val="clear" w:color="auto" w:fill="auto"/>
          </w:tcPr>
          <w:p w14:paraId="11F1CEC3" w14:textId="77777777" w:rsidR="008525E2" w:rsidRPr="00D466D4" w:rsidRDefault="008525E2" w:rsidP="006F3CC7">
            <w:pPr>
              <w:jc w:val="center"/>
              <w:rPr>
                <w:sz w:val="26"/>
                <w:szCs w:val="26"/>
                <w:rtl/>
              </w:rPr>
            </w:pPr>
          </w:p>
        </w:tc>
        <w:tc>
          <w:tcPr>
            <w:tcW w:w="2410" w:type="dxa"/>
            <w:shd w:val="clear" w:color="auto" w:fill="auto"/>
          </w:tcPr>
          <w:p w14:paraId="11F1CEC4" w14:textId="77777777" w:rsidR="008525E2" w:rsidRPr="00D466D4" w:rsidRDefault="00220CAF" w:rsidP="006F3CC7">
            <w:pPr>
              <w:jc w:val="center"/>
              <w:rPr>
                <w:sz w:val="26"/>
                <w:szCs w:val="26"/>
                <w:rtl/>
              </w:rPr>
            </w:pPr>
            <w:bookmarkStart w:id="7" w:name="HeadKnessetName"/>
            <w:r>
              <w:rPr>
                <w:rFonts w:hint="cs"/>
                <w:sz w:val="26"/>
                <w:szCs w:val="26"/>
                <w:rtl/>
              </w:rPr>
              <w:t>אמיר אוחנה</w:t>
            </w:r>
            <w:bookmarkEnd w:id="7"/>
          </w:p>
          <w:p w14:paraId="11F1CEC5" w14:textId="77777777" w:rsidR="008525E2" w:rsidRPr="00D466D4" w:rsidRDefault="008525E2" w:rsidP="006F3CC7">
            <w:pPr>
              <w:jc w:val="center"/>
              <w:rPr>
                <w:sz w:val="26"/>
                <w:szCs w:val="26"/>
                <w:rtl/>
              </w:rPr>
            </w:pPr>
            <w:r w:rsidRPr="00D466D4">
              <w:rPr>
                <w:rFonts w:hint="cs"/>
                <w:sz w:val="26"/>
                <w:szCs w:val="26"/>
                <w:rtl/>
              </w:rPr>
              <w:t>יושב ראש הכנסת</w:t>
            </w:r>
          </w:p>
        </w:tc>
        <w:tc>
          <w:tcPr>
            <w:tcW w:w="2659" w:type="dxa"/>
            <w:shd w:val="clear" w:color="auto" w:fill="auto"/>
          </w:tcPr>
          <w:p w14:paraId="11F1CEC6" w14:textId="77777777" w:rsidR="008525E2" w:rsidRPr="00D466D4" w:rsidRDefault="008525E2" w:rsidP="006F3CC7">
            <w:pPr>
              <w:jc w:val="center"/>
              <w:rPr>
                <w:sz w:val="26"/>
                <w:szCs w:val="26"/>
                <w:rtl/>
              </w:rPr>
            </w:pPr>
          </w:p>
        </w:tc>
      </w:tr>
    </w:tbl>
    <w:p w14:paraId="11F1CEC8" w14:textId="77777777" w:rsidR="008525E2" w:rsidRDefault="008525E2" w:rsidP="008525E2">
      <w:pPr>
        <w:pStyle w:val="Hesber"/>
        <w:rPr>
          <w:rtl/>
        </w:rPr>
      </w:pPr>
    </w:p>
    <w:p w14:paraId="11F1CEC9" w14:textId="77777777" w:rsidR="008525E2" w:rsidRPr="00FD6E55" w:rsidRDefault="008525E2" w:rsidP="008525E2">
      <w:pPr>
        <w:rPr>
          <w:rtl/>
        </w:rPr>
      </w:pPr>
    </w:p>
    <w:p w14:paraId="11F1CECA" w14:textId="77777777" w:rsidR="002137F8" w:rsidRPr="008525E2" w:rsidRDefault="002137F8" w:rsidP="008525E2">
      <w:pPr>
        <w:rPr>
          <w:rtl/>
        </w:rPr>
      </w:pPr>
    </w:p>
    <w:sectPr w:rsidR="002137F8" w:rsidRPr="008525E2" w:rsidSect="00FA3A5B">
      <w:headerReference w:type="even" r:id="rId13"/>
      <w:headerReference w:type="default" r:id="rId14"/>
      <w:footerReference w:type="even" r:id="rId15"/>
      <w:pgSz w:w="11906" w:h="16838"/>
      <w:pgMar w:top="1701" w:right="1134" w:bottom="1417"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4892F" w14:textId="77777777" w:rsidR="00DD65EA" w:rsidRDefault="00DD65EA" w:rsidP="00B416AF">
      <w:pPr>
        <w:pStyle w:val="HeadHatzaotHok"/>
      </w:pPr>
      <w:r>
        <w:separator/>
      </w:r>
    </w:p>
  </w:endnote>
  <w:endnote w:type="continuationSeparator" w:id="0">
    <w:p w14:paraId="5B7FFB01" w14:textId="77777777" w:rsidR="00DD65EA" w:rsidRDefault="00DD65EA"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5" w14:textId="77777777" w:rsidR="002137F8" w:rsidRDefault="002137F8" w:rsidP="00B416AF">
    <w:pPr>
      <w:pStyle w:val="a9"/>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11F1CED6" w14:textId="77777777" w:rsidR="002137F8" w:rsidRDefault="002137F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FC31D" w14:textId="77777777" w:rsidR="00DD65EA" w:rsidRDefault="00DD65EA" w:rsidP="00FA3A5B">
      <w:pPr>
        <w:pStyle w:val="HeadHatzaotHok"/>
        <w:spacing w:before="0"/>
        <w:ind w:left="0"/>
        <w:jc w:val="left"/>
      </w:pPr>
      <w:r>
        <w:separator/>
      </w:r>
    </w:p>
  </w:footnote>
  <w:footnote w:type="continuationSeparator" w:id="0">
    <w:p w14:paraId="671FE330" w14:textId="77777777" w:rsidR="00DD65EA" w:rsidRPr="00696C5E" w:rsidRDefault="00DD65EA" w:rsidP="00696C5E">
      <w:pPr>
        <w:pStyle w:val="HeadHatzaotHok"/>
        <w:spacing w:before="0"/>
        <w:jc w:val="left"/>
      </w:pPr>
      <w:r>
        <w:separator/>
      </w:r>
    </w:p>
  </w:footnote>
  <w:footnote w:id="1">
    <w:p w14:paraId="11F1CED7" w14:textId="50C6A1D7" w:rsidR="008525E2" w:rsidRDefault="008525E2" w:rsidP="008500DB">
      <w:pPr>
        <w:pStyle w:val="ab"/>
        <w:rPr>
          <w:rtl/>
        </w:rPr>
      </w:pPr>
      <w:r>
        <w:rPr>
          <w:rStyle w:val="aa"/>
        </w:rPr>
        <w:t>*</w:t>
      </w:r>
      <w:r>
        <w:rPr>
          <w:rFonts w:hint="cs"/>
          <w:rtl/>
        </w:rPr>
        <w:t xml:space="preserve"> התקבל בכנסת ביום</w:t>
      </w:r>
      <w:r w:rsidR="00131EA2">
        <w:rPr>
          <w:rFonts w:hint="cs"/>
          <w:rtl/>
        </w:rPr>
        <w:t xml:space="preserve"> י"ב באב </w:t>
      </w:r>
      <w:proofErr w:type="spellStart"/>
      <w:r w:rsidR="00131EA2">
        <w:rPr>
          <w:rFonts w:hint="cs"/>
          <w:rtl/>
        </w:rPr>
        <w:t>התשפ"ג</w:t>
      </w:r>
      <w:proofErr w:type="spellEnd"/>
      <w:r w:rsidR="00131EA2">
        <w:rPr>
          <w:rFonts w:hint="cs"/>
          <w:rtl/>
        </w:rPr>
        <w:t xml:space="preserve"> (30 ביולי 2023)</w:t>
      </w:r>
      <w:r>
        <w:rPr>
          <w:rFonts w:hint="cs"/>
          <w:rtl/>
        </w:rPr>
        <w:t xml:space="preserve">; הצעת החוק ודברי הסבר פורסמו בהצעות חוק </w:t>
      </w:r>
      <w:bookmarkStart w:id="1" w:name="LGSType"/>
      <w:r>
        <w:rPr>
          <w:rFonts w:hint="cs"/>
          <w:rtl/>
        </w:rPr>
        <w:t>הכנסת</w:t>
      </w:r>
      <w:bookmarkEnd w:id="1"/>
      <w:r>
        <w:rPr>
          <w:rFonts w:hint="cs"/>
          <w:rtl/>
        </w:rPr>
        <w:t xml:space="preserve"> </w:t>
      </w:r>
      <w:r>
        <w:rPr>
          <w:rFonts w:hint="eastAsia"/>
          <w:rtl/>
        </w:rPr>
        <w:t>–</w:t>
      </w:r>
      <w:r>
        <w:rPr>
          <w:rFonts w:hint="cs"/>
          <w:rtl/>
        </w:rPr>
        <w:t xml:space="preserve"> </w:t>
      </w:r>
      <w:bookmarkStart w:id="2" w:name="LGSNum"/>
      <w:r>
        <w:rPr>
          <w:rFonts w:hint="cs"/>
          <w:rtl/>
        </w:rPr>
        <w:t>960</w:t>
      </w:r>
      <w:bookmarkEnd w:id="2"/>
      <w:r>
        <w:rPr>
          <w:rFonts w:hint="eastAsia"/>
          <w:rtl/>
        </w:rPr>
        <w:t xml:space="preserve">, מיום </w:t>
      </w:r>
      <w:bookmarkStart w:id="3" w:name="HebDate"/>
      <w:r>
        <w:rPr>
          <w:rFonts w:hint="cs"/>
          <w:rtl/>
        </w:rPr>
        <w:t xml:space="preserve">י"א בסיוון </w:t>
      </w:r>
      <w:proofErr w:type="spellStart"/>
      <w:r>
        <w:rPr>
          <w:rFonts w:hint="cs"/>
          <w:rtl/>
        </w:rPr>
        <w:t>התשפ"ג</w:t>
      </w:r>
      <w:bookmarkEnd w:id="3"/>
      <w:proofErr w:type="spellEnd"/>
      <w:r w:rsidRPr="00827E61">
        <w:rPr>
          <w:rFonts w:hint="cs"/>
          <w:rtl/>
        </w:rPr>
        <w:t xml:space="preserve"> (</w:t>
      </w:r>
      <w:bookmarkStart w:id="4" w:name="EngDate"/>
      <w:r>
        <w:rPr>
          <w:rFonts w:hint="cs"/>
          <w:rtl/>
        </w:rPr>
        <w:t>31 במאי 2023</w:t>
      </w:r>
      <w:bookmarkEnd w:id="4"/>
      <w:r w:rsidRPr="00827E61">
        <w:rPr>
          <w:rFonts w:hint="cs"/>
          <w:rtl/>
        </w:rPr>
        <w:t>), עמ'</w:t>
      </w:r>
      <w:r w:rsidR="00131EA2">
        <w:rPr>
          <w:rFonts w:hint="cs"/>
          <w:rtl/>
        </w:rPr>
        <w:t xml:space="preserve"> 84.</w:t>
      </w:r>
    </w:p>
  </w:footnote>
  <w:footnote w:id="2">
    <w:p w14:paraId="667BC1EC" w14:textId="77777777" w:rsidR="00FA3A5B" w:rsidRDefault="00FA3A5B" w:rsidP="00FA3A5B">
      <w:pPr>
        <w:pStyle w:val="ab"/>
        <w:rPr>
          <w:rtl/>
        </w:rPr>
      </w:pPr>
      <w:r>
        <w:rPr>
          <w:rStyle w:val="aa"/>
        </w:rPr>
        <w:footnoteRef/>
      </w:r>
      <w:r>
        <w:rPr>
          <w:rtl/>
        </w:rPr>
        <w:t xml:space="preserve"> </w:t>
      </w:r>
      <w:r>
        <w:rPr>
          <w:rFonts w:hint="eastAsia"/>
          <w:rtl/>
        </w:rPr>
        <w:t>ס</w:t>
      </w:r>
      <w:r>
        <w:rPr>
          <w:rtl/>
        </w:rPr>
        <w:t xml:space="preserve">"ח </w:t>
      </w:r>
      <w:proofErr w:type="spellStart"/>
      <w:r>
        <w:rPr>
          <w:rtl/>
        </w:rPr>
        <w:t>התשע"ט</w:t>
      </w:r>
      <w:proofErr w:type="spellEnd"/>
      <w:r>
        <w:rPr>
          <w:rtl/>
        </w:rPr>
        <w:t>, עמ' 298.</w:t>
      </w:r>
    </w:p>
  </w:footnote>
  <w:footnote w:id="3">
    <w:p w14:paraId="34CB7A1E" w14:textId="77777777" w:rsidR="00FA3A5B" w:rsidRDefault="00FA3A5B" w:rsidP="00FA3A5B">
      <w:pPr>
        <w:pStyle w:val="ab"/>
        <w:rPr>
          <w:rtl/>
        </w:rPr>
      </w:pPr>
      <w:r>
        <w:rPr>
          <w:rStyle w:val="aa"/>
        </w:rPr>
        <w:footnoteRef/>
      </w:r>
      <w:r>
        <w:rPr>
          <w:rtl/>
        </w:rPr>
        <w:t xml:space="preserve"> </w:t>
      </w:r>
      <w:r>
        <w:rPr>
          <w:rFonts w:hint="eastAsia"/>
          <w:rtl/>
        </w:rPr>
        <w:t>ס</w:t>
      </w:r>
      <w:r>
        <w:rPr>
          <w:rtl/>
        </w:rPr>
        <w:t xml:space="preserve">"ח </w:t>
      </w:r>
      <w:proofErr w:type="spellStart"/>
      <w:r>
        <w:rPr>
          <w:rtl/>
        </w:rPr>
        <w:t>התשל"ז</w:t>
      </w:r>
      <w:proofErr w:type="spellEnd"/>
      <w:r>
        <w:rPr>
          <w:rtl/>
        </w:rPr>
        <w:t>, עמ' 226.</w:t>
      </w:r>
    </w:p>
  </w:footnote>
  <w:footnote w:id="4">
    <w:p w14:paraId="7D189348" w14:textId="77777777" w:rsidR="00FA3A5B" w:rsidRDefault="00FA3A5B" w:rsidP="00FA3A5B">
      <w:pPr>
        <w:pStyle w:val="ab"/>
        <w:rPr>
          <w:rtl/>
        </w:rPr>
      </w:pPr>
      <w:r>
        <w:rPr>
          <w:rStyle w:val="aa"/>
        </w:rPr>
        <w:footnoteRef/>
      </w:r>
      <w:r>
        <w:rPr>
          <w:rtl/>
        </w:rPr>
        <w:t xml:space="preserve"> </w:t>
      </w:r>
      <w:r>
        <w:rPr>
          <w:rFonts w:hint="cs"/>
          <w:rtl/>
        </w:rPr>
        <w:t xml:space="preserve">ס"ח </w:t>
      </w:r>
      <w:proofErr w:type="spellStart"/>
      <w:r>
        <w:rPr>
          <w:rFonts w:hint="cs"/>
          <w:rtl/>
        </w:rPr>
        <w:t>התשע"ו</w:t>
      </w:r>
      <w:proofErr w:type="spellEnd"/>
      <w:r>
        <w:rPr>
          <w:rFonts w:hint="cs"/>
          <w:rtl/>
        </w:rPr>
        <w:t>, עמ' 586.</w:t>
      </w:r>
    </w:p>
  </w:footnote>
  <w:footnote w:id="5">
    <w:p w14:paraId="32D72ED0" w14:textId="77777777" w:rsidR="00FA3A5B" w:rsidRDefault="00FA3A5B" w:rsidP="00FA3A5B">
      <w:pPr>
        <w:pStyle w:val="ab"/>
        <w:rPr>
          <w:rtl/>
        </w:rPr>
      </w:pPr>
      <w:r>
        <w:rPr>
          <w:rStyle w:val="aa"/>
        </w:rPr>
        <w:footnoteRef/>
      </w:r>
      <w:r>
        <w:rPr>
          <w:rtl/>
        </w:rPr>
        <w:t xml:space="preserve"> </w:t>
      </w:r>
      <w:r>
        <w:rPr>
          <w:rFonts w:hint="cs"/>
          <w:rtl/>
        </w:rPr>
        <w:t xml:space="preserve">ס"ח </w:t>
      </w:r>
      <w:proofErr w:type="spellStart"/>
      <w:r>
        <w:rPr>
          <w:rFonts w:hint="cs"/>
          <w:rtl/>
        </w:rPr>
        <w:t>התש"ס</w:t>
      </w:r>
      <w:proofErr w:type="spellEnd"/>
      <w:r>
        <w:rPr>
          <w:rFonts w:hint="cs"/>
          <w:rtl/>
        </w:rPr>
        <w:t>, עמ' 231.</w:t>
      </w:r>
    </w:p>
  </w:footnote>
  <w:footnote w:id="6">
    <w:p w14:paraId="042BAC92" w14:textId="77777777" w:rsidR="00FA3A5B" w:rsidRDefault="00FA3A5B" w:rsidP="00FA3A5B">
      <w:pPr>
        <w:pStyle w:val="ab"/>
      </w:pPr>
      <w:r w:rsidRPr="00E41CFE">
        <w:rPr>
          <w:rStyle w:val="aa"/>
        </w:rPr>
        <w:footnoteRef/>
      </w:r>
      <w:r w:rsidRPr="00E41CFE">
        <w:rPr>
          <w:rtl/>
        </w:rPr>
        <w:t xml:space="preserve"> </w:t>
      </w:r>
      <w:r w:rsidRPr="00E41CFE">
        <w:rPr>
          <w:rFonts w:hint="eastAsia"/>
          <w:rtl/>
        </w:rPr>
        <w:t>ס</w:t>
      </w:r>
      <w:r w:rsidRPr="00E41CFE">
        <w:rPr>
          <w:rtl/>
        </w:rPr>
        <w:t xml:space="preserve">"ח </w:t>
      </w:r>
      <w:proofErr w:type="spellStart"/>
      <w:r w:rsidRPr="00E41CFE">
        <w:rPr>
          <w:rFonts w:hint="eastAsia"/>
          <w:rtl/>
        </w:rPr>
        <w:t>התשנ</w:t>
      </w:r>
      <w:r>
        <w:rPr>
          <w:rtl/>
        </w:rPr>
        <w:t>"א</w:t>
      </w:r>
      <w:proofErr w:type="spellEnd"/>
      <w:r>
        <w:rPr>
          <w:rtl/>
        </w:rPr>
        <w:t>,</w:t>
      </w:r>
      <w:r>
        <w:rPr>
          <w:rFonts w:hint="cs"/>
          <w:rtl/>
        </w:rPr>
        <w:t xml:space="preserve"> עמ' 58.</w:t>
      </w:r>
    </w:p>
  </w:footnote>
  <w:footnote w:id="7">
    <w:p w14:paraId="1A8809B3" w14:textId="77777777" w:rsidR="00FA3A5B" w:rsidRDefault="00FA3A5B" w:rsidP="00FA3A5B">
      <w:pPr>
        <w:pStyle w:val="ab"/>
        <w:rPr>
          <w:rtl/>
        </w:rPr>
      </w:pPr>
      <w:r>
        <w:rPr>
          <w:rStyle w:val="aa"/>
        </w:rPr>
        <w:footnoteRef/>
      </w:r>
      <w:r>
        <w:rPr>
          <w:rtl/>
        </w:rPr>
        <w:t xml:space="preserve"> </w:t>
      </w:r>
      <w:r>
        <w:rPr>
          <w:rFonts w:hint="eastAsia"/>
          <w:rtl/>
        </w:rPr>
        <w:t>ס</w:t>
      </w:r>
      <w:r>
        <w:rPr>
          <w:rtl/>
        </w:rPr>
        <w:t xml:space="preserve">"ח </w:t>
      </w:r>
      <w:proofErr w:type="spellStart"/>
      <w:r>
        <w:rPr>
          <w:rtl/>
        </w:rPr>
        <w:t>התשכ"ג</w:t>
      </w:r>
      <w:proofErr w:type="spellEnd"/>
      <w:r>
        <w:rPr>
          <w:rtl/>
        </w:rPr>
        <w:t>, עמ' 136.</w:t>
      </w:r>
    </w:p>
  </w:footnote>
  <w:footnote w:id="8">
    <w:p w14:paraId="6FE8D564" w14:textId="3664D262" w:rsidR="00FA3A5B" w:rsidRDefault="00FA3A5B" w:rsidP="00131EA2">
      <w:pPr>
        <w:pStyle w:val="ab"/>
        <w:rPr>
          <w:rtl/>
        </w:rPr>
      </w:pPr>
      <w:r w:rsidRPr="003C6EE4">
        <w:rPr>
          <w:rStyle w:val="aa"/>
        </w:rPr>
        <w:footnoteRef/>
      </w:r>
      <w:r w:rsidRPr="003C6EE4">
        <w:rPr>
          <w:rtl/>
        </w:rPr>
        <w:t xml:space="preserve"> </w:t>
      </w:r>
      <w:r w:rsidRPr="003C6EE4">
        <w:rPr>
          <w:rFonts w:hint="cs"/>
          <w:rtl/>
        </w:rPr>
        <w:t xml:space="preserve">ס"ח </w:t>
      </w:r>
      <w:proofErr w:type="spellStart"/>
      <w:r w:rsidRPr="003C6EE4">
        <w:rPr>
          <w:rFonts w:hint="cs"/>
          <w:rtl/>
        </w:rPr>
        <w:t>התש"ס</w:t>
      </w:r>
      <w:proofErr w:type="spellEnd"/>
      <w:r w:rsidRPr="003C6EE4">
        <w:rPr>
          <w:rFonts w:hint="cs"/>
          <w:rtl/>
        </w:rPr>
        <w:t xml:space="preserve">, עמ' 190; </w:t>
      </w:r>
      <w:proofErr w:type="spellStart"/>
      <w:r w:rsidRPr="003C6EE4">
        <w:rPr>
          <w:rFonts w:hint="cs"/>
          <w:rtl/>
        </w:rPr>
        <w:t>התשפ"ג</w:t>
      </w:r>
      <w:proofErr w:type="spellEnd"/>
      <w:r w:rsidRPr="003C6EE4">
        <w:rPr>
          <w:rFonts w:hint="cs"/>
          <w:rtl/>
        </w:rPr>
        <w:t xml:space="preserve">, עמ' </w:t>
      </w:r>
      <w:r w:rsidR="003C6EE4">
        <w:rPr>
          <w:rFonts w:hint="cs"/>
          <w:rtl/>
        </w:rPr>
        <w:t>617.</w:t>
      </w:r>
    </w:p>
  </w:footnote>
  <w:footnote w:id="9">
    <w:p w14:paraId="524F5477" w14:textId="77777777" w:rsidR="00FA3A5B" w:rsidRDefault="00FA3A5B" w:rsidP="00FA3A5B">
      <w:pPr>
        <w:pStyle w:val="ab"/>
        <w:rPr>
          <w:rtl/>
        </w:rPr>
      </w:pPr>
      <w:r>
        <w:rPr>
          <w:rStyle w:val="aa"/>
        </w:rPr>
        <w:footnoteRef/>
      </w:r>
      <w:r>
        <w:rPr>
          <w:rtl/>
        </w:rPr>
        <w:t xml:space="preserve"> </w:t>
      </w:r>
      <w:r>
        <w:rPr>
          <w:rFonts w:hint="cs"/>
          <w:rtl/>
        </w:rPr>
        <w:t xml:space="preserve">ס"ח </w:t>
      </w:r>
      <w:proofErr w:type="spellStart"/>
      <w:r>
        <w:rPr>
          <w:rFonts w:hint="cs"/>
          <w:rtl/>
        </w:rPr>
        <w:t>התשס"א</w:t>
      </w:r>
      <w:proofErr w:type="spellEnd"/>
      <w:r>
        <w:rPr>
          <w:rFonts w:hint="cs"/>
          <w:rtl/>
        </w:rPr>
        <w:t>, עמ' 509.</w:t>
      </w:r>
    </w:p>
  </w:footnote>
  <w:footnote w:id="10">
    <w:p w14:paraId="48682BE0" w14:textId="77777777" w:rsidR="00FA3A5B" w:rsidRDefault="00FA3A5B" w:rsidP="00FA3A5B">
      <w:pPr>
        <w:pStyle w:val="ab"/>
        <w:rPr>
          <w:rtl/>
        </w:rPr>
      </w:pPr>
      <w:r>
        <w:rPr>
          <w:rStyle w:val="aa"/>
        </w:rPr>
        <w:footnoteRef/>
      </w:r>
      <w:r>
        <w:rPr>
          <w:rtl/>
        </w:rPr>
        <w:t xml:space="preserve"> </w:t>
      </w:r>
      <w:r>
        <w:rPr>
          <w:rFonts w:hint="cs"/>
          <w:rtl/>
        </w:rPr>
        <w:t xml:space="preserve">ס"ח </w:t>
      </w:r>
      <w:proofErr w:type="spellStart"/>
      <w:r>
        <w:rPr>
          <w:rFonts w:hint="cs"/>
          <w:rtl/>
        </w:rPr>
        <w:t>התשפ"ג</w:t>
      </w:r>
      <w:proofErr w:type="spellEnd"/>
      <w:r>
        <w:rPr>
          <w:rFonts w:hint="cs"/>
          <w:rtl/>
        </w:rPr>
        <w:t>, עמ' ...</w:t>
      </w:r>
    </w:p>
  </w:footnote>
  <w:footnote w:id="11">
    <w:p w14:paraId="5F6817A0" w14:textId="77777777" w:rsidR="00FA3A5B" w:rsidRDefault="00FA3A5B" w:rsidP="00FA3A5B">
      <w:pPr>
        <w:pStyle w:val="ab"/>
      </w:pPr>
      <w:r>
        <w:rPr>
          <w:rStyle w:val="aa"/>
        </w:rPr>
        <w:footnoteRef/>
      </w:r>
      <w:r>
        <w:rPr>
          <w:rtl/>
        </w:rPr>
        <w:t xml:space="preserve"> </w:t>
      </w:r>
      <w:r>
        <w:rPr>
          <w:rFonts w:hint="cs"/>
          <w:rtl/>
        </w:rPr>
        <w:t xml:space="preserve">ס"ח </w:t>
      </w:r>
      <w:proofErr w:type="spellStart"/>
      <w:r>
        <w:rPr>
          <w:rFonts w:hint="cs"/>
          <w:rtl/>
        </w:rPr>
        <w:t>התשנ"ו</w:t>
      </w:r>
      <w:proofErr w:type="spellEnd"/>
      <w:r>
        <w:rPr>
          <w:rFonts w:hint="cs"/>
          <w:rtl/>
        </w:rPr>
        <w:t xml:space="preserve">, עמ' 338; </w:t>
      </w:r>
      <w:proofErr w:type="spellStart"/>
      <w:r w:rsidRPr="003813B2">
        <w:rPr>
          <w:rFonts w:hint="eastAsia"/>
          <w:rtl/>
        </w:rPr>
        <w:t>התש</w:t>
      </w:r>
      <w:r>
        <w:rPr>
          <w:rFonts w:hint="cs"/>
          <w:rtl/>
        </w:rPr>
        <w:t>פ"ג</w:t>
      </w:r>
      <w:proofErr w:type="spellEnd"/>
      <w:r>
        <w:rPr>
          <w:rFonts w:hint="cs"/>
          <w:rtl/>
        </w:rPr>
        <w:t>, עמ' 23.</w:t>
      </w:r>
    </w:p>
  </w:footnote>
  <w:footnote w:id="12">
    <w:p w14:paraId="375F3A81" w14:textId="77777777" w:rsidR="00FA3A5B" w:rsidRDefault="00FA3A5B" w:rsidP="00FA3A5B">
      <w:pPr>
        <w:pStyle w:val="ab"/>
        <w:rPr>
          <w:rtl/>
        </w:rPr>
      </w:pPr>
      <w:r>
        <w:rPr>
          <w:rStyle w:val="aa"/>
        </w:rPr>
        <w:footnoteRef/>
      </w:r>
      <w:r>
        <w:rPr>
          <w:rtl/>
        </w:rPr>
        <w:t xml:space="preserve"> </w:t>
      </w:r>
      <w:r>
        <w:rPr>
          <w:rFonts w:hint="cs"/>
          <w:rtl/>
        </w:rPr>
        <w:t xml:space="preserve">ס"ח </w:t>
      </w:r>
      <w:proofErr w:type="spellStart"/>
      <w:r>
        <w:rPr>
          <w:rFonts w:hint="cs"/>
          <w:rtl/>
        </w:rPr>
        <w:t>התשפ"ג</w:t>
      </w:r>
      <w:proofErr w:type="spellEnd"/>
      <w:r>
        <w:rPr>
          <w:rFonts w:hint="cs"/>
          <w:rtl/>
        </w:rPr>
        <w:t>, עמ' ...</w:t>
      </w:r>
    </w:p>
  </w:footnote>
  <w:footnote w:id="13">
    <w:p w14:paraId="5B54377C" w14:textId="77777777" w:rsidR="00FA3A5B" w:rsidRDefault="00FA3A5B" w:rsidP="00FA3A5B">
      <w:pPr>
        <w:pStyle w:val="ab"/>
      </w:pPr>
      <w:r>
        <w:rPr>
          <w:rStyle w:val="aa"/>
        </w:rPr>
        <w:footnoteRef/>
      </w:r>
      <w:r>
        <w:rPr>
          <w:rtl/>
        </w:rPr>
        <w:t xml:space="preserve"> </w:t>
      </w:r>
      <w:r>
        <w:rPr>
          <w:rFonts w:hint="cs"/>
          <w:rtl/>
        </w:rPr>
        <w:t xml:space="preserve">ס"ח </w:t>
      </w:r>
      <w:proofErr w:type="spellStart"/>
      <w:r>
        <w:rPr>
          <w:rFonts w:hint="cs"/>
          <w:rtl/>
        </w:rPr>
        <w:t>התשע"ט</w:t>
      </w:r>
      <w:proofErr w:type="spellEnd"/>
      <w:r>
        <w:rPr>
          <w:rFonts w:hint="cs"/>
          <w:rtl/>
        </w:rPr>
        <w:t xml:space="preserve">, עמ' 298; </w:t>
      </w:r>
      <w:proofErr w:type="spellStart"/>
      <w:r>
        <w:rPr>
          <w:rFonts w:hint="cs"/>
          <w:rtl/>
        </w:rPr>
        <w:t>התשפ"ג</w:t>
      </w:r>
      <w:proofErr w:type="spellEnd"/>
      <w:r>
        <w:rPr>
          <w:rFonts w:hint="cs"/>
          <w:rtl/>
        </w:rPr>
        <w:t>, עמ' 374.</w:t>
      </w:r>
    </w:p>
  </w:footnote>
  <w:footnote w:id="14">
    <w:p w14:paraId="48E17AF8" w14:textId="77777777" w:rsidR="00FA3A5B" w:rsidRDefault="00FA3A5B" w:rsidP="00FA3A5B">
      <w:pPr>
        <w:pStyle w:val="ab"/>
        <w:rPr>
          <w:rtl/>
        </w:rPr>
      </w:pPr>
      <w:r>
        <w:rPr>
          <w:rStyle w:val="aa"/>
        </w:rPr>
        <w:footnoteRef/>
      </w:r>
      <w:r>
        <w:rPr>
          <w:rtl/>
        </w:rPr>
        <w:t xml:space="preserve"> </w:t>
      </w:r>
      <w:r>
        <w:rPr>
          <w:rFonts w:hint="cs"/>
          <w:rtl/>
        </w:rPr>
        <w:t xml:space="preserve">ס"ח </w:t>
      </w:r>
      <w:proofErr w:type="spellStart"/>
      <w:r>
        <w:rPr>
          <w:rFonts w:hint="cs"/>
          <w:rtl/>
        </w:rPr>
        <w:t>התשפ"ג</w:t>
      </w:r>
      <w:proofErr w:type="spellEnd"/>
      <w:r>
        <w:rPr>
          <w:rFonts w:hint="cs"/>
          <w:rtl/>
        </w:rPr>
        <w:t>, עמ'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1" w14:textId="77777777" w:rsidR="002137F8" w:rsidRDefault="002137F8">
    <w:pPr>
      <w:pStyle w:val="ad"/>
      <w:framePr w:wrap="around" w:vAnchor="text" w:hAnchor="margin" w:xAlign="center" w:y="1"/>
      <w:rPr>
        <w:rStyle w:val="af"/>
        <w:rtl/>
      </w:rPr>
    </w:pPr>
    <w:r>
      <w:rPr>
        <w:rStyle w:val="af"/>
        <w:rtl/>
      </w:rPr>
      <w:fldChar w:fldCharType="begin"/>
    </w:r>
    <w:r>
      <w:rPr>
        <w:rStyle w:val="af"/>
      </w:rPr>
      <w:instrText xml:space="preserve">PAGE  </w:instrText>
    </w:r>
    <w:r>
      <w:rPr>
        <w:rStyle w:val="af"/>
        <w:rtl/>
      </w:rPr>
      <w:fldChar w:fldCharType="end"/>
    </w:r>
  </w:p>
  <w:p w14:paraId="11F1CED2" w14:textId="77777777" w:rsidR="002137F8" w:rsidRDefault="002137F8">
    <w:pPr>
      <w:pStyle w:val="ad"/>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3" w14:textId="77777777" w:rsidR="002137F8" w:rsidRPr="00E125CC" w:rsidRDefault="002137F8">
    <w:pPr>
      <w:pStyle w:val="ad"/>
      <w:framePr w:wrap="around" w:vAnchor="text" w:hAnchor="margin" w:xAlign="center" w:y="1"/>
      <w:rPr>
        <w:rStyle w:val="af"/>
        <w:rtl/>
      </w:rPr>
    </w:pPr>
    <w:r>
      <w:rPr>
        <w:rStyle w:val="af"/>
        <w:rFonts w:hint="cs"/>
        <w:rtl/>
      </w:rPr>
      <w:t xml:space="preserve">- </w:t>
    </w:r>
    <w:r w:rsidRPr="00E125CC">
      <w:rPr>
        <w:rStyle w:val="af"/>
        <w:rtl/>
      </w:rPr>
      <w:fldChar w:fldCharType="begin"/>
    </w:r>
    <w:r w:rsidRPr="00E125CC">
      <w:rPr>
        <w:rStyle w:val="af"/>
      </w:rPr>
      <w:instrText xml:space="preserve">PAGE  </w:instrText>
    </w:r>
    <w:r w:rsidRPr="00E125CC">
      <w:rPr>
        <w:rStyle w:val="af"/>
        <w:rtl/>
      </w:rPr>
      <w:fldChar w:fldCharType="separate"/>
    </w:r>
    <w:r w:rsidR="00720151">
      <w:rPr>
        <w:rStyle w:val="af"/>
        <w:noProof/>
        <w:rtl/>
      </w:rPr>
      <w:t>11</w:t>
    </w:r>
    <w:r w:rsidRPr="00E125CC">
      <w:rPr>
        <w:rStyle w:val="af"/>
        <w:rtl/>
      </w:rPr>
      <w:fldChar w:fldCharType="end"/>
    </w:r>
    <w:r>
      <w:rPr>
        <w:rStyle w:val="af"/>
        <w:rFonts w:hint="cs"/>
        <w:rtl/>
      </w:rPr>
      <w:t xml:space="preserve"> -</w:t>
    </w:r>
  </w:p>
  <w:p w14:paraId="11F1CED4" w14:textId="77777777" w:rsidR="002137F8" w:rsidRDefault="002137F8">
    <w:pPr>
      <w:pStyle w:val="ad"/>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01944"/>
    <w:multiLevelType w:val="hybridMultilevel"/>
    <w:tmpl w:val="80ACB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FE571F"/>
    <w:multiLevelType w:val="hybridMultilevel"/>
    <w:tmpl w:val="D4EE4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37247"/>
    <w:multiLevelType w:val="hybridMultilevel"/>
    <w:tmpl w:val="AFEA3AF8"/>
    <w:lvl w:ilvl="0" w:tplc="B4EC2F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E71E6"/>
    <w:multiLevelType w:val="hybridMultilevel"/>
    <w:tmpl w:val="919A2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FD052E"/>
    <w:multiLevelType w:val="hybridMultilevel"/>
    <w:tmpl w:val="919A2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AE77F7"/>
    <w:multiLevelType w:val="hybridMultilevel"/>
    <w:tmpl w:val="D1CC2AEE"/>
    <w:lvl w:ilvl="0" w:tplc="747E8678">
      <w:start w:val="1"/>
      <w:numFmt w:val="decimal"/>
      <w:pStyle w:val="a"/>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4047C16"/>
    <w:multiLevelType w:val="hybridMultilevel"/>
    <w:tmpl w:val="4BB270A4"/>
    <w:lvl w:ilvl="0" w:tplc="C3BCB8D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5AE5C1B"/>
    <w:multiLevelType w:val="hybridMultilevel"/>
    <w:tmpl w:val="758A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0"/>
  </w:num>
  <w:num w:numId="5">
    <w:abstractNumId w:val="19"/>
  </w:num>
  <w:num w:numId="6">
    <w:abstractNumId w:val="15"/>
  </w:num>
  <w:num w:numId="7">
    <w:abstractNumId w:val="0"/>
  </w:num>
  <w:num w:numId="8">
    <w:abstractNumId w:val="22"/>
  </w:num>
  <w:num w:numId="9">
    <w:abstractNumId w:val="13"/>
  </w:num>
  <w:num w:numId="10">
    <w:abstractNumId w:val="24"/>
  </w:num>
  <w:num w:numId="11">
    <w:abstractNumId w:val="8"/>
  </w:num>
  <w:num w:numId="12">
    <w:abstractNumId w:val="3"/>
  </w:num>
  <w:num w:numId="13">
    <w:abstractNumId w:val="2"/>
  </w:num>
  <w:num w:numId="14">
    <w:abstractNumId w:val="1"/>
  </w:num>
  <w:num w:numId="15">
    <w:abstractNumId w:val="9"/>
  </w:num>
  <w:num w:numId="16">
    <w:abstractNumId w:val="7"/>
  </w:num>
  <w:num w:numId="17">
    <w:abstractNumId w:val="6"/>
  </w:num>
  <w:num w:numId="18">
    <w:abstractNumId w:val="5"/>
  </w:num>
  <w:num w:numId="19">
    <w:abstractNumId w:val="4"/>
  </w:num>
  <w:num w:numId="20">
    <w:abstractNumId w:val="18"/>
  </w:num>
  <w:num w:numId="21">
    <w:abstractNumId w:val="18"/>
    <w:lvlOverride w:ilvl="0">
      <w:startOverride w:val="1"/>
    </w:lvlOverride>
  </w:num>
  <w:num w:numId="22">
    <w:abstractNumId w:val="1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0"/>
  </w:num>
  <w:num w:numId="28">
    <w:abstractNumId w:val="17"/>
  </w:num>
  <w:num w:numId="29">
    <w:abstractNumId w:val="16"/>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43"/>
    <w:rsid w:val="00022EBF"/>
    <w:rsid w:val="0002643E"/>
    <w:rsid w:val="0002757A"/>
    <w:rsid w:val="00027E2D"/>
    <w:rsid w:val="00033033"/>
    <w:rsid w:val="00047882"/>
    <w:rsid w:val="00077AF1"/>
    <w:rsid w:val="00097925"/>
    <w:rsid w:val="000B3A00"/>
    <w:rsid w:val="000E3B18"/>
    <w:rsid w:val="000E4563"/>
    <w:rsid w:val="000E7E08"/>
    <w:rsid w:val="000F5C46"/>
    <w:rsid w:val="000F6D7C"/>
    <w:rsid w:val="001253F6"/>
    <w:rsid w:val="00131EA2"/>
    <w:rsid w:val="00135743"/>
    <w:rsid w:val="001C4A6C"/>
    <w:rsid w:val="002000B0"/>
    <w:rsid w:val="00205DFF"/>
    <w:rsid w:val="0020610D"/>
    <w:rsid w:val="0020793A"/>
    <w:rsid w:val="002137F8"/>
    <w:rsid w:val="00220CAF"/>
    <w:rsid w:val="00222DA1"/>
    <w:rsid w:val="0024044E"/>
    <w:rsid w:val="00280B87"/>
    <w:rsid w:val="002C4285"/>
    <w:rsid w:val="002C4FF8"/>
    <w:rsid w:val="002E1F11"/>
    <w:rsid w:val="002E6458"/>
    <w:rsid w:val="0031473A"/>
    <w:rsid w:val="00331786"/>
    <w:rsid w:val="0034385F"/>
    <w:rsid w:val="00352E82"/>
    <w:rsid w:val="003710E7"/>
    <w:rsid w:val="0037452B"/>
    <w:rsid w:val="003948C0"/>
    <w:rsid w:val="003A6179"/>
    <w:rsid w:val="003B4BC6"/>
    <w:rsid w:val="003C03C8"/>
    <w:rsid w:val="003C1215"/>
    <w:rsid w:val="003C6EE4"/>
    <w:rsid w:val="003D27C5"/>
    <w:rsid w:val="003D58F4"/>
    <w:rsid w:val="004239B4"/>
    <w:rsid w:val="004265E2"/>
    <w:rsid w:val="00443D7D"/>
    <w:rsid w:val="004B1418"/>
    <w:rsid w:val="004B1FDD"/>
    <w:rsid w:val="004C68A2"/>
    <w:rsid w:val="004D7542"/>
    <w:rsid w:val="004E5E15"/>
    <w:rsid w:val="004E77B7"/>
    <w:rsid w:val="0052521E"/>
    <w:rsid w:val="005527D3"/>
    <w:rsid w:val="00553EAC"/>
    <w:rsid w:val="005652C2"/>
    <w:rsid w:val="0057628C"/>
    <w:rsid w:val="005A2EB8"/>
    <w:rsid w:val="005B6107"/>
    <w:rsid w:val="005C5383"/>
    <w:rsid w:val="005D1A36"/>
    <w:rsid w:val="005F20ED"/>
    <w:rsid w:val="00606368"/>
    <w:rsid w:val="00696C5E"/>
    <w:rsid w:val="006B4B3F"/>
    <w:rsid w:val="006C2108"/>
    <w:rsid w:val="006D0910"/>
    <w:rsid w:val="006F219C"/>
    <w:rsid w:val="006F3CC7"/>
    <w:rsid w:val="00707F31"/>
    <w:rsid w:val="00720151"/>
    <w:rsid w:val="00732EFC"/>
    <w:rsid w:val="007428E7"/>
    <w:rsid w:val="00765153"/>
    <w:rsid w:val="00787D9C"/>
    <w:rsid w:val="007C2914"/>
    <w:rsid w:val="007C4213"/>
    <w:rsid w:val="007E362D"/>
    <w:rsid w:val="00827E61"/>
    <w:rsid w:val="0083056F"/>
    <w:rsid w:val="00847132"/>
    <w:rsid w:val="008500DB"/>
    <w:rsid w:val="008525E2"/>
    <w:rsid w:val="00854E28"/>
    <w:rsid w:val="00855A92"/>
    <w:rsid w:val="00861CDE"/>
    <w:rsid w:val="008836D8"/>
    <w:rsid w:val="00885A35"/>
    <w:rsid w:val="00890350"/>
    <w:rsid w:val="008A5C70"/>
    <w:rsid w:val="008B055C"/>
    <w:rsid w:val="0095296F"/>
    <w:rsid w:val="009579F7"/>
    <w:rsid w:val="009B1679"/>
    <w:rsid w:val="009C37CC"/>
    <w:rsid w:val="009C7FC7"/>
    <w:rsid w:val="009E19BF"/>
    <w:rsid w:val="009F0EF8"/>
    <w:rsid w:val="00A03A03"/>
    <w:rsid w:val="00A15945"/>
    <w:rsid w:val="00A54DE5"/>
    <w:rsid w:val="00A9474C"/>
    <w:rsid w:val="00AA5399"/>
    <w:rsid w:val="00AC4CCE"/>
    <w:rsid w:val="00B16515"/>
    <w:rsid w:val="00B416AF"/>
    <w:rsid w:val="00B4412A"/>
    <w:rsid w:val="00B6418A"/>
    <w:rsid w:val="00BA09A3"/>
    <w:rsid w:val="00BA2FCA"/>
    <w:rsid w:val="00BD0880"/>
    <w:rsid w:val="00C0211F"/>
    <w:rsid w:val="00C35CC5"/>
    <w:rsid w:val="00C61EBB"/>
    <w:rsid w:val="00C63E8C"/>
    <w:rsid w:val="00C7276B"/>
    <w:rsid w:val="00C72DFC"/>
    <w:rsid w:val="00CA7AA2"/>
    <w:rsid w:val="00CA7D8A"/>
    <w:rsid w:val="00CA7E27"/>
    <w:rsid w:val="00CC515F"/>
    <w:rsid w:val="00CD1A3B"/>
    <w:rsid w:val="00CD2734"/>
    <w:rsid w:val="00CD5774"/>
    <w:rsid w:val="00D24673"/>
    <w:rsid w:val="00D4588A"/>
    <w:rsid w:val="00D82284"/>
    <w:rsid w:val="00D92FDC"/>
    <w:rsid w:val="00D9552D"/>
    <w:rsid w:val="00DD65EA"/>
    <w:rsid w:val="00DF5CB6"/>
    <w:rsid w:val="00E26850"/>
    <w:rsid w:val="00E36A7E"/>
    <w:rsid w:val="00E449A1"/>
    <w:rsid w:val="00E61062"/>
    <w:rsid w:val="00E8482E"/>
    <w:rsid w:val="00EC7E05"/>
    <w:rsid w:val="00ED2936"/>
    <w:rsid w:val="00EE492B"/>
    <w:rsid w:val="00F05158"/>
    <w:rsid w:val="00F93ADC"/>
    <w:rsid w:val="00FA3A5B"/>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1CEA6"/>
  <w15:docId w15:val="{B8A021AF-784A-44AB-B7E0-A4BB6A61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3A5B"/>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0"/>
    <w:next w:val="a0"/>
    <w:link w:val="10"/>
    <w:uiPriority w:val="9"/>
    <w:qFormat/>
    <w:rsid w:val="00FA3A5B"/>
    <w:pPr>
      <w:keepNext/>
      <w:keepLines/>
      <w:spacing w:before="240"/>
      <w:jc w:val="center"/>
      <w:outlineLvl w:val="0"/>
    </w:pPr>
    <w:rPr>
      <w:rFonts w:asciiTheme="majorHAnsi" w:eastAsiaTheme="majorEastAsia" w:hAnsiTheme="majorHAnsi"/>
      <w:bCs/>
      <w:sz w:val="32"/>
      <w:szCs w:val="36"/>
    </w:rPr>
  </w:style>
  <w:style w:type="paragraph" w:styleId="2">
    <w:name w:val="heading 2"/>
    <w:basedOn w:val="a0"/>
    <w:next w:val="a0"/>
    <w:link w:val="20"/>
    <w:unhideWhenUsed/>
    <w:qFormat/>
    <w:rsid w:val="00FA3A5B"/>
    <w:pPr>
      <w:ind w:left="0"/>
      <w:jc w:val="left"/>
      <w:outlineLvl w:val="1"/>
    </w:pPr>
    <w:rPr>
      <w:rFonts w:asciiTheme="majorHAnsi" w:eastAsiaTheme="majorEastAsia" w:hAnsiTheme="majorHAnsi"/>
      <w:bCs/>
      <w:sz w:val="26"/>
      <w:szCs w:val="36"/>
      <w:u w:val="single"/>
    </w:rPr>
  </w:style>
  <w:style w:type="paragraph" w:styleId="3">
    <w:name w:val="heading 3"/>
    <w:basedOn w:val="a0"/>
    <w:next w:val="a0"/>
    <w:link w:val="30"/>
    <w:unhideWhenUsed/>
    <w:qFormat/>
    <w:rsid w:val="00FA3A5B"/>
    <w:pPr>
      <w:spacing w:before="40"/>
      <w:ind w:left="0"/>
      <w:jc w:val="left"/>
      <w:outlineLvl w:val="2"/>
    </w:pPr>
    <w:rPr>
      <w:rFonts w:asciiTheme="majorHAnsi" w:eastAsiaTheme="majorEastAsia" w:hAnsiTheme="majorHAnsi"/>
      <w:szCs w:val="28"/>
      <w:u w:val="double"/>
    </w:rPr>
  </w:style>
  <w:style w:type="paragraph" w:styleId="4">
    <w:name w:val="heading 4"/>
    <w:basedOn w:val="a0"/>
    <w:next w:val="a0"/>
    <w:link w:val="40"/>
    <w:uiPriority w:val="9"/>
    <w:unhideWhenUsed/>
    <w:qFormat/>
    <w:rsid w:val="00FA3A5B"/>
    <w:pPr>
      <w:numPr>
        <w:numId w:val="23"/>
      </w:numPr>
      <w:spacing w:before="40" w:after="120"/>
      <w:outlineLvl w:val="3"/>
    </w:pPr>
    <w:rPr>
      <w:b/>
      <w:bCs/>
      <w:color w:val="000000" w:themeColor="text1"/>
      <w:szCs w:val="28"/>
    </w:rPr>
  </w:style>
  <w:style w:type="paragraph" w:styleId="5">
    <w:name w:val="heading 5"/>
    <w:basedOn w:val="a0"/>
    <w:next w:val="a0"/>
    <w:link w:val="50"/>
    <w:uiPriority w:val="9"/>
    <w:unhideWhenUsed/>
    <w:qFormat/>
    <w:rsid w:val="00FA3A5B"/>
    <w:pPr>
      <w:spacing w:line="259" w:lineRule="auto"/>
      <w:outlineLvl w:val="4"/>
    </w:pPr>
    <w:rPr>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semiHidden/>
    <w:rsid w:val="009579F7"/>
    <w:rPr>
      <w:sz w:val="16"/>
      <w:szCs w:val="16"/>
    </w:rPr>
  </w:style>
  <w:style w:type="paragraph" w:styleId="a5">
    <w:name w:val="annotation text"/>
    <w:basedOn w:val="a0"/>
    <w:link w:val="11"/>
    <w:semiHidden/>
    <w:rsid w:val="009579F7"/>
    <w:rPr>
      <w:sz w:val="20"/>
      <w:szCs w:val="20"/>
    </w:rPr>
  </w:style>
  <w:style w:type="paragraph" w:customStyle="1" w:styleId="Cover1-Reshumot">
    <w:name w:val="Cover 1-Reshumot"/>
    <w:basedOn w:val="a0"/>
    <w:rsid w:val="00FA3A5B"/>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FA3A5B"/>
    <w:rPr>
      <w:sz w:val="36"/>
      <w:szCs w:val="52"/>
    </w:rPr>
  </w:style>
  <w:style w:type="paragraph" w:customStyle="1" w:styleId="Cover3-Haknesset">
    <w:name w:val="Cover 3-Haknesset"/>
    <w:basedOn w:val="Cover1-Reshumot"/>
    <w:rsid w:val="00FA3A5B"/>
    <w:rPr>
      <w:b/>
      <w:bCs/>
      <w:spacing w:val="60"/>
    </w:rPr>
  </w:style>
  <w:style w:type="paragraph" w:customStyle="1" w:styleId="Cover4-Date">
    <w:name w:val="Cover 4-Date"/>
    <w:basedOn w:val="a0"/>
    <w:rsid w:val="00FA3A5B"/>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character" w:styleId="a6">
    <w:name w:val="endnote reference"/>
    <w:basedOn w:val="a1"/>
    <w:semiHidden/>
    <w:rsid w:val="00FA3A5B"/>
    <w:rPr>
      <w:vertAlign w:val="superscript"/>
    </w:rPr>
  </w:style>
  <w:style w:type="paragraph" w:customStyle="1" w:styleId="Ragil">
    <w:name w:val="Ragil"/>
    <w:basedOn w:val="a0"/>
    <w:rsid w:val="00FA3A5B"/>
    <w:pPr>
      <w:snapToGrid w:val="0"/>
      <w:jc w:val="left"/>
    </w:pPr>
    <w:rPr>
      <w:rFonts w:ascii="Arial" w:eastAsia="Arial Unicode MS" w:hAnsi="Arial"/>
      <w:snapToGrid w:val="0"/>
      <w:sz w:val="20"/>
      <w:szCs w:val="26"/>
    </w:rPr>
  </w:style>
  <w:style w:type="paragraph" w:styleId="a7">
    <w:name w:val="endnote text"/>
    <w:basedOn w:val="a0"/>
    <w:link w:val="a8"/>
    <w:semiHidden/>
    <w:rsid w:val="00FA3A5B"/>
    <w:pPr>
      <w:ind w:left="227" w:hanging="227"/>
    </w:pPr>
    <w:rPr>
      <w:sz w:val="14"/>
      <w:szCs w:val="22"/>
    </w:rPr>
  </w:style>
  <w:style w:type="paragraph" w:styleId="a9">
    <w:name w:val="footer"/>
    <w:basedOn w:val="a0"/>
    <w:rsid w:val="00FA3A5B"/>
    <w:pPr>
      <w:tabs>
        <w:tab w:val="center" w:pos="4153"/>
        <w:tab w:val="right" w:pos="8306"/>
      </w:tabs>
    </w:pPr>
  </w:style>
  <w:style w:type="character" w:styleId="aa">
    <w:name w:val="footnote reference"/>
    <w:aliases w:val="Footnote Reference"/>
    <w:basedOn w:val="a1"/>
    <w:semiHidden/>
    <w:rsid w:val="00FA3A5B"/>
    <w:rPr>
      <w:vertAlign w:val="superscript"/>
    </w:rPr>
  </w:style>
  <w:style w:type="paragraph" w:styleId="ab">
    <w:name w:val="footnote text"/>
    <w:basedOn w:val="a0"/>
    <w:link w:val="ac"/>
    <w:autoRedefine/>
    <w:semiHidden/>
    <w:rsid w:val="00FA3A5B"/>
    <w:pPr>
      <w:snapToGrid w:val="0"/>
      <w:spacing w:line="240" w:lineRule="auto"/>
      <w:ind w:left="0"/>
      <w:jc w:val="left"/>
    </w:pPr>
    <w:rPr>
      <w:rFonts w:ascii="Arial" w:eastAsia="Arial Unicode MS" w:hAnsi="Arial"/>
      <w:snapToGrid w:val="0"/>
      <w:sz w:val="14"/>
      <w:szCs w:val="20"/>
    </w:rPr>
  </w:style>
  <w:style w:type="paragraph" w:customStyle="1" w:styleId="HeadDivreiHesber">
    <w:name w:val="Head DivreiHesber"/>
    <w:basedOn w:val="a0"/>
    <w:rsid w:val="00FA3A5B"/>
    <w:pPr>
      <w:snapToGrid w:val="0"/>
      <w:spacing w:before="360" w:after="120"/>
      <w:jc w:val="center"/>
      <w:outlineLvl w:val="1"/>
    </w:pPr>
    <w:rPr>
      <w:rFonts w:ascii="Arial" w:eastAsia="Arial Unicode MS" w:hAnsi="Arial"/>
      <w:b/>
      <w:snapToGrid w:val="0"/>
      <w:spacing w:val="40"/>
      <w:sz w:val="20"/>
      <w:szCs w:val="26"/>
    </w:rPr>
  </w:style>
  <w:style w:type="paragraph" w:customStyle="1" w:styleId="HeadHatzaotHok">
    <w:name w:val="Head HatzaotHok"/>
    <w:basedOn w:val="a0"/>
    <w:link w:val="HeadHatzaotHok0"/>
    <w:rsid w:val="00FA3A5B"/>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FA3A5B"/>
    <w:pPr>
      <w:spacing w:before="120" w:after="120"/>
    </w:pPr>
    <w:rPr>
      <w:color w:val="FF0000"/>
      <w:w w:val="80"/>
    </w:rPr>
  </w:style>
  <w:style w:type="paragraph" w:customStyle="1" w:styleId="HeadMitparsemetBaze">
    <w:name w:val="Head MitparsemetBaze"/>
    <w:basedOn w:val="a0"/>
    <w:rsid w:val="00FA3A5B"/>
    <w:pPr>
      <w:keepNext/>
      <w:keepLines/>
      <w:pageBreakBefore/>
      <w:snapToGrid w:val="0"/>
      <w:spacing w:before="480"/>
    </w:pPr>
    <w:rPr>
      <w:rFonts w:ascii="Arial" w:eastAsia="Arial Unicode MS" w:hAnsi="Arial"/>
      <w:b/>
      <w:bCs/>
      <w:snapToGrid w:val="0"/>
      <w:sz w:val="20"/>
      <w:szCs w:val="26"/>
    </w:rPr>
  </w:style>
  <w:style w:type="paragraph" w:styleId="ad">
    <w:name w:val="header"/>
    <w:basedOn w:val="a0"/>
    <w:link w:val="ae"/>
    <w:rsid w:val="00FA3A5B"/>
    <w:pPr>
      <w:tabs>
        <w:tab w:val="center" w:pos="4153"/>
        <w:tab w:val="right" w:pos="8306"/>
      </w:tabs>
    </w:pPr>
  </w:style>
  <w:style w:type="paragraph" w:customStyle="1" w:styleId="Hesber">
    <w:name w:val="Hesber"/>
    <w:basedOn w:val="a0"/>
    <w:rsid w:val="00FA3A5B"/>
    <w:pPr>
      <w:snapToGrid w:val="0"/>
      <w:ind w:left="0" w:firstLine="340"/>
    </w:pPr>
    <w:rPr>
      <w:rFonts w:ascii="Arial" w:eastAsia="Arial Unicode MS" w:hAnsi="Arial"/>
      <w:snapToGrid w:val="0"/>
      <w:sz w:val="20"/>
      <w:szCs w:val="26"/>
    </w:rPr>
  </w:style>
  <w:style w:type="paragraph" w:customStyle="1" w:styleId="Hesber1st">
    <w:name w:val="Hesber 1st"/>
    <w:basedOn w:val="Hesber"/>
    <w:rsid w:val="00FA3A5B"/>
    <w:pPr>
      <w:tabs>
        <w:tab w:val="left" w:pos="680"/>
        <w:tab w:val="left" w:pos="1020"/>
      </w:tabs>
      <w:ind w:firstLine="0"/>
    </w:pPr>
  </w:style>
  <w:style w:type="paragraph" w:customStyle="1" w:styleId="HesberHeading">
    <w:name w:val="Hesber Heading"/>
    <w:basedOn w:val="Hesber"/>
    <w:rsid w:val="00FA3A5B"/>
    <w:pPr>
      <w:tabs>
        <w:tab w:val="left" w:pos="624"/>
        <w:tab w:val="left" w:pos="1247"/>
      </w:tabs>
    </w:pPr>
    <w:rPr>
      <w:b/>
      <w:bCs/>
    </w:rPr>
  </w:style>
  <w:style w:type="paragraph" w:customStyle="1" w:styleId="HesberWriters">
    <w:name w:val="Hesber Writers"/>
    <w:basedOn w:val="Hesber"/>
    <w:rsid w:val="00FA3A5B"/>
    <w:pPr>
      <w:spacing w:before="120" w:after="120"/>
      <w:ind w:left="1418"/>
      <w:jc w:val="right"/>
    </w:pPr>
    <w:rPr>
      <w:b/>
      <w:bCs/>
    </w:rPr>
  </w:style>
  <w:style w:type="character" w:styleId="Hyperlink">
    <w:name w:val="Hyperlink"/>
    <w:basedOn w:val="a1"/>
    <w:uiPriority w:val="99"/>
    <w:unhideWhenUsed/>
    <w:rsid w:val="00FA3A5B"/>
    <w:rPr>
      <w:color w:val="0563C1" w:themeColor="hyperlink"/>
      <w:u w:val="single"/>
    </w:rPr>
  </w:style>
  <w:style w:type="character" w:styleId="af">
    <w:name w:val="page number"/>
    <w:basedOn w:val="a1"/>
    <w:rsid w:val="00FA3A5B"/>
  </w:style>
  <w:style w:type="paragraph" w:customStyle="1" w:styleId="TableText">
    <w:name w:val="Table Text"/>
    <w:basedOn w:val="a0"/>
    <w:rsid w:val="00FA3A5B"/>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FA3A5B"/>
    <w:pPr>
      <w:jc w:val="both"/>
    </w:pPr>
  </w:style>
  <w:style w:type="paragraph" w:customStyle="1" w:styleId="TableBlockOutdent">
    <w:name w:val="Table BlockOutdent"/>
    <w:basedOn w:val="TableBlock"/>
    <w:rsid w:val="00FA3A5B"/>
    <w:pPr>
      <w:ind w:left="624" w:hanging="624"/>
    </w:pPr>
  </w:style>
  <w:style w:type="table" w:customStyle="1" w:styleId="12">
    <w:name w:val="טבלת רשת1"/>
    <w:basedOn w:val="a2"/>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FA3A5B"/>
    <w:pPr>
      <w:jc w:val="center"/>
      <w:outlineLvl w:val="1"/>
    </w:pPr>
    <w:rPr>
      <w:b/>
      <w:bCs/>
    </w:rPr>
  </w:style>
  <w:style w:type="paragraph" w:customStyle="1" w:styleId="TableSideHeading">
    <w:name w:val="Table SideHeading"/>
    <w:basedOn w:val="TableText"/>
    <w:rsid w:val="00FA3A5B"/>
    <w:pPr>
      <w:outlineLvl w:val="2"/>
    </w:pPr>
  </w:style>
  <w:style w:type="paragraph" w:customStyle="1" w:styleId="TableInnerSideHeading">
    <w:name w:val="Table InnerSideHeading"/>
    <w:basedOn w:val="TableSideHeading"/>
    <w:rsid w:val="00FA3A5B"/>
    <w:pPr>
      <w:outlineLvl w:val="9"/>
    </w:pPr>
  </w:style>
  <w:style w:type="paragraph" w:customStyle="1" w:styleId="TableText2">
    <w:name w:val="Table Text2"/>
    <w:basedOn w:val="TableText"/>
    <w:rsid w:val="009579F7"/>
  </w:style>
  <w:style w:type="paragraph" w:styleId="af0">
    <w:name w:val="Title"/>
    <w:basedOn w:val="a0"/>
    <w:qFormat/>
    <w:rsid w:val="009579F7"/>
    <w:pPr>
      <w:jc w:val="center"/>
    </w:pPr>
    <w:rPr>
      <w:b/>
      <w:bCs/>
      <w:sz w:val="28"/>
      <w:szCs w:val="28"/>
      <w:u w:val="single"/>
    </w:rPr>
  </w:style>
  <w:style w:type="paragraph" w:customStyle="1" w:styleId="TOC">
    <w:name w:val="TOC"/>
    <w:basedOn w:val="a0"/>
    <w:rsid w:val="009579F7"/>
    <w:pPr>
      <w:tabs>
        <w:tab w:val="left" w:leader="dot" w:pos="8789"/>
      </w:tabs>
      <w:snapToGrid w:val="0"/>
      <w:spacing w:before="120"/>
      <w:ind w:left="284" w:right="284"/>
    </w:pPr>
    <w:rPr>
      <w:rFonts w:ascii="Arial" w:eastAsia="Arial Unicode MS" w:hAnsi="Arial"/>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szCs w:val="26"/>
    </w:rPr>
  </w:style>
  <w:style w:type="character" w:customStyle="1" w:styleId="ac">
    <w:name w:val="טקסט הערת שוליים תו"/>
    <w:link w:val="ab"/>
    <w:semiHidden/>
    <w:rsid w:val="008525E2"/>
    <w:rPr>
      <w:rFonts w:ascii="Arial" w:eastAsia="Arial Unicode MS" w:hAnsi="Arial" w:cs="David"/>
      <w:snapToGrid w:val="0"/>
      <w:sz w:val="14"/>
    </w:rPr>
  </w:style>
  <w:style w:type="paragraph" w:styleId="af1">
    <w:name w:val="Balloon Text"/>
    <w:basedOn w:val="a0"/>
    <w:link w:val="af2"/>
    <w:rsid w:val="0024044E"/>
    <w:pPr>
      <w:spacing w:line="240" w:lineRule="auto"/>
    </w:pPr>
    <w:rPr>
      <w:rFonts w:ascii="Tahoma" w:hAnsi="Tahoma" w:cs="Tahoma"/>
      <w:sz w:val="16"/>
      <w:szCs w:val="16"/>
    </w:rPr>
  </w:style>
  <w:style w:type="character" w:customStyle="1" w:styleId="af2">
    <w:name w:val="טקסט בלונים תו"/>
    <w:basedOn w:val="a1"/>
    <w:link w:val="af1"/>
    <w:rsid w:val="0024044E"/>
    <w:rPr>
      <w:rFonts w:ascii="Tahoma" w:eastAsia="MS Mincho" w:hAnsi="Tahoma" w:cs="Tahoma"/>
      <w:color w:val="000000"/>
      <w:spacing w:val="1"/>
      <w:sz w:val="16"/>
      <w:szCs w:val="16"/>
      <w:lang w:eastAsia="ja-JP"/>
    </w:rPr>
  </w:style>
  <w:style w:type="character" w:customStyle="1" w:styleId="30">
    <w:name w:val="כותרת 3 תו"/>
    <w:basedOn w:val="a1"/>
    <w:link w:val="3"/>
    <w:rsid w:val="00FA3A5B"/>
    <w:rPr>
      <w:rFonts w:asciiTheme="majorHAnsi" w:eastAsiaTheme="majorEastAsia" w:hAnsiTheme="majorHAnsi" w:cs="David"/>
      <w:sz w:val="24"/>
      <w:szCs w:val="28"/>
      <w:u w:val="double"/>
    </w:rPr>
  </w:style>
  <w:style w:type="character" w:customStyle="1" w:styleId="40">
    <w:name w:val="כותרת 4 תו"/>
    <w:basedOn w:val="a1"/>
    <w:link w:val="4"/>
    <w:uiPriority w:val="9"/>
    <w:rsid w:val="00FA3A5B"/>
    <w:rPr>
      <w:rFonts w:ascii="David" w:eastAsiaTheme="minorHAnsi" w:hAnsi="David" w:cs="David"/>
      <w:b/>
      <w:bCs/>
      <w:color w:val="000000" w:themeColor="text1"/>
      <w:sz w:val="24"/>
      <w:szCs w:val="28"/>
    </w:rPr>
  </w:style>
  <w:style w:type="character" w:customStyle="1" w:styleId="50">
    <w:name w:val="כותרת 5 תו"/>
    <w:basedOn w:val="a1"/>
    <w:link w:val="5"/>
    <w:uiPriority w:val="9"/>
    <w:rsid w:val="00FA3A5B"/>
    <w:rPr>
      <w:rFonts w:ascii="David" w:eastAsiaTheme="minorHAnsi" w:hAnsi="David" w:cs="David"/>
      <w:color w:val="000000" w:themeColor="text1"/>
      <w:sz w:val="24"/>
      <w:szCs w:val="24"/>
    </w:rPr>
  </w:style>
  <w:style w:type="numbering" w:customStyle="1" w:styleId="13">
    <w:name w:val="ללא רשימה1"/>
    <w:next w:val="a3"/>
    <w:uiPriority w:val="99"/>
    <w:semiHidden/>
    <w:unhideWhenUsed/>
    <w:rsid w:val="00FA3A5B"/>
  </w:style>
  <w:style w:type="paragraph" w:customStyle="1" w:styleId="Textpetek">
    <w:name w:val="סגנון Text petek"/>
    <w:basedOn w:val="a0"/>
    <w:rsid w:val="00FA3A5B"/>
    <w:pPr>
      <w:ind w:left="567" w:right="567" w:firstLine="567"/>
    </w:pPr>
    <w:rPr>
      <w:rFonts w:eastAsia="Times New Roman"/>
      <w:sz w:val="26"/>
      <w:szCs w:val="26"/>
    </w:rPr>
  </w:style>
  <w:style w:type="character" w:styleId="af3">
    <w:name w:val="Placeholder Text"/>
    <w:basedOn w:val="a1"/>
    <w:uiPriority w:val="99"/>
    <w:semiHidden/>
    <w:rsid w:val="00FA3A5B"/>
    <w:rPr>
      <w:color w:val="808080"/>
    </w:rPr>
  </w:style>
  <w:style w:type="character" w:customStyle="1" w:styleId="14">
    <w:name w:val="סגנון1"/>
    <w:basedOn w:val="a1"/>
    <w:rsid w:val="00FA3A5B"/>
    <w:rPr>
      <w:bCs/>
    </w:rPr>
  </w:style>
  <w:style w:type="character" w:customStyle="1" w:styleId="10">
    <w:name w:val="כותרת 1 תו"/>
    <w:basedOn w:val="a1"/>
    <w:link w:val="1"/>
    <w:uiPriority w:val="9"/>
    <w:rsid w:val="00FA3A5B"/>
    <w:rPr>
      <w:rFonts w:asciiTheme="majorHAnsi" w:eastAsiaTheme="majorEastAsia" w:hAnsiTheme="majorHAnsi" w:cs="David"/>
      <w:bCs/>
      <w:sz w:val="32"/>
      <w:szCs w:val="36"/>
    </w:rPr>
  </w:style>
  <w:style w:type="character" w:customStyle="1" w:styleId="20">
    <w:name w:val="כותרת 2 תו"/>
    <w:basedOn w:val="a1"/>
    <w:link w:val="2"/>
    <w:rsid w:val="00FA3A5B"/>
    <w:rPr>
      <w:rFonts w:asciiTheme="majorHAnsi" w:eastAsiaTheme="majorEastAsia" w:hAnsiTheme="majorHAnsi" w:cs="David"/>
      <w:bCs/>
      <w:sz w:val="26"/>
      <w:szCs w:val="36"/>
      <w:u w:val="single"/>
    </w:rPr>
  </w:style>
  <w:style w:type="character" w:customStyle="1" w:styleId="ae">
    <w:name w:val="כותרת עליונה תו"/>
    <w:basedOn w:val="a1"/>
    <w:link w:val="ad"/>
    <w:rsid w:val="00FA3A5B"/>
    <w:rPr>
      <w:rFonts w:ascii="David" w:eastAsiaTheme="minorHAnsi" w:hAnsi="David" w:cs="David"/>
      <w:sz w:val="24"/>
      <w:szCs w:val="24"/>
    </w:rPr>
  </w:style>
  <w:style w:type="paragraph" w:customStyle="1" w:styleId="af4">
    <w:name w:val="כותרת הסתייגווית"/>
    <w:basedOn w:val="2"/>
    <w:next w:val="a"/>
    <w:rsid w:val="00FA3A5B"/>
    <w:rPr>
      <w:rFonts w:eastAsia="Times New Roman"/>
      <w:b/>
    </w:rPr>
  </w:style>
  <w:style w:type="paragraph" w:customStyle="1" w:styleId="af5">
    <w:name w:val="כותרת סעיף"/>
    <w:basedOn w:val="3"/>
    <w:next w:val="af6"/>
    <w:rsid w:val="00FA3A5B"/>
  </w:style>
  <w:style w:type="paragraph" w:customStyle="1" w:styleId="af6">
    <w:name w:val="כותרת ח&quot;כים"/>
    <w:basedOn w:val="Noparagraphstyle"/>
    <w:next w:val="a"/>
    <w:rsid w:val="00FA3A5B"/>
    <w:rPr>
      <w:b/>
      <w:bCs/>
      <w:u w:val="single"/>
    </w:rPr>
  </w:style>
  <w:style w:type="paragraph" w:customStyle="1" w:styleId="a">
    <w:name w:val="טקסט הסתייגויות"/>
    <w:basedOn w:val="Noparagraphstyle"/>
    <w:rsid w:val="00FA3A5B"/>
    <w:pPr>
      <w:numPr>
        <w:numId w:val="5"/>
      </w:numPr>
      <w:ind w:left="567" w:hanging="567"/>
      <w:contextualSpacing/>
      <w:jc w:val="both"/>
    </w:pPr>
    <w:rPr>
      <w:sz w:val="26"/>
    </w:rPr>
  </w:style>
  <w:style w:type="paragraph" w:customStyle="1" w:styleId="af7">
    <w:name w:val="טקסט ללא מספור"/>
    <w:basedOn w:val="a"/>
    <w:qFormat/>
    <w:rsid w:val="00FA3A5B"/>
    <w:pPr>
      <w:numPr>
        <w:numId w:val="0"/>
      </w:numPr>
    </w:pPr>
  </w:style>
  <w:style w:type="character" w:customStyle="1" w:styleId="af8">
    <w:name w:val="טקסט הערה תו"/>
    <w:basedOn w:val="a1"/>
    <w:semiHidden/>
    <w:rsid w:val="00FA3A5B"/>
    <w:rPr>
      <w:rFonts w:ascii="Hadasa Roso SL" w:eastAsia="MS Mincho" w:hAnsi="Hadasa Roso SL" w:cs="Hadasa Roso SL"/>
      <w:color w:val="000000"/>
      <w:spacing w:val="1"/>
      <w:lang w:eastAsia="ja-JP"/>
    </w:rPr>
  </w:style>
  <w:style w:type="paragraph" w:styleId="af9">
    <w:name w:val="annotation subject"/>
    <w:basedOn w:val="a5"/>
    <w:next w:val="a5"/>
    <w:link w:val="afa"/>
    <w:semiHidden/>
    <w:unhideWhenUsed/>
    <w:rsid w:val="00FA3A5B"/>
    <w:pPr>
      <w:spacing w:line="240" w:lineRule="auto"/>
    </w:pPr>
    <w:rPr>
      <w:b/>
      <w:bCs/>
    </w:rPr>
  </w:style>
  <w:style w:type="character" w:customStyle="1" w:styleId="11">
    <w:name w:val="טקסט הערה תו1"/>
    <w:basedOn w:val="a1"/>
    <w:link w:val="a5"/>
    <w:semiHidden/>
    <w:rsid w:val="00FA3A5B"/>
    <w:rPr>
      <w:rFonts w:ascii="Hadasa Roso SL" w:eastAsia="MS Mincho" w:hAnsi="Hadasa Roso SL" w:cs="Hadasa Roso SL"/>
      <w:color w:val="000000"/>
      <w:spacing w:val="1"/>
      <w:lang w:eastAsia="ja-JP"/>
    </w:rPr>
  </w:style>
  <w:style w:type="character" w:customStyle="1" w:styleId="afa">
    <w:name w:val="נושא הערה תו"/>
    <w:basedOn w:val="11"/>
    <w:link w:val="af9"/>
    <w:semiHidden/>
    <w:rsid w:val="00FA3A5B"/>
    <w:rPr>
      <w:rFonts w:ascii="David" w:eastAsiaTheme="minorHAnsi" w:hAnsi="David" w:cs="David"/>
      <w:b/>
      <w:bCs/>
      <w:color w:val="000000"/>
      <w:spacing w:val="1"/>
      <w:lang w:eastAsia="ja-JP"/>
    </w:rPr>
  </w:style>
  <w:style w:type="character" w:styleId="FollowedHyperlink">
    <w:name w:val="FollowedHyperlink"/>
    <w:basedOn w:val="a1"/>
    <w:semiHidden/>
    <w:unhideWhenUsed/>
    <w:rsid w:val="00FA3A5B"/>
    <w:rPr>
      <w:color w:val="954F72" w:themeColor="followedHyperlink"/>
      <w:u w:val="single"/>
    </w:rPr>
  </w:style>
  <w:style w:type="character" w:customStyle="1" w:styleId="a8">
    <w:name w:val="טקסט הערת סיום תו"/>
    <w:basedOn w:val="a1"/>
    <w:link w:val="a7"/>
    <w:semiHidden/>
    <w:rsid w:val="00FA3A5B"/>
    <w:rPr>
      <w:rFonts w:ascii="David" w:eastAsiaTheme="minorHAnsi" w:hAnsi="David" w:cs="David"/>
      <w:sz w:val="14"/>
      <w:szCs w:val="22"/>
    </w:rPr>
  </w:style>
  <w:style w:type="paragraph" w:styleId="afb">
    <w:name w:val="TOC Heading"/>
    <w:basedOn w:val="1"/>
    <w:next w:val="a0"/>
    <w:uiPriority w:val="39"/>
    <w:unhideWhenUsed/>
    <w:qFormat/>
    <w:rsid w:val="00FA3A5B"/>
    <w:pPr>
      <w:widowControl/>
      <w:spacing w:before="120" w:after="120"/>
      <w:outlineLvl w:val="9"/>
    </w:pPr>
    <w:rPr>
      <w:rtl/>
      <w:cs/>
    </w:rPr>
  </w:style>
  <w:style w:type="paragraph" w:styleId="TOC1">
    <w:name w:val="toc 1"/>
    <w:basedOn w:val="a0"/>
    <w:next w:val="a0"/>
    <w:autoRedefine/>
    <w:uiPriority w:val="39"/>
    <w:unhideWhenUsed/>
    <w:rsid w:val="00FA3A5B"/>
    <w:pPr>
      <w:tabs>
        <w:tab w:val="right" w:leader="dot" w:pos="9629"/>
      </w:tabs>
      <w:spacing w:after="100"/>
    </w:pPr>
    <w:rPr>
      <w:bCs/>
      <w:szCs w:val="22"/>
    </w:rPr>
  </w:style>
  <w:style w:type="paragraph" w:styleId="TOC2">
    <w:name w:val="toc 2"/>
    <w:basedOn w:val="a0"/>
    <w:next w:val="a0"/>
    <w:uiPriority w:val="39"/>
    <w:unhideWhenUsed/>
    <w:rsid w:val="00FA3A5B"/>
    <w:pPr>
      <w:tabs>
        <w:tab w:val="right" w:leader="dot" w:pos="9628"/>
      </w:tabs>
      <w:spacing w:after="100"/>
    </w:pPr>
    <w:rPr>
      <w:szCs w:val="22"/>
    </w:rPr>
  </w:style>
  <w:style w:type="paragraph" w:styleId="TOC3">
    <w:name w:val="toc 3"/>
    <w:basedOn w:val="a0"/>
    <w:next w:val="a0"/>
    <w:uiPriority w:val="39"/>
    <w:unhideWhenUsed/>
    <w:rsid w:val="00FA3A5B"/>
    <w:pPr>
      <w:tabs>
        <w:tab w:val="right" w:leader="dot" w:pos="9629"/>
      </w:tabs>
      <w:spacing w:after="100"/>
      <w:ind w:left="567"/>
    </w:pPr>
    <w:rPr>
      <w:szCs w:val="22"/>
    </w:rPr>
  </w:style>
  <w:style w:type="paragraph" w:styleId="TOC4">
    <w:name w:val="toc 4"/>
    <w:basedOn w:val="a0"/>
    <w:next w:val="a0"/>
    <w:autoRedefine/>
    <w:unhideWhenUsed/>
    <w:qFormat/>
    <w:rsid w:val="00FA3A5B"/>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0"/>
    <w:next w:val="a0"/>
    <w:semiHidden/>
    <w:unhideWhenUsed/>
    <w:rsid w:val="00FA3A5B"/>
    <w:pPr>
      <w:tabs>
        <w:tab w:val="right" w:leader="dot" w:pos="9628"/>
      </w:tabs>
      <w:spacing w:after="100"/>
      <w:ind w:left="567"/>
    </w:pPr>
    <w:rPr>
      <w:szCs w:val="22"/>
    </w:rPr>
  </w:style>
  <w:style w:type="paragraph" w:styleId="TOC6">
    <w:name w:val="toc 6"/>
    <w:basedOn w:val="a0"/>
    <w:next w:val="a0"/>
    <w:autoRedefine/>
    <w:semiHidden/>
    <w:unhideWhenUsed/>
    <w:rsid w:val="00FA3A5B"/>
    <w:pPr>
      <w:spacing w:after="100"/>
      <w:ind w:left="850"/>
    </w:pPr>
  </w:style>
  <w:style w:type="paragraph" w:styleId="TOC7">
    <w:name w:val="toc 7"/>
    <w:basedOn w:val="a0"/>
    <w:next w:val="a0"/>
    <w:autoRedefine/>
    <w:semiHidden/>
    <w:unhideWhenUsed/>
    <w:rsid w:val="00FA3A5B"/>
    <w:pPr>
      <w:spacing w:after="100"/>
      <w:ind w:left="1020"/>
    </w:pPr>
  </w:style>
  <w:style w:type="paragraph" w:styleId="TOC8">
    <w:name w:val="toc 8"/>
    <w:basedOn w:val="a0"/>
    <w:next w:val="a0"/>
    <w:autoRedefine/>
    <w:semiHidden/>
    <w:unhideWhenUsed/>
    <w:rsid w:val="00FA3A5B"/>
    <w:pPr>
      <w:spacing w:after="100"/>
      <w:ind w:left="1190"/>
    </w:pPr>
  </w:style>
  <w:style w:type="paragraph" w:styleId="TOC9">
    <w:name w:val="toc 9"/>
    <w:basedOn w:val="a0"/>
    <w:next w:val="a0"/>
    <w:autoRedefine/>
    <w:semiHidden/>
    <w:unhideWhenUsed/>
    <w:rsid w:val="00FA3A5B"/>
    <w:pPr>
      <w:spacing w:after="100"/>
      <w:ind w:left="1360"/>
    </w:pPr>
  </w:style>
  <w:style w:type="paragraph" w:customStyle="1" w:styleId="TableHead2">
    <w:name w:val="Table Head2"/>
    <w:basedOn w:val="TableHead"/>
    <w:qFormat/>
    <w:rsid w:val="00FA3A5B"/>
    <w:pPr>
      <w:outlineLvl w:val="9"/>
    </w:pPr>
  </w:style>
  <w:style w:type="paragraph" w:customStyle="1" w:styleId="TableSideHeading2">
    <w:name w:val="Table SideHeading2"/>
    <w:basedOn w:val="TableSideHeading"/>
    <w:autoRedefine/>
    <w:qFormat/>
    <w:rsid w:val="00FA3A5B"/>
    <w:pPr>
      <w:keepLines w:val="0"/>
      <w:outlineLvl w:val="9"/>
    </w:pPr>
  </w:style>
  <w:style w:type="paragraph" w:customStyle="1" w:styleId="0">
    <w:name w:val="סגנון שורה ראשונה:  0  ס''מ"/>
    <w:basedOn w:val="2"/>
    <w:rsid w:val="00FA3A5B"/>
    <w:rPr>
      <w:rFonts w:eastAsia="Times New Roman"/>
    </w:rPr>
  </w:style>
  <w:style w:type="paragraph" w:styleId="afc">
    <w:name w:val="List Paragraph"/>
    <w:basedOn w:val="a0"/>
    <w:uiPriority w:val="34"/>
    <w:qFormat/>
    <w:rsid w:val="00FA3A5B"/>
    <w:pPr>
      <w:widowControl/>
      <w:spacing w:line="259" w:lineRule="auto"/>
    </w:pPr>
    <w:rPr>
      <w:rFonts w:asciiTheme="minorHAnsi" w:hAnsiTheme="minorHAnsi"/>
      <w:sz w:val="22"/>
    </w:rPr>
  </w:style>
  <w:style w:type="table" w:styleId="afd">
    <w:name w:val="Table Grid"/>
    <w:basedOn w:val="a2"/>
    <w:rsid w:val="00FA3A5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Plain Table 1"/>
    <w:basedOn w:val="a2"/>
    <w:uiPriority w:val="41"/>
    <w:rsid w:val="00FA3A5B"/>
    <w:rPr>
      <w:rFonts w:eastAsia="MS Minch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6">
    <w:name w:val="Grid Table 1 Light"/>
    <w:basedOn w:val="a2"/>
    <w:uiPriority w:val="46"/>
    <w:rsid w:val="00FA3A5B"/>
    <w:rPr>
      <w:rFonts w:eastAsia="MS Minch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e">
    <w:name w:val="טבלת חקיקה"/>
    <w:basedOn w:val="a2"/>
    <w:uiPriority w:val="99"/>
    <w:rsid w:val="00FA3A5B"/>
    <w:pPr>
      <w:jc w:val="center"/>
    </w:pPr>
    <w:rPr>
      <w:rFonts w:eastAsia="MS Mincho"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paragraph" w:customStyle="1" w:styleId="31">
    <w:name w:val="רמה3"/>
    <w:basedOn w:val="a0"/>
    <w:next w:val="a0"/>
    <w:rsid w:val="00FA3A5B"/>
    <w:pPr>
      <w:widowControl/>
      <w:spacing w:before="120" w:after="60"/>
      <w:ind w:left="1701"/>
    </w:pPr>
    <w:rPr>
      <w:rFonts w:ascii="Times New Roman" w:eastAsia="Times New Roman" w:hAnsi="Times New Roman"/>
      <w:sz w:val="20"/>
    </w:rPr>
  </w:style>
  <w:style w:type="paragraph" w:styleId="aff">
    <w:name w:val="Revision"/>
    <w:hidden/>
    <w:uiPriority w:val="99"/>
    <w:semiHidden/>
    <w:rsid w:val="00FA3A5B"/>
    <w:rPr>
      <w:rFonts w:ascii="David" w:eastAsiaTheme="minorHAnsi"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90E72-2A10-47B5-8633-F22511D80AB8}">
  <ds:schemaRefs>
    <ds:schemaRef ds:uri="http://schemas.microsoft.com/sharepoint/v3/contenttype/forms"/>
  </ds:schemaRefs>
</ds:datastoreItem>
</file>

<file path=customXml/itemProps2.xml><?xml version="1.0" encoding="utf-8"?>
<ds:datastoreItem xmlns:ds="http://schemas.openxmlformats.org/officeDocument/2006/customXml" ds:itemID="{B62B3E93-9A56-48AC-9E8C-4CFF2763A648}"/>
</file>

<file path=customXml/itemProps3.xml><?xml version="1.0" encoding="utf-8"?>
<ds:datastoreItem xmlns:ds="http://schemas.openxmlformats.org/officeDocument/2006/customXml" ds:itemID="{9AAD3E59-1685-4866-88AE-10917921A27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3E1657D-317C-48BB-A872-2C64BBB17B1B}">
  <ds:schemaRefs>
    <ds:schemaRef ds:uri="http://schemas.microsoft.com/office/2006/metadata/longProperties"/>
  </ds:schemaRefs>
</ds:datastoreItem>
</file>

<file path=customXml/itemProps5.xml><?xml version="1.0" encoding="utf-8"?>
<ds:datastoreItem xmlns:ds="http://schemas.openxmlformats.org/officeDocument/2006/customXml" ds:itemID="{EF002291-793E-4663-A8C9-8B58F0CF0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2503</Words>
  <Characters>12515</Characters>
  <Application>Microsoft Office Word</Application>
  <DocSecurity>0</DocSecurity>
  <Lines>104</Lines>
  <Paragraphs>29</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14989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בת אל עראקי</cp:lastModifiedBy>
  <cp:revision>14</cp:revision>
  <cp:lastPrinted>1900-12-31T21:00:00Z</cp:lastPrinted>
  <dcterms:created xsi:type="dcterms:W3CDTF">2015-06-14T12:44:00Z</dcterms:created>
  <dcterms:modified xsi:type="dcterms:W3CDTF">2023-08-03T06:15:00Z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f252ae8a-a95b-4509-be43-846f7ec23416</vt:lpwstr>
  </property>
  <property fmtid="{D5CDD505-2E9C-101B-9397-08002B2CF9AE}" pid="20" name="SanhedrinItemID">
    <vt:r8>2197153</vt:r8>
  </property>
  <property fmtid="{D5CDD505-2E9C-101B-9397-08002B2CF9AE}" pid="21" name="SanhedrinDocumentType">
    <vt:r8>42</vt:r8>
  </property>
</Properties>
</file>