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71ED8091" w:rsidR="008525E2" w:rsidRDefault="00220CAF" w:rsidP="00611536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מבקר המדינה (תיקון מס' 50), התשפ''ג</w:t>
      </w:r>
      <w:r w:rsidR="00611536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2023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tbl>
      <w:tblPr>
        <w:bidiVisual/>
        <w:tblW w:w="963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624"/>
        <w:gridCol w:w="7143"/>
      </w:tblGrid>
      <w:tr w:rsidR="00611536" w:rsidRPr="00A256DC" w14:paraId="0B0E23C2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D8E54E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  <w:r w:rsidRPr="00A256DC">
              <w:rPr>
                <w:rtl/>
              </w:rPr>
              <w:t>תיקון סעיף 45א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E1BF99" w14:textId="77777777" w:rsidR="00611536" w:rsidRPr="00A256DC" w:rsidRDefault="00611536" w:rsidP="00F54D5D">
            <w:pPr>
              <w:pStyle w:val="TableText"/>
              <w:rPr>
                <w:rtl/>
              </w:rPr>
            </w:pPr>
            <w:r w:rsidRPr="00A256DC">
              <w:rPr>
                <w:rtl/>
              </w:rPr>
              <w:t xml:space="preserve">1. 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801763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בחוק מבקר המדינה, התשי"ח–1958 [נוסח משולב]‏</w:t>
            </w:r>
            <w:r w:rsidRPr="00611536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A256DC">
              <w:rPr>
                <w:rtl/>
              </w:rPr>
              <w:t xml:space="preserve"> (להלן – החוק העיקרי), בסעיף 45א –</w:t>
            </w:r>
          </w:p>
        </w:tc>
      </w:tr>
      <w:tr w:rsidR="00611536" w:rsidRPr="00A256DC" w14:paraId="7D1C28C0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7E8771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1EDC34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FF2B525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(1)</w:t>
            </w:r>
            <w:r w:rsidRPr="00A256DC">
              <w:rPr>
                <w:rtl/>
              </w:rPr>
              <w:tab/>
              <w:t>ברישה, במקום "38(8)" יבוא "38(7) ו־(8)";</w:t>
            </w:r>
          </w:p>
        </w:tc>
      </w:tr>
      <w:tr w:rsidR="00611536" w:rsidRPr="00A256DC" w14:paraId="0DB8B48D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544590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FD69E0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D37192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(2)</w:t>
            </w:r>
            <w:r w:rsidRPr="00A256DC">
              <w:rPr>
                <w:rtl/>
              </w:rPr>
              <w:tab/>
              <w:t xml:space="preserve">בכל מקום, במקום "שוטר, סוהר וחייל" יבוא "חייל"; </w:t>
            </w:r>
          </w:p>
        </w:tc>
      </w:tr>
      <w:tr w:rsidR="00611536" w:rsidRPr="00A256DC" w14:paraId="03220E32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F335C8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62E1BE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7B16AE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(3)</w:t>
            </w:r>
            <w:r w:rsidRPr="00A256DC">
              <w:rPr>
                <w:rtl/>
              </w:rPr>
              <w:tab/>
              <w:t>בפסקה (1), במקום "שבו הוא עובד" יבוא "שבו הוא מועסק".</w:t>
            </w:r>
          </w:p>
        </w:tc>
      </w:tr>
      <w:tr w:rsidR="00611536" w:rsidRPr="00A256DC" w14:paraId="1CD477AB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8746BD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  <w:r w:rsidRPr="00A256DC">
              <w:rPr>
                <w:rtl/>
              </w:rPr>
              <w:t>תיקון סעיף 45ג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B1B1CD" w14:textId="77777777" w:rsidR="00611536" w:rsidRPr="00A256DC" w:rsidRDefault="00611536" w:rsidP="00F54D5D">
            <w:pPr>
              <w:pStyle w:val="TableText"/>
              <w:rPr>
                <w:rtl/>
              </w:rPr>
            </w:pPr>
            <w:r w:rsidRPr="00A256DC">
              <w:rPr>
                <w:rtl/>
              </w:rPr>
              <w:t>2.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FF00F4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בסעיף 45ג לחוק העיקרי –</w:t>
            </w:r>
          </w:p>
        </w:tc>
      </w:tr>
      <w:tr w:rsidR="00611536" w:rsidRPr="00A256DC" w14:paraId="440ACB0F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FFAB99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66C334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5B8BB1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(1)</w:t>
            </w:r>
            <w:r w:rsidRPr="00A256DC">
              <w:rPr>
                <w:rtl/>
              </w:rPr>
              <w:tab/>
              <w:t>בסעיף קטן (א), במקום "שבו הוא עובד" יבוא "שבו הוא מועסק";</w:t>
            </w:r>
          </w:p>
        </w:tc>
      </w:tr>
      <w:tr w:rsidR="00611536" w:rsidRPr="00A256DC" w14:paraId="731D6011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1CDC68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407972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7FC109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(2)</w:t>
            </w:r>
            <w:r w:rsidRPr="00A256DC">
              <w:rPr>
                <w:rtl/>
              </w:rPr>
              <w:tab/>
              <w:t>בסעיף קטן (ג), במקום "מעבידו" יבוא "מעסיקו".</w:t>
            </w:r>
          </w:p>
        </w:tc>
      </w:tr>
      <w:tr w:rsidR="00611536" w:rsidRPr="00A256DC" w14:paraId="0A179533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8FB584C" w14:textId="77777777" w:rsidR="00611536" w:rsidRPr="00A256DC" w:rsidRDefault="00611536" w:rsidP="00F54D5D">
            <w:pPr>
              <w:pStyle w:val="TableSideHeading"/>
              <w:rPr>
                <w:rtl/>
              </w:rPr>
            </w:pPr>
            <w:r w:rsidRPr="00A256DC">
              <w:rPr>
                <w:rtl/>
              </w:rPr>
              <w:t>תיקון סעיף 45ו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7739A4" w14:textId="77777777" w:rsidR="00611536" w:rsidRPr="00A256DC" w:rsidRDefault="00611536" w:rsidP="00F54D5D">
            <w:pPr>
              <w:pStyle w:val="TableText"/>
              <w:rPr>
                <w:rtl/>
              </w:rPr>
            </w:pPr>
            <w:r w:rsidRPr="00A256DC">
              <w:rPr>
                <w:rtl/>
              </w:rPr>
              <w:t>3.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EB4736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בסעיף 45ו לחוק העיקרי, במקום "משטרת ישראל, שירות בתי הסוהר וצבא ההגנה לישראל" יבוא "צבא הגנה לישראל".</w:t>
            </w:r>
          </w:p>
        </w:tc>
      </w:tr>
      <w:tr w:rsidR="00611536" w:rsidRPr="00A256DC" w14:paraId="1A6F67DE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C369F1" w14:textId="2E1600E2" w:rsidR="00611536" w:rsidRPr="00A256DC" w:rsidRDefault="00611536" w:rsidP="00F54D5D">
            <w:pPr>
              <w:pStyle w:val="TableSideHeading"/>
              <w:rPr>
                <w:rtl/>
              </w:rPr>
            </w:pPr>
            <w:r w:rsidRPr="00A256DC">
              <w:rPr>
                <w:rtl/>
              </w:rPr>
              <w:t>תיקון חוק המשטרה</w:t>
            </w:r>
            <w:r w:rsidR="00390F38">
              <w:rPr>
                <w:rFonts w:hint="cs"/>
                <w:rtl/>
              </w:rPr>
              <w:t xml:space="preserve"> </w:t>
            </w:r>
            <w:r w:rsidR="00390F38">
              <w:rPr>
                <w:rtl/>
              </w:rPr>
              <w:t>–</w:t>
            </w:r>
            <w:r w:rsidR="00390F38">
              <w:rPr>
                <w:rFonts w:hint="cs"/>
                <w:rtl/>
              </w:rPr>
              <w:t xml:space="preserve"> מס' 15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4C42707" w14:textId="77777777" w:rsidR="00611536" w:rsidRPr="00A256DC" w:rsidRDefault="00611536" w:rsidP="00F54D5D">
            <w:pPr>
              <w:pStyle w:val="TableText"/>
              <w:rPr>
                <w:rtl/>
              </w:rPr>
            </w:pPr>
            <w:r w:rsidRPr="00A256DC">
              <w:rPr>
                <w:rtl/>
              </w:rPr>
              <w:t>4.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1A27A3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בחוק המשטרה, התשס"ו–2006‏</w:t>
            </w:r>
            <w:r w:rsidRPr="00611536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 w:rsidRPr="00A256DC">
              <w:rPr>
                <w:rtl/>
              </w:rPr>
              <w:t>, בסעיף 90, אחרי פסקה (3) יבוא:</w:t>
            </w:r>
          </w:p>
        </w:tc>
      </w:tr>
      <w:tr w:rsidR="00611536" w:rsidRPr="00A256DC" w14:paraId="1F81A3F2" w14:textId="77777777" w:rsidTr="00611536">
        <w:trPr>
          <w:cantSplit/>
        </w:trPr>
        <w:tc>
          <w:tcPr>
            <w:tcW w:w="1872" w:type="dxa"/>
            <w:shd w:val="clear" w:color="auto" w:fill="auto"/>
          </w:tcPr>
          <w:p w14:paraId="3EF06659" w14:textId="77777777" w:rsidR="00611536" w:rsidRPr="00FE3CC4" w:rsidRDefault="00611536" w:rsidP="00F54D5D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932EBD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74CA4C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"(4)</w:t>
            </w:r>
            <w:r w:rsidRPr="00A256DC">
              <w:rPr>
                <w:rtl/>
              </w:rPr>
              <w:tab/>
              <w:t>קבילה בעניין שכבר הוגשה לגביו תלונה למבקר המדינה בתפקידו כנציב תלונות הציבור לפי סעיף 45א לחוק מבקר המדינה, התשי"ח–1958 [נוסח משולב]."</w:t>
            </w:r>
          </w:p>
        </w:tc>
      </w:tr>
      <w:tr w:rsidR="00611536" w:rsidRPr="00A256DC" w14:paraId="7DE13AB9" w14:textId="77777777" w:rsidTr="00611536">
        <w:trPr>
          <w:cantSplit/>
        </w:trPr>
        <w:tc>
          <w:tcPr>
            <w:tcW w:w="1872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7B48B0" w14:textId="0C0AC08C" w:rsidR="00611536" w:rsidRPr="00A256DC" w:rsidRDefault="00611536" w:rsidP="00F54D5D">
            <w:pPr>
              <w:pStyle w:val="TableSideHeading"/>
              <w:rPr>
                <w:rtl/>
              </w:rPr>
            </w:pPr>
            <w:r w:rsidRPr="00A256DC">
              <w:rPr>
                <w:rtl/>
              </w:rPr>
              <w:t>תיקון פקודת</w:t>
            </w:r>
            <w:r w:rsidRPr="00A256DC">
              <w:rPr>
                <w:rtl/>
              </w:rPr>
              <w:br/>
              <w:t>בתי הסוהר</w:t>
            </w:r>
            <w:r w:rsidR="00390F38">
              <w:rPr>
                <w:rFonts w:hint="cs"/>
                <w:rtl/>
              </w:rPr>
              <w:t xml:space="preserve"> </w:t>
            </w:r>
            <w:r w:rsidR="00390F38">
              <w:rPr>
                <w:rtl/>
              </w:rPr>
              <w:t>–</w:t>
            </w:r>
            <w:r w:rsidR="00390F38">
              <w:rPr>
                <w:rFonts w:hint="cs"/>
                <w:rtl/>
              </w:rPr>
              <w:t xml:space="preserve"> מס' 62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A0769B" w14:textId="77777777" w:rsidR="00611536" w:rsidRPr="00A256DC" w:rsidRDefault="00611536" w:rsidP="00F54D5D">
            <w:pPr>
              <w:pStyle w:val="TableText"/>
              <w:rPr>
                <w:rtl/>
              </w:rPr>
            </w:pPr>
            <w:r w:rsidRPr="00A256DC">
              <w:rPr>
                <w:rtl/>
              </w:rPr>
              <w:t>5.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F2FD03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בפקודת בתי הסוהר [נוסח חדש], התשל"ב–1971‏</w:t>
            </w:r>
            <w:r w:rsidRPr="00611536">
              <w:rPr>
                <w:rStyle w:val="a8"/>
                <w:rFonts w:ascii="David" w:hAnsi="David"/>
                <w:sz w:val="26"/>
                <w:rtl/>
              </w:rPr>
              <w:footnoteReference w:id="4"/>
            </w:r>
            <w:r w:rsidRPr="00A256DC">
              <w:rPr>
                <w:rtl/>
              </w:rPr>
              <w:t>, בסעיף 117, אחרי פסקה (3) יבוא:</w:t>
            </w:r>
          </w:p>
        </w:tc>
      </w:tr>
      <w:tr w:rsidR="00611536" w:rsidRPr="00A256DC" w14:paraId="0B66C367" w14:textId="77777777" w:rsidTr="00611536">
        <w:trPr>
          <w:cantSplit/>
        </w:trPr>
        <w:tc>
          <w:tcPr>
            <w:tcW w:w="1872" w:type="dxa"/>
            <w:shd w:val="clear" w:color="auto" w:fill="auto"/>
          </w:tcPr>
          <w:p w14:paraId="4496B4DB" w14:textId="77777777" w:rsidR="00611536" w:rsidRPr="00FE3CC4" w:rsidRDefault="00611536" w:rsidP="00F54D5D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4A513E4" w14:textId="77777777" w:rsidR="00611536" w:rsidRPr="00A256DC" w:rsidRDefault="00611536" w:rsidP="00F54D5D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BF905F8" w14:textId="77777777" w:rsidR="00611536" w:rsidRPr="00A256DC" w:rsidRDefault="00611536" w:rsidP="00611536">
            <w:pPr>
              <w:pStyle w:val="TableBlock"/>
              <w:rPr>
                <w:rtl/>
              </w:rPr>
            </w:pPr>
            <w:r w:rsidRPr="00A256DC">
              <w:rPr>
                <w:rtl/>
              </w:rPr>
              <w:t>"(4)</w:t>
            </w:r>
            <w:r w:rsidRPr="00A256DC">
              <w:rPr>
                <w:rtl/>
              </w:rPr>
              <w:tab/>
              <w:t>קבילה בעניין שכבר הוגשה לגביו תלונה למבקר המדינה בתפקידו כנציב תלונות הציבור לפי סעיף 45א לחוק מבקר המדינה, התשי"ח–1958 [נוסח משולב]."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F26B7F" w:rsidRPr="00D466D4" w14:paraId="11F1CEB9" w14:textId="77777777" w:rsidTr="00F26B7F">
        <w:tc>
          <w:tcPr>
            <w:tcW w:w="2409" w:type="dxa"/>
            <w:shd w:val="clear" w:color="auto" w:fill="auto"/>
          </w:tcPr>
          <w:p w14:paraId="11F1CEB3" w14:textId="77777777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40991719" w14:textId="77777777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6" w14:textId="4C17E708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8" w14:textId="3DEB55F6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0" w14:textId="77777777" w:rsidTr="00F26B7F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F26B7F" w:rsidRPr="00D466D4" w14:paraId="11F1CEC7" w14:textId="77777777" w:rsidTr="00D5789E">
        <w:tc>
          <w:tcPr>
            <w:tcW w:w="4819" w:type="dxa"/>
            <w:gridSpan w:val="2"/>
            <w:shd w:val="clear" w:color="auto" w:fill="auto"/>
          </w:tcPr>
          <w:p w14:paraId="09C36A96" w14:textId="77777777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3" w14:textId="28DCA495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85D22A7" w14:textId="77777777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8"/>
          </w:p>
          <w:p w14:paraId="11F1CEC6" w14:textId="28075F9A" w:rsidR="00F26B7F" w:rsidRPr="00D466D4" w:rsidRDefault="00F26B7F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611536">
      <w:headerReference w:type="even" r:id="rId12"/>
      <w:headerReference w:type="default" r:id="rId13"/>
      <w:footerReference w:type="even" r:id="rId14"/>
      <w:pgSz w:w="11906" w:h="16838"/>
      <w:pgMar w:top="1701" w:right="1134" w:bottom="1985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FC31D" w14:textId="77777777" w:rsidR="00DD65EA" w:rsidRDefault="00DD65EA" w:rsidP="00611536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69C8930F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כ"ג בתמוז התשפ"ג (12 ביולי 2023)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הכנסת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959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ט' בסיוון התשפ"ג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29 במאי 2023</w:t>
      </w:r>
      <w:bookmarkEnd w:id="5"/>
      <w:r w:rsidRPr="00827E61">
        <w:rPr>
          <w:rFonts w:hint="cs"/>
          <w:rtl/>
        </w:rPr>
        <w:t>), עמ'</w:t>
      </w:r>
      <w:r w:rsidR="00FA575F">
        <w:rPr>
          <w:rFonts w:hint="cs"/>
          <w:rtl/>
        </w:rPr>
        <w:t xml:space="preserve"> 82.</w:t>
      </w:r>
      <w:bookmarkStart w:id="6" w:name="_GoBack"/>
      <w:bookmarkEnd w:id="6"/>
    </w:p>
  </w:footnote>
  <w:footnote w:id="2">
    <w:p w14:paraId="006304C3" w14:textId="77777777" w:rsidR="00611536" w:rsidRDefault="00611536" w:rsidP="00611536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"ח התשי"ח, עמ' 92; התשע"ז, עמ' 598.</w:t>
      </w:r>
    </w:p>
  </w:footnote>
  <w:footnote w:id="3">
    <w:p w14:paraId="71BA651C" w14:textId="77777777" w:rsidR="00611536" w:rsidRDefault="00611536" w:rsidP="00611536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"ח התשס"ו, עמ' 130; התשפ"ג, עמ' 24.</w:t>
      </w:r>
    </w:p>
  </w:footnote>
  <w:footnote w:id="4">
    <w:p w14:paraId="16C5CCD3" w14:textId="77777777" w:rsidR="00611536" w:rsidRDefault="00611536" w:rsidP="00611536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דיני</w:t>
      </w:r>
      <w:r>
        <w:rPr>
          <w:rtl/>
        </w:rPr>
        <w:t xml:space="preserve"> מדינת ישראל, נוסח חדש 21, עמ' 459; ס"ח התשפ"ג, עמ' 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FA575F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0F38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11536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26B7F"/>
    <w:rsid w:val="00F93ADC"/>
    <w:rsid w:val="00FA575F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3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153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61153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61153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61153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1153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61153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611536"/>
    <w:rPr>
      <w:sz w:val="36"/>
      <w:szCs w:val="52"/>
    </w:rPr>
  </w:style>
  <w:style w:type="paragraph" w:customStyle="1" w:styleId="Cover3-Haknesset">
    <w:name w:val="Cover 3-Haknesset"/>
    <w:basedOn w:val="Cover1-Reshumot"/>
    <w:rsid w:val="00611536"/>
    <w:rPr>
      <w:b/>
      <w:bCs/>
      <w:spacing w:val="60"/>
    </w:rPr>
  </w:style>
  <w:style w:type="paragraph" w:customStyle="1" w:styleId="Cover4-Date">
    <w:name w:val="Cover 4-Date"/>
    <w:basedOn w:val="a"/>
    <w:rsid w:val="0061153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611536"/>
    <w:rPr>
      <w:vertAlign w:val="superscript"/>
    </w:rPr>
  </w:style>
  <w:style w:type="paragraph" w:customStyle="1" w:styleId="Ragil">
    <w:name w:val="Ragil"/>
    <w:basedOn w:val="a"/>
    <w:rsid w:val="0061153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611536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611536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611536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61153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61153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61153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611536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61153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611536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61153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611536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61153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611536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611536"/>
    <w:rPr>
      <w:color w:val="0563C1" w:themeColor="hyperlink"/>
      <w:u w:val="single"/>
    </w:rPr>
  </w:style>
  <w:style w:type="character" w:styleId="ac">
    <w:name w:val="page number"/>
    <w:basedOn w:val="a0"/>
    <w:rsid w:val="00611536"/>
  </w:style>
  <w:style w:type="paragraph" w:customStyle="1" w:styleId="TableText">
    <w:name w:val="Table Text"/>
    <w:basedOn w:val="a"/>
    <w:rsid w:val="0061153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611536"/>
    <w:pPr>
      <w:jc w:val="both"/>
    </w:pPr>
  </w:style>
  <w:style w:type="paragraph" w:customStyle="1" w:styleId="TableBlockOutdent">
    <w:name w:val="Table BlockOutdent"/>
    <w:basedOn w:val="TableBlock"/>
    <w:rsid w:val="00611536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611536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611536"/>
    <w:pPr>
      <w:outlineLvl w:val="2"/>
    </w:pPr>
  </w:style>
  <w:style w:type="paragraph" w:customStyle="1" w:styleId="TableInnerSideHeading">
    <w:name w:val="Table InnerSideHeading"/>
    <w:basedOn w:val="TableSideHeading"/>
    <w:rsid w:val="00611536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61153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61153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611536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611536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61153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61153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611536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611536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61153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61153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61153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61153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61153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611536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611536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61153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61153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611536"/>
    <w:rPr>
      <w:rFonts w:eastAsia="Times New Roman"/>
    </w:rPr>
  </w:style>
  <w:style w:type="paragraph" w:styleId="af1">
    <w:name w:val="List Paragraph"/>
    <w:basedOn w:val="a"/>
    <w:uiPriority w:val="34"/>
    <w:qFormat/>
    <w:rsid w:val="00611536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6115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611536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611536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611536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611536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F3511F-F545-4FB2-BBBC-329A91EB9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2023-07-16T13:07:00Z</cp:lastPrinted>
  <dcterms:created xsi:type="dcterms:W3CDTF">2015-06-14T12:44:00Z</dcterms:created>
  <dcterms:modified xsi:type="dcterms:W3CDTF">2023-07-16T13:09:00Z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2196934</vt:r8>
  </property>
  <property fmtid="{D5CDD505-2E9C-101B-9397-08002B2CF9AE}" pid="21" name="SanhedrinDocumentType">
    <vt:r8>42</vt:r8>
  </property>
</Properties>
</file>