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256D23AB" w:rsidR="008525E2" w:rsidRDefault="00220CAF" w:rsidP="002A3EED">
      <w:pPr>
        <w:jc w:val="center"/>
        <w:rPr>
          <w:rStyle w:val="a8"/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העונשין (תיקון מס' 133 – הוראת שעה) (תיקון מס' 2), התשפ"ג</w:t>
      </w:r>
      <w:r w:rsidR="002A3EED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2023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594F01CE" w14:textId="77777777" w:rsidR="00335522" w:rsidRDefault="00335522" w:rsidP="002A3EED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746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767"/>
        <w:gridCol w:w="106"/>
        <w:gridCol w:w="518"/>
        <w:gridCol w:w="106"/>
        <w:gridCol w:w="516"/>
        <w:gridCol w:w="622"/>
        <w:gridCol w:w="622"/>
        <w:gridCol w:w="622"/>
        <w:gridCol w:w="4650"/>
        <w:gridCol w:w="9"/>
        <w:gridCol w:w="102"/>
      </w:tblGrid>
      <w:tr w:rsidR="00335522" w14:paraId="24D54535" w14:textId="77777777" w:rsidTr="00335522">
        <w:trPr>
          <w:gridAfter w:val="2"/>
          <w:wAfter w:w="111" w:type="dxa"/>
          <w:cantSplit/>
        </w:trPr>
        <w:tc>
          <w:tcPr>
            <w:tcW w:w="1873" w:type="dxa"/>
            <w:gridSpan w:val="2"/>
          </w:tcPr>
          <w:p w14:paraId="4DB94007" w14:textId="77777777" w:rsidR="002A3EED" w:rsidRPr="002A3EED" w:rsidRDefault="002A3EED" w:rsidP="002A3EED">
            <w:pPr>
              <w:pStyle w:val="TableSideHeading"/>
            </w:pPr>
            <w:r w:rsidRPr="002A3EED">
              <w:rPr>
                <w:rtl/>
              </w:rPr>
              <w:t>תיקון סעיף 1</w:t>
            </w:r>
          </w:p>
        </w:tc>
        <w:tc>
          <w:tcPr>
            <w:tcW w:w="624" w:type="dxa"/>
            <w:gridSpan w:val="2"/>
          </w:tcPr>
          <w:p w14:paraId="56DA1A78" w14:textId="77777777" w:rsidR="002A3EED" w:rsidRPr="002A3EED" w:rsidRDefault="002A3EED" w:rsidP="002A3EED">
            <w:pPr>
              <w:pStyle w:val="TableText"/>
              <w:rPr>
                <w:rtl/>
              </w:rPr>
            </w:pPr>
            <w:r w:rsidRPr="002A3EED">
              <w:rPr>
                <w:rtl/>
              </w:rPr>
              <w:t>1.</w:t>
            </w:r>
            <w:r w:rsidRPr="002A3EED">
              <w:rPr>
                <w:rtl/>
              </w:rPr>
              <w:tab/>
            </w:r>
          </w:p>
        </w:tc>
        <w:tc>
          <w:tcPr>
            <w:tcW w:w="7138" w:type="dxa"/>
            <w:gridSpan w:val="6"/>
          </w:tcPr>
          <w:p w14:paraId="083643D7" w14:textId="77777777" w:rsidR="002A3EED" w:rsidRPr="002A3EED" w:rsidRDefault="002A3EED" w:rsidP="00335522">
            <w:pPr>
              <w:pStyle w:val="TableBlock"/>
              <w:rPr>
                <w:rtl/>
              </w:rPr>
            </w:pPr>
            <w:r w:rsidRPr="002A3EED">
              <w:rPr>
                <w:rtl/>
              </w:rPr>
              <w:t>בחוק העונשין (תיקון מס' 133 – הוראת שעה), התשע"ח–2018‏</w:t>
            </w:r>
            <w:r w:rsidRPr="00335522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2A3EED">
              <w:rPr>
                <w:rtl/>
              </w:rPr>
              <w:t xml:space="preserve"> (להלן – החוק העיקרי), בסעיף 1</w:t>
            </w:r>
            <w:r w:rsidRPr="002A3EED">
              <w:rPr>
                <w:rFonts w:hint="cs"/>
                <w:rtl/>
              </w:rPr>
              <w:t xml:space="preserve"> </w:t>
            </w:r>
            <w:r w:rsidRPr="002A3EED">
              <w:rPr>
                <w:rFonts w:hint="eastAsia"/>
                <w:rtl/>
              </w:rPr>
              <w:t>–</w:t>
            </w:r>
          </w:p>
        </w:tc>
      </w:tr>
      <w:tr w:rsidR="00335522" w14:paraId="7D570F41" w14:textId="77777777" w:rsidTr="00335522">
        <w:trPr>
          <w:gridAfter w:val="2"/>
          <w:wAfter w:w="111" w:type="dxa"/>
          <w:cantSplit/>
        </w:trPr>
        <w:tc>
          <w:tcPr>
            <w:tcW w:w="1873" w:type="dxa"/>
            <w:gridSpan w:val="2"/>
          </w:tcPr>
          <w:p w14:paraId="24CCBB47" w14:textId="77777777" w:rsidR="002A3EED" w:rsidRPr="002A3EED" w:rsidRDefault="002A3EED" w:rsidP="002A3EE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gridSpan w:val="2"/>
          </w:tcPr>
          <w:p w14:paraId="5D394F09" w14:textId="77777777" w:rsidR="002A3EED" w:rsidRDefault="002A3EED" w:rsidP="002A3EED">
            <w:pPr>
              <w:pStyle w:val="TableText"/>
              <w:rPr>
                <w:rtl/>
              </w:rPr>
            </w:pPr>
          </w:p>
        </w:tc>
        <w:tc>
          <w:tcPr>
            <w:tcW w:w="7138" w:type="dxa"/>
            <w:gridSpan w:val="6"/>
          </w:tcPr>
          <w:p w14:paraId="7A99E79B" w14:textId="77777777" w:rsidR="002A3EED" w:rsidRPr="002A3EED" w:rsidRDefault="002A3EED" w:rsidP="00335522">
            <w:pPr>
              <w:pStyle w:val="TableBlock"/>
              <w:rPr>
                <w:rtl/>
              </w:rPr>
            </w:pPr>
            <w:r w:rsidRPr="002A3EED">
              <w:rPr>
                <w:rFonts w:hint="cs"/>
                <w:rtl/>
              </w:rPr>
              <w:t>(1)</w:t>
            </w:r>
            <w:r w:rsidRPr="002A3EED">
              <w:rPr>
                <w:rtl/>
              </w:rPr>
              <w:tab/>
            </w:r>
            <w:r w:rsidRPr="002A3EED">
              <w:rPr>
                <w:rFonts w:hint="cs"/>
                <w:rtl/>
              </w:rPr>
              <w:t>ב</w:t>
            </w:r>
            <w:r w:rsidRPr="002A3EED">
              <w:rPr>
                <w:rtl/>
              </w:rPr>
              <w:t>רישה</w:t>
            </w:r>
            <w:r w:rsidRPr="002A3EED">
              <w:rPr>
                <w:rFonts w:hint="cs"/>
                <w:rtl/>
              </w:rPr>
              <w:t>, אחרי "מיום תחילתו של חוק זה</w:t>
            </w:r>
            <w:r w:rsidRPr="002A3EED">
              <w:rPr>
                <w:rtl/>
              </w:rPr>
              <w:t>"</w:t>
            </w:r>
            <w:r w:rsidRPr="002A3EED">
              <w:rPr>
                <w:rFonts w:hint="cs"/>
                <w:rtl/>
              </w:rPr>
              <w:t xml:space="preserve"> יבוא "ו</w:t>
            </w:r>
            <w:r w:rsidRPr="002A3EED">
              <w:rPr>
                <w:rtl/>
              </w:rPr>
              <w:t>בתקופה ש</w:t>
            </w:r>
            <w:r w:rsidRPr="002A3EED">
              <w:rPr>
                <w:rFonts w:hint="cs"/>
                <w:rtl/>
              </w:rPr>
              <w:t xml:space="preserve">ל שנתיים </w:t>
            </w:r>
            <w:r w:rsidRPr="002A3EED">
              <w:rPr>
                <w:rtl/>
              </w:rPr>
              <w:t>מיום תחילתו של חוק העונשין (תיקון מס' 133 – הוראת שעה) (תיקון מס' 2), התשפ"ג–2023</w:t>
            </w:r>
            <w:r w:rsidRPr="00335522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 w:rsidRPr="002A3EED">
              <w:rPr>
                <w:rFonts w:hint="cs"/>
                <w:rtl/>
              </w:rPr>
              <w:t>";</w:t>
            </w:r>
          </w:p>
        </w:tc>
      </w:tr>
      <w:tr w:rsidR="00335522" w14:paraId="02B6D15B" w14:textId="77777777" w:rsidTr="00335522">
        <w:trPr>
          <w:gridAfter w:val="2"/>
          <w:wAfter w:w="111" w:type="dxa"/>
          <w:cantSplit/>
        </w:trPr>
        <w:tc>
          <w:tcPr>
            <w:tcW w:w="1873" w:type="dxa"/>
            <w:gridSpan w:val="2"/>
          </w:tcPr>
          <w:p w14:paraId="0FF12AD3" w14:textId="77777777" w:rsidR="002A3EED" w:rsidRPr="002A3EED" w:rsidRDefault="002A3EED" w:rsidP="002A3EE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gridSpan w:val="2"/>
          </w:tcPr>
          <w:p w14:paraId="32049E05" w14:textId="77777777" w:rsidR="002A3EED" w:rsidRDefault="002A3EED" w:rsidP="002A3EED">
            <w:pPr>
              <w:pStyle w:val="TableText"/>
              <w:rPr>
                <w:rtl/>
              </w:rPr>
            </w:pPr>
          </w:p>
        </w:tc>
        <w:tc>
          <w:tcPr>
            <w:tcW w:w="7138" w:type="dxa"/>
            <w:gridSpan w:val="6"/>
          </w:tcPr>
          <w:p w14:paraId="762EF696" w14:textId="77777777" w:rsidR="002A3EED" w:rsidRPr="002A3EED" w:rsidRDefault="002A3EED" w:rsidP="00335522">
            <w:pPr>
              <w:pStyle w:val="TableBlock"/>
              <w:rPr>
                <w:rtl/>
              </w:rPr>
            </w:pPr>
            <w:r w:rsidRPr="002A3EED">
              <w:rPr>
                <w:rFonts w:hint="cs"/>
                <w:rtl/>
              </w:rPr>
              <w:t>(2)</w:t>
            </w:r>
            <w:r w:rsidRPr="002A3EED">
              <w:rPr>
                <w:rtl/>
              </w:rPr>
              <w:tab/>
            </w:r>
            <w:r w:rsidRPr="002A3EED">
              <w:rPr>
                <w:rFonts w:hint="cs"/>
                <w:rtl/>
              </w:rPr>
              <w:t>בפסקה (3), בסעיף 51י1 לחוק העונשין, התשל"ז</w:t>
            </w:r>
            <w:r w:rsidRPr="002A3EED">
              <w:rPr>
                <w:rFonts w:hint="eastAsia"/>
                <w:rtl/>
              </w:rPr>
              <w:t>–</w:t>
            </w:r>
            <w:r w:rsidRPr="002A3EED">
              <w:rPr>
                <w:rFonts w:hint="cs"/>
                <w:rtl/>
              </w:rPr>
              <w:t>1977</w:t>
            </w:r>
            <w:r w:rsidRPr="00335522">
              <w:rPr>
                <w:rStyle w:val="a8"/>
                <w:rFonts w:ascii="David" w:hAnsi="David"/>
                <w:sz w:val="26"/>
                <w:rtl/>
              </w:rPr>
              <w:footnoteReference w:id="4"/>
            </w:r>
            <w:r w:rsidRPr="002A3EED">
              <w:rPr>
                <w:rFonts w:hint="cs"/>
                <w:rtl/>
              </w:rPr>
              <w:t xml:space="preserve"> (להלן </w:t>
            </w:r>
            <w:r w:rsidRPr="002A3EED">
              <w:rPr>
                <w:rtl/>
              </w:rPr>
              <w:t>–</w:t>
            </w:r>
            <w:r w:rsidRPr="002A3EED">
              <w:rPr>
                <w:rFonts w:hint="cs"/>
                <w:rtl/>
              </w:rPr>
              <w:t xml:space="preserve"> חוק העונשין), המובא בה, אחרי סעיף קטן (ג) יבוא:</w:t>
            </w:r>
          </w:p>
        </w:tc>
      </w:tr>
      <w:tr w:rsidR="00335522" w14:paraId="30AD80C4" w14:textId="77777777" w:rsidTr="00335522">
        <w:tblPrEx>
          <w:tblLook w:val="01E0" w:firstRow="1" w:lastRow="1" w:firstColumn="1" w:lastColumn="1" w:noHBand="0" w:noVBand="0"/>
        </w:tblPrEx>
        <w:trPr>
          <w:gridAfter w:val="2"/>
          <w:wAfter w:w="111" w:type="dxa"/>
          <w:cantSplit/>
        </w:trPr>
        <w:tc>
          <w:tcPr>
            <w:tcW w:w="1873" w:type="dxa"/>
            <w:gridSpan w:val="2"/>
          </w:tcPr>
          <w:p w14:paraId="3A8A4316" w14:textId="77777777" w:rsidR="002A3EED" w:rsidRDefault="002A3EED" w:rsidP="0030430B">
            <w:pPr>
              <w:pStyle w:val="TableSideHeading"/>
            </w:pPr>
          </w:p>
        </w:tc>
        <w:tc>
          <w:tcPr>
            <w:tcW w:w="624" w:type="dxa"/>
            <w:gridSpan w:val="2"/>
          </w:tcPr>
          <w:p w14:paraId="653C7138" w14:textId="77777777" w:rsidR="002A3EED" w:rsidRDefault="002A3EED" w:rsidP="0030430B">
            <w:pPr>
              <w:pStyle w:val="TableText"/>
            </w:pPr>
          </w:p>
        </w:tc>
        <w:tc>
          <w:tcPr>
            <w:tcW w:w="622" w:type="dxa"/>
            <w:gridSpan w:val="2"/>
          </w:tcPr>
          <w:p w14:paraId="5AD05419" w14:textId="77777777" w:rsidR="002A3EED" w:rsidRDefault="002A3EED" w:rsidP="0030430B">
            <w:pPr>
              <w:pStyle w:val="TableText"/>
            </w:pPr>
          </w:p>
        </w:tc>
        <w:tc>
          <w:tcPr>
            <w:tcW w:w="6516" w:type="dxa"/>
            <w:gridSpan w:val="4"/>
          </w:tcPr>
          <w:p w14:paraId="05372C5C" w14:textId="1D6892FE" w:rsidR="002A3EED" w:rsidRDefault="003E1B75" w:rsidP="00335522">
            <w:pPr>
              <w:pStyle w:val="TableBlock"/>
            </w:pPr>
            <w:r>
              <w:rPr>
                <w:rFonts w:hint="cs"/>
                <w:rtl/>
              </w:rPr>
              <w:t>"</w:t>
            </w:r>
            <w:bookmarkStart w:id="7" w:name="_GoBack"/>
            <w:bookmarkEnd w:id="7"/>
            <w:r w:rsidR="002A3EED">
              <w:rPr>
                <w:rtl/>
              </w:rPr>
              <w:t xml:space="preserve">(ד) </w:t>
            </w:r>
            <w:r w:rsidR="002A3EED">
              <w:rPr>
                <w:rtl/>
              </w:rPr>
              <w:tab/>
              <w:t xml:space="preserve">הוראות סעיף זה יחולו לעניין תקופת עבודת שירות </w:t>
            </w:r>
            <w:r w:rsidR="002A3EED">
              <w:rPr>
                <w:rFonts w:hint="cs"/>
                <w:rtl/>
              </w:rPr>
              <w:t xml:space="preserve">של עובד שירות הנושא עונש מאסר בעבודת שירות לתקופה </w:t>
            </w:r>
            <w:r w:rsidR="002A3EED">
              <w:rPr>
                <w:rtl/>
              </w:rPr>
              <w:t>העולה על שלושה חודשים ואינה עולה על שישה חודשים</w:t>
            </w:r>
            <w:r w:rsidR="002A3EED">
              <w:rPr>
                <w:rFonts w:hint="cs"/>
                <w:rtl/>
              </w:rPr>
              <w:t>,</w:t>
            </w:r>
            <w:r w:rsidR="002A3EED">
              <w:rPr>
                <w:rtl/>
              </w:rPr>
              <w:t xml:space="preserve"> בשינויים אלה:</w:t>
            </w:r>
          </w:p>
        </w:tc>
      </w:tr>
      <w:tr w:rsidR="00335522" w14:paraId="71FF86EC" w14:textId="77777777" w:rsidTr="00335522">
        <w:tblPrEx>
          <w:tblLook w:val="01E0" w:firstRow="1" w:lastRow="1" w:firstColumn="1" w:lastColumn="1" w:noHBand="0" w:noVBand="0"/>
        </w:tblPrEx>
        <w:trPr>
          <w:gridAfter w:val="2"/>
          <w:wAfter w:w="111" w:type="dxa"/>
          <w:cantSplit/>
        </w:trPr>
        <w:tc>
          <w:tcPr>
            <w:tcW w:w="1873" w:type="dxa"/>
            <w:gridSpan w:val="2"/>
          </w:tcPr>
          <w:p w14:paraId="0B31B3A7" w14:textId="77777777" w:rsidR="002A3EED" w:rsidRDefault="002A3EED" w:rsidP="0030430B">
            <w:pPr>
              <w:pStyle w:val="TableSideHeading"/>
            </w:pPr>
          </w:p>
        </w:tc>
        <w:tc>
          <w:tcPr>
            <w:tcW w:w="624" w:type="dxa"/>
            <w:gridSpan w:val="2"/>
          </w:tcPr>
          <w:p w14:paraId="0CC5B5FC" w14:textId="77777777" w:rsidR="002A3EED" w:rsidRDefault="002A3EED" w:rsidP="0030430B">
            <w:pPr>
              <w:pStyle w:val="TableText"/>
            </w:pPr>
          </w:p>
        </w:tc>
        <w:tc>
          <w:tcPr>
            <w:tcW w:w="622" w:type="dxa"/>
            <w:gridSpan w:val="2"/>
          </w:tcPr>
          <w:p w14:paraId="17E32D63" w14:textId="77777777" w:rsidR="002A3EED" w:rsidRDefault="002A3EED" w:rsidP="0030430B">
            <w:pPr>
              <w:pStyle w:val="TableText"/>
            </w:pPr>
          </w:p>
        </w:tc>
        <w:tc>
          <w:tcPr>
            <w:tcW w:w="622" w:type="dxa"/>
          </w:tcPr>
          <w:p w14:paraId="0150E238" w14:textId="77777777" w:rsidR="002A3EED" w:rsidRDefault="002A3EED" w:rsidP="0030430B">
            <w:pPr>
              <w:pStyle w:val="TableText"/>
            </w:pPr>
          </w:p>
        </w:tc>
        <w:tc>
          <w:tcPr>
            <w:tcW w:w="5894" w:type="dxa"/>
            <w:gridSpan w:val="3"/>
          </w:tcPr>
          <w:p w14:paraId="17033B1D" w14:textId="77777777" w:rsidR="002A3EED" w:rsidRDefault="002A3EED" w:rsidP="00335522">
            <w:pPr>
              <w:pStyle w:val="TableBlock"/>
            </w:pPr>
            <w:r>
              <w:rPr>
                <w:rtl/>
              </w:rPr>
              <w:t>(1)</w:t>
            </w:r>
            <w:r>
              <w:rPr>
                <w:rtl/>
              </w:rPr>
              <w:tab/>
              <w:t>בסעיף קטן (א), הוראת פסקה (2) – לא תחול;</w:t>
            </w:r>
          </w:p>
        </w:tc>
      </w:tr>
      <w:tr w:rsidR="002A3EED" w14:paraId="16B9857F" w14:textId="77777777" w:rsidTr="00335522">
        <w:tblPrEx>
          <w:tblLook w:val="01E0" w:firstRow="1" w:lastRow="1" w:firstColumn="1" w:lastColumn="1" w:noHBand="0" w:noVBand="0"/>
        </w:tblPrEx>
        <w:trPr>
          <w:gridAfter w:val="1"/>
          <w:wAfter w:w="102" w:type="dxa"/>
          <w:cantSplit/>
        </w:trPr>
        <w:tc>
          <w:tcPr>
            <w:tcW w:w="1873" w:type="dxa"/>
            <w:gridSpan w:val="2"/>
          </w:tcPr>
          <w:p w14:paraId="72E80AB3" w14:textId="77777777" w:rsidR="002A3EED" w:rsidRDefault="002A3EED" w:rsidP="0030430B">
            <w:pPr>
              <w:pStyle w:val="TableSideHeading"/>
            </w:pPr>
          </w:p>
        </w:tc>
        <w:tc>
          <w:tcPr>
            <w:tcW w:w="624" w:type="dxa"/>
            <w:gridSpan w:val="2"/>
          </w:tcPr>
          <w:p w14:paraId="4AEF5A1B" w14:textId="77777777" w:rsidR="002A3EED" w:rsidRDefault="002A3EED" w:rsidP="0030430B">
            <w:pPr>
              <w:pStyle w:val="TableText"/>
            </w:pPr>
          </w:p>
        </w:tc>
        <w:tc>
          <w:tcPr>
            <w:tcW w:w="622" w:type="dxa"/>
            <w:gridSpan w:val="2"/>
          </w:tcPr>
          <w:p w14:paraId="5B6098FF" w14:textId="77777777" w:rsidR="002A3EED" w:rsidRDefault="002A3EED" w:rsidP="0030430B">
            <w:pPr>
              <w:pStyle w:val="TableText"/>
            </w:pPr>
          </w:p>
        </w:tc>
        <w:tc>
          <w:tcPr>
            <w:tcW w:w="622" w:type="dxa"/>
          </w:tcPr>
          <w:p w14:paraId="23DA4AA7" w14:textId="77777777" w:rsidR="002A3EED" w:rsidRDefault="002A3EED" w:rsidP="0030430B">
            <w:pPr>
              <w:pStyle w:val="TableText"/>
            </w:pPr>
          </w:p>
        </w:tc>
        <w:tc>
          <w:tcPr>
            <w:tcW w:w="5903" w:type="dxa"/>
            <w:gridSpan w:val="4"/>
          </w:tcPr>
          <w:p w14:paraId="086E9E3F" w14:textId="77777777" w:rsidR="002A3EED" w:rsidRDefault="002A3EED" w:rsidP="00335522">
            <w:pPr>
              <w:pStyle w:val="TableBlock"/>
            </w:pPr>
            <w:r>
              <w:rPr>
                <w:rtl/>
              </w:rPr>
              <w:t xml:space="preserve">(2) </w:t>
            </w:r>
            <w:r>
              <w:rPr>
                <w:rtl/>
              </w:rPr>
              <w:tab/>
              <w:t>ב</w:t>
            </w:r>
            <w:r>
              <w:rPr>
                <w:rFonts w:hint="cs"/>
                <w:rtl/>
              </w:rPr>
              <w:t xml:space="preserve">מקום </w:t>
            </w:r>
            <w:r>
              <w:rPr>
                <w:rtl/>
              </w:rPr>
              <w:t>סעיף קטן (ג)</w:t>
            </w:r>
            <w:r>
              <w:rPr>
                <w:rFonts w:hint="cs"/>
                <w:rtl/>
              </w:rPr>
              <w:t xml:space="preserve"> יקראו: </w:t>
            </w:r>
          </w:p>
        </w:tc>
      </w:tr>
      <w:tr w:rsidR="002A3EED" w:rsidRPr="00EC018E" w14:paraId="7D605208" w14:textId="77777777" w:rsidTr="00335522">
        <w:tblPrEx>
          <w:tblLook w:val="01E0" w:firstRow="1" w:lastRow="1" w:firstColumn="1" w:lastColumn="1" w:noHBand="0" w:noVBand="0"/>
        </w:tblPrEx>
        <w:trPr>
          <w:gridAfter w:val="1"/>
          <w:wAfter w:w="102" w:type="dxa"/>
          <w:cantSplit/>
        </w:trPr>
        <w:tc>
          <w:tcPr>
            <w:tcW w:w="1873" w:type="dxa"/>
            <w:gridSpan w:val="2"/>
          </w:tcPr>
          <w:p w14:paraId="66430BDC" w14:textId="77777777" w:rsidR="002A3EED" w:rsidRPr="0098746C" w:rsidRDefault="002A3EED" w:rsidP="0030430B">
            <w:pPr>
              <w:pStyle w:val="TableSideHeading"/>
              <w:rPr>
                <w:strike/>
              </w:rPr>
            </w:pPr>
          </w:p>
        </w:tc>
        <w:tc>
          <w:tcPr>
            <w:tcW w:w="624" w:type="dxa"/>
            <w:gridSpan w:val="2"/>
          </w:tcPr>
          <w:p w14:paraId="352AF600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  <w:gridSpan w:val="2"/>
          </w:tcPr>
          <w:p w14:paraId="4C2C3A3C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</w:tcPr>
          <w:p w14:paraId="57C300A3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</w:tcPr>
          <w:p w14:paraId="6EFC5C2E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5281" w:type="dxa"/>
            <w:gridSpan w:val="3"/>
          </w:tcPr>
          <w:p w14:paraId="62695149" w14:textId="77777777" w:rsidR="002A3EED" w:rsidRPr="0098746C" w:rsidRDefault="002A3EED" w:rsidP="0033552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9A7092">
              <w:rPr>
                <w:rtl/>
              </w:rPr>
              <w:t>(ג)</w:t>
            </w:r>
            <w:r w:rsidRPr="009A7092">
              <w:rPr>
                <w:rtl/>
              </w:rPr>
              <w:tab/>
            </w:r>
            <w:r w:rsidRPr="009A7092">
              <w:rPr>
                <w:rFonts w:hint="eastAsia"/>
                <w:rtl/>
              </w:rPr>
              <w:t>קיצור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תקופת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עבודת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השירות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לפי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סעיף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זה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יהיה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לתקופות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כמפורט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להלן</w:t>
            </w:r>
            <w:r w:rsidRPr="0098746C">
              <w:rPr>
                <w:rtl/>
              </w:rPr>
              <w:t xml:space="preserve">, </w:t>
            </w:r>
            <w:r w:rsidRPr="0098746C">
              <w:rPr>
                <w:rFonts w:hint="eastAsia"/>
                <w:rtl/>
              </w:rPr>
              <w:t>ובלבד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שתקופת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עבודת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השירות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לא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תפחת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משלושה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חודשים</w:t>
            </w:r>
            <w:r w:rsidRPr="0098746C">
              <w:rPr>
                <w:rtl/>
              </w:rPr>
              <w:t>:</w:t>
            </w:r>
          </w:p>
        </w:tc>
      </w:tr>
      <w:tr w:rsidR="002A3EED" w:rsidRPr="00EC018E" w14:paraId="6DDD92D2" w14:textId="77777777" w:rsidTr="00335522">
        <w:tblPrEx>
          <w:tblLook w:val="01E0" w:firstRow="1" w:lastRow="1" w:firstColumn="1" w:lastColumn="1" w:noHBand="0" w:noVBand="0"/>
        </w:tblPrEx>
        <w:trPr>
          <w:gridAfter w:val="1"/>
          <w:wAfter w:w="102" w:type="dxa"/>
          <w:cantSplit/>
        </w:trPr>
        <w:tc>
          <w:tcPr>
            <w:tcW w:w="1873" w:type="dxa"/>
            <w:gridSpan w:val="2"/>
          </w:tcPr>
          <w:p w14:paraId="7337E80D" w14:textId="77777777" w:rsidR="002A3EED" w:rsidRPr="0098746C" w:rsidRDefault="002A3EED" w:rsidP="0030430B">
            <w:pPr>
              <w:pStyle w:val="TableSideHeading"/>
              <w:rPr>
                <w:strike/>
              </w:rPr>
            </w:pPr>
          </w:p>
        </w:tc>
        <w:tc>
          <w:tcPr>
            <w:tcW w:w="624" w:type="dxa"/>
            <w:gridSpan w:val="2"/>
          </w:tcPr>
          <w:p w14:paraId="42CE3156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  <w:gridSpan w:val="2"/>
          </w:tcPr>
          <w:p w14:paraId="7B477865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</w:tcPr>
          <w:p w14:paraId="7FE2B7D1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</w:tcPr>
          <w:p w14:paraId="37B2DA51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</w:tcPr>
          <w:p w14:paraId="636E25F9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4659" w:type="dxa"/>
            <w:gridSpan w:val="2"/>
          </w:tcPr>
          <w:p w14:paraId="13B3A56A" w14:textId="77777777" w:rsidR="002A3EED" w:rsidRPr="0098746C" w:rsidRDefault="002A3EED" w:rsidP="00335522">
            <w:pPr>
              <w:pStyle w:val="TableBlock"/>
            </w:pPr>
            <w:r w:rsidRPr="009A7092">
              <w:rPr>
                <w:rtl/>
              </w:rPr>
              <w:t>(1)</w:t>
            </w:r>
            <w:r w:rsidRPr="009A7092">
              <w:rPr>
                <w:rtl/>
              </w:rPr>
              <w:tab/>
            </w:r>
            <w:r w:rsidRPr="009A7092">
              <w:rPr>
                <w:rFonts w:hint="eastAsia"/>
                <w:rtl/>
              </w:rPr>
              <w:t>לעניין</w:t>
            </w:r>
            <w:r w:rsidRPr="0098746C">
              <w:rPr>
                <w:rtl/>
              </w:rPr>
              <w:t xml:space="preserve"> עובד שירות </w:t>
            </w:r>
            <w:r w:rsidRPr="0098746C">
              <w:rPr>
                <w:rFonts w:hint="eastAsia"/>
                <w:rtl/>
              </w:rPr>
              <w:t>הנושא</w:t>
            </w:r>
            <w:r w:rsidRPr="0098746C">
              <w:rPr>
                <w:rtl/>
              </w:rPr>
              <w:t xml:space="preserve"> עונש מאסר בעבודת שירות לתקופה העולה על שלושה חודשים ושאינה עולה על ארבעה חודשים – </w:t>
            </w:r>
            <w:r w:rsidRPr="0098746C">
              <w:rPr>
                <w:rFonts w:hint="eastAsia"/>
                <w:rtl/>
              </w:rPr>
              <w:t>שבועיים</w:t>
            </w:r>
            <w:r w:rsidRPr="0098746C">
              <w:rPr>
                <w:rtl/>
              </w:rPr>
              <w:t xml:space="preserve">; </w:t>
            </w:r>
          </w:p>
        </w:tc>
      </w:tr>
      <w:tr w:rsidR="002A3EED" w:rsidRPr="00EC018E" w14:paraId="6B331CF7" w14:textId="77777777" w:rsidTr="00335522">
        <w:tblPrEx>
          <w:tblLook w:val="01E0" w:firstRow="1" w:lastRow="1" w:firstColumn="1" w:lastColumn="1" w:noHBand="0" w:noVBand="0"/>
        </w:tblPrEx>
        <w:trPr>
          <w:gridAfter w:val="1"/>
          <w:wAfter w:w="102" w:type="dxa"/>
          <w:cantSplit/>
        </w:trPr>
        <w:tc>
          <w:tcPr>
            <w:tcW w:w="1873" w:type="dxa"/>
            <w:gridSpan w:val="2"/>
          </w:tcPr>
          <w:p w14:paraId="68566EC8" w14:textId="77777777" w:rsidR="002A3EED" w:rsidRPr="0098746C" w:rsidRDefault="002A3EED" w:rsidP="0030430B">
            <w:pPr>
              <w:pStyle w:val="TableSideHeading"/>
              <w:rPr>
                <w:strike/>
              </w:rPr>
            </w:pPr>
          </w:p>
        </w:tc>
        <w:tc>
          <w:tcPr>
            <w:tcW w:w="624" w:type="dxa"/>
            <w:gridSpan w:val="2"/>
          </w:tcPr>
          <w:p w14:paraId="56E4EF75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  <w:gridSpan w:val="2"/>
          </w:tcPr>
          <w:p w14:paraId="27C33E90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</w:tcPr>
          <w:p w14:paraId="0843D2BD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</w:tcPr>
          <w:p w14:paraId="2CF84785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622" w:type="dxa"/>
          </w:tcPr>
          <w:p w14:paraId="4BDC8F42" w14:textId="77777777" w:rsidR="002A3EED" w:rsidRPr="0098746C" w:rsidRDefault="002A3EED" w:rsidP="0030430B">
            <w:pPr>
              <w:pStyle w:val="TableText"/>
              <w:rPr>
                <w:strike/>
              </w:rPr>
            </w:pPr>
          </w:p>
        </w:tc>
        <w:tc>
          <w:tcPr>
            <w:tcW w:w="4659" w:type="dxa"/>
            <w:gridSpan w:val="2"/>
          </w:tcPr>
          <w:p w14:paraId="6770BDED" w14:textId="77777777" w:rsidR="002A3EED" w:rsidRPr="0098746C" w:rsidRDefault="002A3EED" w:rsidP="00335522">
            <w:pPr>
              <w:pStyle w:val="TableBlock"/>
            </w:pPr>
            <w:r w:rsidRPr="009A7092">
              <w:rPr>
                <w:rtl/>
              </w:rPr>
              <w:t>(2)</w:t>
            </w:r>
            <w:r w:rsidRPr="009A7092">
              <w:rPr>
                <w:rtl/>
              </w:rPr>
              <w:tab/>
            </w:r>
            <w:r w:rsidRPr="009A7092">
              <w:rPr>
                <w:rFonts w:hint="eastAsia"/>
                <w:rtl/>
              </w:rPr>
              <w:t>לעניין</w:t>
            </w:r>
            <w:r w:rsidRPr="0098746C">
              <w:rPr>
                <w:rtl/>
              </w:rPr>
              <w:t xml:space="preserve"> עובד שירות </w:t>
            </w:r>
            <w:r w:rsidRPr="0098746C">
              <w:rPr>
                <w:rFonts w:hint="eastAsia"/>
                <w:rtl/>
              </w:rPr>
              <w:t>הנושא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עונש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מאסר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בעבודת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שירות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לתקופה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העולה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על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ארבע</w:t>
            </w:r>
            <w:r>
              <w:rPr>
                <w:rFonts w:hint="cs"/>
                <w:rtl/>
              </w:rPr>
              <w:t>ה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חודשים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ואינה</w:t>
            </w:r>
            <w:r w:rsidRPr="0098746C">
              <w:rPr>
                <w:rtl/>
              </w:rPr>
              <w:t xml:space="preserve"> עולה על שישה חודשים – </w:t>
            </w:r>
            <w:r w:rsidRPr="0098746C">
              <w:rPr>
                <w:rFonts w:hint="eastAsia"/>
                <w:rtl/>
              </w:rPr>
              <w:t>שלושה</w:t>
            </w:r>
            <w:r w:rsidRPr="0098746C">
              <w:rPr>
                <w:rtl/>
              </w:rPr>
              <w:t xml:space="preserve"> </w:t>
            </w:r>
            <w:r w:rsidRPr="0098746C">
              <w:rPr>
                <w:rFonts w:hint="eastAsia"/>
                <w:rtl/>
              </w:rPr>
              <w:t>שבועות</w:t>
            </w:r>
            <w:r w:rsidRPr="0098746C">
              <w:rPr>
                <w:rtl/>
              </w:rPr>
              <w:t>."</w:t>
            </w:r>
          </w:p>
        </w:tc>
      </w:tr>
      <w:tr w:rsidR="002A3EED" w14:paraId="1F7EDF1F" w14:textId="77777777" w:rsidTr="00335522">
        <w:tblPrEx>
          <w:tblLook w:val="04A0" w:firstRow="1" w:lastRow="0" w:firstColumn="1" w:lastColumn="0" w:noHBand="0" w:noVBand="1"/>
        </w:tblPrEx>
        <w:trPr>
          <w:gridBefore w:val="1"/>
          <w:wBefore w:w="106" w:type="dxa"/>
          <w:cantSplit/>
        </w:trPr>
        <w:tc>
          <w:tcPr>
            <w:tcW w:w="1873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EB10D7" w14:textId="77777777" w:rsidR="002A3EED" w:rsidRDefault="002A3EED" w:rsidP="0030430B">
            <w:pPr>
              <w:pStyle w:val="TableSideHeading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lastRenderedPageBreak/>
              <w:t>תחילה ותחולה</w:t>
            </w:r>
          </w:p>
        </w:tc>
        <w:tc>
          <w:tcPr>
            <w:tcW w:w="624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F1CB2B" w14:textId="77777777" w:rsidR="002A3EED" w:rsidRDefault="002A3EED" w:rsidP="0030430B">
            <w:pPr>
              <w:pStyle w:val="TableText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2.</w:t>
            </w:r>
          </w:p>
        </w:tc>
        <w:tc>
          <w:tcPr>
            <w:tcW w:w="7143" w:type="dxa"/>
            <w:gridSpan w:val="7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14:paraId="0D0BF9E8" w14:textId="50429CE4" w:rsidR="002A3EED" w:rsidRDefault="002A3EED" w:rsidP="00335522">
            <w:pPr>
              <w:pStyle w:val="TableBlock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/>
                <w:sz w:val="26"/>
                <w:rtl/>
              </w:rPr>
              <w:t>תחילתו של ס</w:t>
            </w:r>
            <w:r w:rsidRPr="008B374A">
              <w:rPr>
                <w:rFonts w:ascii="David" w:hAnsi="David"/>
                <w:sz w:val="26"/>
                <w:rtl/>
              </w:rPr>
              <w:t>עיף</w:t>
            </w:r>
            <w:r w:rsidRPr="008B374A">
              <w:rPr>
                <w:rFonts w:ascii="David" w:hAnsi="David" w:hint="cs"/>
                <w:sz w:val="26"/>
                <w:rtl/>
              </w:rPr>
              <w:t xml:space="preserve"> </w:t>
            </w:r>
            <w:r w:rsidRPr="008B374A">
              <w:rPr>
                <w:rFonts w:ascii="David" w:hAnsi="David"/>
                <w:sz w:val="26"/>
                <w:rtl/>
              </w:rPr>
              <w:t>51י1(ד)</w:t>
            </w:r>
            <w:r w:rsidRPr="008B374A">
              <w:rPr>
                <w:rFonts w:ascii="David" w:hAnsi="David" w:hint="cs"/>
                <w:sz w:val="26"/>
                <w:rtl/>
              </w:rPr>
              <w:t xml:space="preserve"> לחו</w:t>
            </w:r>
            <w:r>
              <w:rPr>
                <w:rFonts w:ascii="David" w:hAnsi="David" w:hint="cs"/>
                <w:sz w:val="26"/>
                <w:rtl/>
              </w:rPr>
              <w:t>ק העונשין</w:t>
            </w:r>
            <w:r>
              <w:rPr>
                <w:rFonts w:ascii="David" w:hAnsi="David"/>
                <w:sz w:val="26"/>
                <w:rtl/>
              </w:rPr>
              <w:t xml:space="preserve">, כנוסחו </w:t>
            </w:r>
            <w:r>
              <w:rPr>
                <w:rFonts w:ascii="David" w:hAnsi="David" w:hint="cs"/>
                <w:sz w:val="26"/>
                <w:rtl/>
              </w:rPr>
              <w:t>ב</w:t>
            </w:r>
            <w:r>
              <w:rPr>
                <w:rFonts w:ascii="David" w:hAnsi="David"/>
                <w:sz w:val="26"/>
                <w:rtl/>
              </w:rPr>
              <w:t>חוק זה, ביום</w:t>
            </w:r>
            <w:r>
              <w:rPr>
                <w:rFonts w:ascii="David" w:hAnsi="David" w:hint="cs"/>
                <w:sz w:val="26"/>
                <w:rtl/>
              </w:rPr>
              <w:t xml:space="preserve"> כ"ח באב התשפ"ג (15 באוגוסט 2023), והוא יחול </w:t>
            </w:r>
            <w:r>
              <w:rPr>
                <w:rFonts w:ascii="David" w:hAnsi="David"/>
                <w:sz w:val="26"/>
                <w:rtl/>
              </w:rPr>
              <w:t>על מי ש</w:t>
            </w:r>
            <w:r>
              <w:rPr>
                <w:rFonts w:ascii="David" w:hAnsi="David" w:hint="cs"/>
                <w:sz w:val="26"/>
                <w:rtl/>
              </w:rPr>
              <w:t xml:space="preserve">נגזר </w:t>
            </w:r>
            <w:r w:rsidR="00335522">
              <w:rPr>
                <w:rFonts w:ascii="David" w:hAnsi="David" w:hint="cs"/>
                <w:sz w:val="26"/>
                <w:rtl/>
              </w:rPr>
              <w:t xml:space="preserve">דינו </w:t>
            </w:r>
            <w:r>
              <w:rPr>
                <w:rFonts w:ascii="David" w:hAnsi="David" w:hint="cs"/>
                <w:sz w:val="26"/>
                <w:rtl/>
              </w:rPr>
              <w:t>החל מאותו מועד ואילך</w:t>
            </w:r>
            <w:r>
              <w:rPr>
                <w:rFonts w:ascii="David" w:hAnsi="David"/>
                <w:sz w:val="26"/>
                <w:rtl/>
              </w:rPr>
              <w:t xml:space="preserve">.  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3CC7"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8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7" w14:textId="353DF446" w:rsidR="008525E2" w:rsidRPr="00D466D4" w:rsidRDefault="00AD78E7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יריב לוין</w:t>
            </w:r>
          </w:p>
          <w:p w14:paraId="11F1CEB8" w14:textId="525EE4D5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AD78E7">
              <w:rPr>
                <w:rFonts w:hint="cs"/>
                <w:sz w:val="26"/>
                <w:szCs w:val="26"/>
                <w:rtl/>
              </w:rPr>
              <w:t>משפטים</w:t>
            </w:r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9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9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335522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4892F" w14:textId="77777777" w:rsidR="00DD65EA" w:rsidRDefault="00DD65EA" w:rsidP="00B416AF">
      <w:pPr>
        <w:pStyle w:val="HeadHatzaotHok"/>
      </w:pPr>
      <w:r>
        <w:separator/>
      </w:r>
    </w:p>
  </w:endnote>
  <w:endnote w:type="continuationSeparator" w:id="0">
    <w:p w14:paraId="5B7FFB01" w14:textId="77777777" w:rsidR="00DD65EA" w:rsidRDefault="00DD65EA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FC31D" w14:textId="77777777" w:rsidR="00DD65EA" w:rsidRDefault="00DD65EA" w:rsidP="00335522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671FE330" w14:textId="77777777" w:rsidR="00DD65EA" w:rsidRPr="00696C5E" w:rsidRDefault="00DD65EA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23DC69BD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 w:rsidR="00AD78E7">
        <w:rPr>
          <w:rFonts w:hint="cs"/>
          <w:rtl/>
        </w:rPr>
        <w:t>כ"ד באייר התשפ"ג (15 במאי 2023)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1607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כ' באדר התשפ"ג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13 במרס 2023</w:t>
      </w:r>
      <w:bookmarkEnd w:id="5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6" w:name="PageNumFirstCall"/>
      <w:r>
        <w:rPr>
          <w:rFonts w:hint="cs"/>
          <w:rtl/>
        </w:rPr>
        <w:t>168</w:t>
      </w:r>
      <w:bookmarkEnd w:id="6"/>
      <w:r w:rsidR="0031473A">
        <w:t>.</w:t>
      </w:r>
    </w:p>
  </w:footnote>
  <w:footnote w:id="2">
    <w:p w14:paraId="614277AF" w14:textId="77777777" w:rsidR="002A3EED" w:rsidRDefault="002A3EED" w:rsidP="002A3EED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התשע"ח, עמ' 886; התשפ"א, עמ' 364.</w:t>
      </w:r>
    </w:p>
  </w:footnote>
  <w:footnote w:id="3">
    <w:p w14:paraId="4DF66318" w14:textId="77777777" w:rsidR="002A3EED" w:rsidRDefault="002A3EED" w:rsidP="002A3EED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 w:rsidRPr="0097147E">
        <w:rPr>
          <w:rFonts w:hint="cs"/>
          <w:rtl/>
        </w:rPr>
        <w:t>ס"ח התשפ"ג, עמ' ...</w:t>
      </w:r>
    </w:p>
  </w:footnote>
  <w:footnote w:id="4">
    <w:p w14:paraId="0044667D" w14:textId="77777777" w:rsidR="002A3EED" w:rsidRDefault="002A3EED" w:rsidP="002A3EED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התשל"ז, עמ' 226.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3E1B75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A3EED"/>
    <w:rsid w:val="002A431A"/>
    <w:rsid w:val="002C4285"/>
    <w:rsid w:val="002C4FF8"/>
    <w:rsid w:val="002E1F11"/>
    <w:rsid w:val="002E6458"/>
    <w:rsid w:val="0031473A"/>
    <w:rsid w:val="00331786"/>
    <w:rsid w:val="00335522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3E1B75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7147E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AD78E7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22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5522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335522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335522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335522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35522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335522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335522"/>
    <w:rPr>
      <w:sz w:val="36"/>
      <w:szCs w:val="52"/>
    </w:rPr>
  </w:style>
  <w:style w:type="paragraph" w:customStyle="1" w:styleId="Cover3-Haknesset">
    <w:name w:val="Cover 3-Haknesset"/>
    <w:basedOn w:val="Cover1-Reshumot"/>
    <w:rsid w:val="00335522"/>
    <w:rPr>
      <w:b/>
      <w:bCs/>
      <w:spacing w:val="60"/>
    </w:rPr>
  </w:style>
  <w:style w:type="paragraph" w:customStyle="1" w:styleId="Cover4-Date">
    <w:name w:val="Cover 4-Date"/>
    <w:basedOn w:val="a"/>
    <w:rsid w:val="00335522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335522"/>
    <w:rPr>
      <w:vertAlign w:val="superscript"/>
    </w:rPr>
  </w:style>
  <w:style w:type="paragraph" w:customStyle="1" w:styleId="Ragil">
    <w:name w:val="Ragil"/>
    <w:basedOn w:val="a"/>
    <w:rsid w:val="00335522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335522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335522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,Footnote Reference_0"/>
    <w:basedOn w:val="a0"/>
    <w:semiHidden/>
    <w:rsid w:val="00335522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335522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335522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335522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335522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335522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335522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335522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335522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335522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335522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335522"/>
    <w:rPr>
      <w:color w:val="0563C1" w:themeColor="hyperlink"/>
      <w:u w:val="single"/>
    </w:rPr>
  </w:style>
  <w:style w:type="character" w:styleId="ac">
    <w:name w:val="page number"/>
    <w:basedOn w:val="a0"/>
    <w:rsid w:val="00335522"/>
  </w:style>
  <w:style w:type="paragraph" w:customStyle="1" w:styleId="TableText">
    <w:name w:val="Table Text"/>
    <w:basedOn w:val="a"/>
    <w:rsid w:val="00335522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link w:val="TableBlock0"/>
    <w:rsid w:val="00335522"/>
    <w:pPr>
      <w:jc w:val="both"/>
    </w:pPr>
  </w:style>
  <w:style w:type="paragraph" w:customStyle="1" w:styleId="TableBlockOutdent">
    <w:name w:val="Table BlockOutdent"/>
    <w:basedOn w:val="TableBlock"/>
    <w:rsid w:val="00335522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335522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335522"/>
    <w:pPr>
      <w:outlineLvl w:val="2"/>
    </w:pPr>
  </w:style>
  <w:style w:type="paragraph" w:customStyle="1" w:styleId="TableInnerSideHeading">
    <w:name w:val="Table InnerSideHeading"/>
    <w:basedOn w:val="TableSideHeading"/>
    <w:rsid w:val="00335522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TableBlock0">
    <w:name w:val="Table Block תו"/>
    <w:link w:val="TableBlock"/>
    <w:locked/>
    <w:rsid w:val="002A3EED"/>
    <w:rPr>
      <w:rFonts w:ascii="Arial" w:eastAsia="Arial Unicode MS" w:hAnsi="Arial" w:cs="David"/>
      <w:snapToGrid w:val="0"/>
      <w:szCs w:val="26"/>
    </w:rPr>
  </w:style>
  <w:style w:type="character" w:customStyle="1" w:styleId="30">
    <w:name w:val="כותרת 3 תו"/>
    <w:basedOn w:val="a0"/>
    <w:link w:val="3"/>
    <w:rsid w:val="00335522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335522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335522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335522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335522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335522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335522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335522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335522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335522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335522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335522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335522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335522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335522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335522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335522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335522"/>
    <w:rPr>
      <w:rFonts w:eastAsia="Times New Roman"/>
    </w:rPr>
  </w:style>
  <w:style w:type="paragraph" w:styleId="af1">
    <w:name w:val="List Paragraph"/>
    <w:basedOn w:val="a"/>
    <w:uiPriority w:val="34"/>
    <w:qFormat/>
    <w:rsid w:val="00335522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335522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35522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335522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335522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335522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009E5-F668-4B03-9742-873E276DAC04}"/>
</file>

<file path=customXml/itemProps4.xml><?xml version="1.0" encoding="utf-8"?>
<ds:datastoreItem xmlns:ds="http://schemas.openxmlformats.org/officeDocument/2006/customXml" ds:itemID="{9AAD3E59-1685-4866-88AE-10917921A2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11</cp:revision>
  <cp:lastPrinted>2023-05-28T12:09:00Z</cp:lastPrinted>
  <dcterms:created xsi:type="dcterms:W3CDTF">2015-06-14T12:44:00Z</dcterms:created>
  <dcterms:modified xsi:type="dcterms:W3CDTF">2023-05-28T12:09:00Z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2203053</vt:r8>
  </property>
  <property fmtid="{D5CDD505-2E9C-101B-9397-08002B2CF9AE}" pid="21" name="SanhedrinDocumentType">
    <vt:r8>42</vt:r8>
  </property>
</Properties>
</file>