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9756" w14:textId="750C091C" w:rsidR="00FB2CD5" w:rsidRPr="00262AC6" w:rsidRDefault="00262AC6" w:rsidP="00262AC6">
      <w:pPr>
        <w:pStyle w:val="af2"/>
        <w:rPr>
          <w:rFonts w:ascii="David" w:hAnsi="David" w:cs="David"/>
          <w:b/>
          <w:bCs/>
          <w:sz w:val="28"/>
          <w:szCs w:val="28"/>
          <w:rtl/>
        </w:rPr>
      </w:pPr>
      <w:r w:rsidRPr="00262AC6">
        <w:rPr>
          <w:rFonts w:ascii="David" w:hAnsi="David" w:cs="David"/>
          <w:b/>
          <w:bCs/>
          <w:sz w:val="28"/>
          <w:szCs w:val="28"/>
          <w:rtl/>
        </w:rPr>
        <w:t xml:space="preserve">לכבוד </w:t>
      </w:r>
      <w:r w:rsidR="008D2EB2">
        <w:rPr>
          <w:rFonts w:ascii="David" w:hAnsi="David" w:cs="David" w:hint="cs"/>
          <w:b/>
          <w:bCs/>
          <w:sz w:val="28"/>
          <w:szCs w:val="28"/>
          <w:rtl/>
        </w:rPr>
        <w:t xml:space="preserve">                                                                                </w:t>
      </w:r>
      <w:r w:rsidR="008D2EB2">
        <w:rPr>
          <w:rFonts w:ascii="David" w:hAnsi="David" w:cs="David" w:hint="eastAsia"/>
          <w:b/>
          <w:bCs/>
          <w:sz w:val="28"/>
          <w:szCs w:val="28"/>
          <w:rtl/>
        </w:rPr>
        <w:t>‏</w:t>
      </w:r>
      <w:r w:rsidR="008D2EB2">
        <w:rPr>
          <w:rFonts w:ascii="David" w:hAnsi="David" w:cs="David"/>
          <w:b/>
          <w:bCs/>
          <w:sz w:val="28"/>
          <w:szCs w:val="28"/>
          <w:rtl/>
        </w:rPr>
        <w:t>15/03/2026</w:t>
      </w:r>
    </w:p>
    <w:p w14:paraId="421B23D7" w14:textId="439674F0" w:rsidR="00A34CA8" w:rsidRPr="00262AC6" w:rsidRDefault="002D21DD" w:rsidP="008D2EB2">
      <w:pPr>
        <w:pStyle w:val="af2"/>
        <w:rPr>
          <w:rFonts w:ascii="David" w:hAnsi="David" w:cs="David"/>
          <w:b/>
          <w:bCs/>
          <w:sz w:val="28"/>
          <w:szCs w:val="28"/>
          <w:rtl/>
        </w:rPr>
      </w:pPr>
      <w:r w:rsidRPr="00262AC6">
        <w:rPr>
          <w:rFonts w:ascii="David" w:hAnsi="David" w:cs="David"/>
          <w:b/>
          <w:bCs/>
          <w:sz w:val="28"/>
          <w:szCs w:val="28"/>
          <w:rtl/>
        </w:rPr>
        <w:t>ח"כ</w:t>
      </w:r>
      <w:r w:rsidR="008D2EB2">
        <w:rPr>
          <w:rFonts w:ascii="David" w:hAnsi="David" w:cs="David" w:hint="cs"/>
          <w:b/>
          <w:bCs/>
          <w:sz w:val="28"/>
          <w:szCs w:val="28"/>
          <w:rtl/>
        </w:rPr>
        <w:t xml:space="preserve"> צביקה פוגל                                                           </w:t>
      </w:r>
      <w:r w:rsidR="008D2EB2">
        <w:rPr>
          <w:rFonts w:ascii="David" w:hAnsi="David" w:cs="David" w:hint="eastAsia"/>
          <w:b/>
          <w:bCs/>
          <w:sz w:val="28"/>
          <w:szCs w:val="28"/>
          <w:rtl/>
        </w:rPr>
        <w:t>‏כ</w:t>
      </w:r>
      <w:r w:rsidR="008D2EB2">
        <w:rPr>
          <w:rFonts w:ascii="David" w:hAnsi="David" w:cs="David"/>
          <w:b/>
          <w:bCs/>
          <w:sz w:val="28"/>
          <w:szCs w:val="28"/>
          <w:rtl/>
        </w:rPr>
        <w:t>"ו/אדר/תשפ"ו</w:t>
      </w:r>
      <w:r w:rsidR="00A34CA8" w:rsidRPr="00262AC6">
        <w:rPr>
          <w:rFonts w:ascii="David" w:hAnsi="David" w:cs="David"/>
          <w:b/>
          <w:bCs/>
          <w:sz w:val="28"/>
          <w:szCs w:val="28"/>
        </w:rPr>
        <w:br/>
      </w:r>
      <w:r w:rsidR="00A34CA8" w:rsidRPr="00262AC6">
        <w:rPr>
          <w:rFonts w:ascii="David" w:hAnsi="David" w:cs="David"/>
          <w:b/>
          <w:bCs/>
          <w:sz w:val="28"/>
          <w:szCs w:val="28"/>
          <w:rtl/>
        </w:rPr>
        <w:t xml:space="preserve">יו"ר הוועדה </w:t>
      </w:r>
      <w:r w:rsidRPr="00262AC6">
        <w:rPr>
          <w:rFonts w:ascii="David" w:hAnsi="David" w:cs="David"/>
          <w:b/>
          <w:bCs/>
          <w:sz w:val="28"/>
          <w:szCs w:val="28"/>
          <w:rtl/>
        </w:rPr>
        <w:t xml:space="preserve">לביטחון לאומי </w:t>
      </w:r>
    </w:p>
    <w:p w14:paraId="10B2DAC7" w14:textId="387FCFBF" w:rsidR="00262AC6" w:rsidRPr="00262AC6" w:rsidRDefault="002D21DD" w:rsidP="00262AC6">
      <w:pPr>
        <w:pStyle w:val="af2"/>
        <w:rPr>
          <w:rFonts w:ascii="David" w:hAnsi="David" w:cs="David"/>
          <w:b/>
          <w:bCs/>
          <w:sz w:val="28"/>
          <w:szCs w:val="28"/>
          <w:rtl/>
        </w:rPr>
      </w:pPr>
      <w:r w:rsidRPr="00262AC6">
        <w:rPr>
          <w:rFonts w:ascii="David" w:hAnsi="David" w:cs="David"/>
          <w:b/>
          <w:bCs/>
          <w:sz w:val="28"/>
          <w:szCs w:val="28"/>
          <w:rtl/>
        </w:rPr>
        <w:t xml:space="preserve">כנסת ישראל </w:t>
      </w:r>
    </w:p>
    <w:p w14:paraId="7E1EA0B5" w14:textId="4FB760B4" w:rsidR="002D21DD" w:rsidRDefault="002D21DD" w:rsidP="00262AC6">
      <w:pPr>
        <w:pStyle w:val="af2"/>
        <w:rPr>
          <w:rFonts w:ascii="David" w:hAnsi="David" w:cs="David"/>
          <w:b/>
          <w:bCs/>
          <w:sz w:val="28"/>
          <w:szCs w:val="28"/>
          <w:u w:val="single"/>
          <w:rtl/>
        </w:rPr>
      </w:pPr>
      <w:r w:rsidRPr="00262AC6">
        <w:rPr>
          <w:rFonts w:ascii="David" w:hAnsi="David" w:cs="David"/>
          <w:b/>
          <w:bCs/>
          <w:sz w:val="28"/>
          <w:szCs w:val="28"/>
          <w:u w:val="single"/>
          <w:rtl/>
        </w:rPr>
        <w:t xml:space="preserve">ירושלים </w:t>
      </w:r>
    </w:p>
    <w:p w14:paraId="49C7A490" w14:textId="77777777" w:rsidR="00262AC6" w:rsidRPr="00262AC6" w:rsidRDefault="00262AC6" w:rsidP="00262AC6">
      <w:pPr>
        <w:pStyle w:val="af2"/>
        <w:rPr>
          <w:rFonts w:ascii="David" w:hAnsi="David" w:cs="David"/>
          <w:b/>
          <w:bCs/>
          <w:sz w:val="28"/>
          <w:szCs w:val="28"/>
          <w:u w:val="single"/>
        </w:rPr>
      </w:pPr>
    </w:p>
    <w:p w14:paraId="7559F527" w14:textId="77777777" w:rsidR="002D21DD" w:rsidRPr="00262AC6" w:rsidRDefault="002D21DD" w:rsidP="00262AC6">
      <w:pPr>
        <w:pStyle w:val="af2"/>
        <w:rPr>
          <w:rFonts w:ascii="David" w:hAnsi="David" w:cs="David"/>
          <w:b/>
          <w:bCs/>
          <w:sz w:val="28"/>
          <w:szCs w:val="28"/>
        </w:rPr>
      </w:pPr>
      <w:r w:rsidRPr="00262AC6">
        <w:rPr>
          <w:rFonts w:ascii="David" w:hAnsi="David" w:cs="David"/>
          <w:b/>
          <w:bCs/>
          <w:sz w:val="28"/>
          <w:szCs w:val="28"/>
          <w:rtl/>
        </w:rPr>
        <w:t>אדוני היושב-ראש</w:t>
      </w:r>
    </w:p>
    <w:p w14:paraId="263AC61A" w14:textId="02B07005" w:rsidR="00A34CA8" w:rsidRPr="00A34CA8" w:rsidRDefault="002D21DD" w:rsidP="002D21DD">
      <w:pPr>
        <w:spacing w:before="100" w:beforeAutospacing="1" w:after="100" w:afterAutospacing="1" w:line="240" w:lineRule="auto"/>
        <w:jc w:val="center"/>
        <w:rPr>
          <w:rFonts w:ascii="David" w:eastAsia="Times New Roman" w:hAnsi="David" w:cs="David"/>
          <w:b/>
          <w:bCs/>
          <w:kern w:val="0"/>
          <w:sz w:val="32"/>
          <w:szCs w:val="32"/>
          <w14:ligatures w14:val="none"/>
        </w:rPr>
      </w:pPr>
      <w:r w:rsidRPr="00262AC6">
        <w:rPr>
          <w:rFonts w:ascii="David" w:eastAsia="Times New Roman" w:hAnsi="David" w:cs="David" w:hint="cs"/>
          <w:b/>
          <w:bCs/>
          <w:kern w:val="0"/>
          <w:sz w:val="32"/>
          <w:szCs w:val="32"/>
          <w:rtl/>
          <w14:ligatures w14:val="none"/>
        </w:rPr>
        <w:t xml:space="preserve">הנדון : </w:t>
      </w:r>
      <w:r w:rsidR="00A34CA8" w:rsidRPr="00A34CA8">
        <w:rPr>
          <w:rFonts w:ascii="David" w:eastAsia="Times New Roman" w:hAnsi="David" w:cs="David"/>
          <w:b/>
          <w:bCs/>
          <w:kern w:val="0"/>
          <w:sz w:val="32"/>
          <w:szCs w:val="32"/>
          <w:rtl/>
          <w14:ligatures w14:val="none"/>
        </w:rPr>
        <w:t xml:space="preserve">פער רגולטורי בין אישור מערכות בטיחות אש (תקנה 126ז) לבין </w:t>
      </w:r>
      <w:r w:rsidR="00A34CA8" w:rsidRPr="00A34CA8">
        <w:rPr>
          <w:rFonts w:ascii="David" w:eastAsia="Times New Roman" w:hAnsi="David" w:cs="David"/>
          <w:b/>
          <w:bCs/>
          <w:kern w:val="0"/>
          <w:sz w:val="32"/>
          <w:szCs w:val="32"/>
          <w:u w:val="single"/>
          <w:rtl/>
          <w14:ligatures w14:val="none"/>
        </w:rPr>
        <w:t>זהות המבצע בפועל (סיווג קבלנים 190</w:t>
      </w:r>
      <w:r w:rsidR="00A34CA8" w:rsidRPr="00A34CA8">
        <w:rPr>
          <w:rFonts w:ascii="David" w:eastAsia="Times New Roman" w:hAnsi="David" w:cs="David"/>
          <w:b/>
          <w:bCs/>
          <w:kern w:val="0"/>
          <w:sz w:val="32"/>
          <w:szCs w:val="32"/>
          <w:rtl/>
          <w14:ligatures w14:val="none"/>
        </w:rPr>
        <w:t>)</w:t>
      </w:r>
    </w:p>
    <w:p w14:paraId="0A291141"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בדיוני הוועדה האחרונים על תיקוני תקנות בטיחות האש עלה פער רגולטורי מהותי, אשר יש לו השלכות בטיחותיות משמעותיות על התקנת מערכות בטיחות אש בבניינים מורכבים, ובמיוחד במגדלי מגורים ותעסוקה רבי-קומות</w:t>
      </w:r>
      <w:r w:rsidRPr="00A34CA8">
        <w:rPr>
          <w:rFonts w:ascii="David" w:eastAsia="Times New Roman" w:hAnsi="David" w:cs="David"/>
          <w:kern w:val="0"/>
          <w:sz w:val="28"/>
          <w:szCs w:val="28"/>
          <w14:ligatures w14:val="none"/>
        </w:rPr>
        <w:t>.</w:t>
      </w:r>
    </w:p>
    <w:p w14:paraId="4127B145" w14:textId="5FE8C706" w:rsidR="00A34CA8" w:rsidRPr="00A34CA8" w:rsidRDefault="00A34CA8" w:rsidP="002D21DD">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להלן ניתוח הפער והצעה לתיקון</w:t>
      </w:r>
      <w:r w:rsidRPr="00A34CA8">
        <w:rPr>
          <w:rFonts w:ascii="David" w:eastAsia="Times New Roman" w:hAnsi="David" w:cs="David"/>
          <w:kern w:val="0"/>
          <w:sz w:val="28"/>
          <w:szCs w:val="28"/>
          <w14:ligatures w14:val="none"/>
        </w:rPr>
        <w:t>.</w:t>
      </w:r>
    </w:p>
    <w:p w14:paraId="2AC87E0F" w14:textId="486EB217" w:rsidR="00A34CA8" w:rsidRPr="00A34CA8" w:rsidRDefault="002D21DD" w:rsidP="00A34CA8">
      <w:pPr>
        <w:spacing w:before="100" w:beforeAutospacing="1" w:after="100" w:afterAutospacing="1" w:line="240" w:lineRule="auto"/>
        <w:outlineLvl w:val="0"/>
        <w:rPr>
          <w:rFonts w:ascii="David" w:eastAsia="Times New Roman" w:hAnsi="David" w:cs="David"/>
          <w:b/>
          <w:bCs/>
          <w:kern w:val="36"/>
          <w:sz w:val="28"/>
          <w:szCs w:val="28"/>
          <w14:ligatures w14:val="none"/>
        </w:rPr>
      </w:pPr>
      <w:r>
        <w:rPr>
          <w:rFonts w:ascii="David" w:eastAsia="Times New Roman" w:hAnsi="David" w:cs="David"/>
          <w:b/>
          <w:bCs/>
          <w:kern w:val="36"/>
          <w:sz w:val="28"/>
          <w:szCs w:val="28"/>
          <w14:ligatures w14:val="none"/>
        </w:rPr>
        <w:t xml:space="preserve">. </w:t>
      </w:r>
      <w:r w:rsidR="00A34CA8" w:rsidRPr="00A34CA8">
        <w:rPr>
          <w:rFonts w:ascii="David" w:eastAsia="Times New Roman" w:hAnsi="David" w:cs="David"/>
          <w:b/>
          <w:bCs/>
          <w:kern w:val="36"/>
          <w:sz w:val="28"/>
          <w:szCs w:val="28"/>
          <w14:ligatures w14:val="none"/>
        </w:rPr>
        <w:t xml:space="preserve">1 </w:t>
      </w:r>
      <w:r w:rsidR="00A34CA8" w:rsidRPr="00A34CA8">
        <w:rPr>
          <w:rFonts w:ascii="David" w:eastAsia="Times New Roman" w:hAnsi="David" w:cs="David"/>
          <w:b/>
          <w:bCs/>
          <w:kern w:val="36"/>
          <w:sz w:val="28"/>
          <w:szCs w:val="28"/>
          <w:rtl/>
          <w14:ligatures w14:val="none"/>
        </w:rPr>
        <w:t>רקע לתיקון: בטיחות אש תחת איום ביטחוני</w:t>
      </w:r>
    </w:p>
    <w:p w14:paraId="6898BEB1"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 xml:space="preserve">בימים אלו, כאשר מדינת ישראל ניצבת מול איומים מתמשכים של טילים בליסטיים, רקטות, </w:t>
      </w:r>
      <w:proofErr w:type="spellStart"/>
      <w:r w:rsidRPr="00A34CA8">
        <w:rPr>
          <w:rFonts w:ascii="David" w:eastAsia="Times New Roman" w:hAnsi="David" w:cs="David"/>
          <w:kern w:val="0"/>
          <w:sz w:val="28"/>
          <w:szCs w:val="28"/>
          <w:rtl/>
          <w14:ligatures w14:val="none"/>
        </w:rPr>
        <w:t>כטב"מים</w:t>
      </w:r>
      <w:proofErr w:type="spellEnd"/>
      <w:r w:rsidRPr="00A34CA8">
        <w:rPr>
          <w:rFonts w:ascii="David" w:eastAsia="Times New Roman" w:hAnsi="David" w:cs="David"/>
          <w:kern w:val="0"/>
          <w:sz w:val="28"/>
          <w:szCs w:val="28"/>
          <w:rtl/>
          <w14:ligatures w14:val="none"/>
        </w:rPr>
        <w:t xml:space="preserve"> ופגיעות ישירות במבנים אזרחיים, מערכות בטיחות האש אינן עוד רכיב הנדסי שגרתי – אלא חלק ממערך ההגנה האזרחית של המדינה</w:t>
      </w:r>
      <w:r w:rsidRPr="00A34CA8">
        <w:rPr>
          <w:rFonts w:ascii="David" w:eastAsia="Times New Roman" w:hAnsi="David" w:cs="David"/>
          <w:kern w:val="0"/>
          <w:sz w:val="28"/>
          <w:szCs w:val="28"/>
          <w14:ligatures w14:val="none"/>
        </w:rPr>
        <w:t>.</w:t>
      </w:r>
    </w:p>
    <w:p w14:paraId="46D883D0"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פגיעה ישירה במבנה רב-קומות, בין אם מדובר במגדל מגורים, משרדים או מבנה ציבור, עלולה לגרום בתוך דקות להתלקחות נרחבת כתוצאה מקריסת תשתיות, התלקחות מערכות חשמל וגז, ופגיעה במערכות הבטיחות עצמן</w:t>
      </w:r>
      <w:r w:rsidRPr="00A34CA8">
        <w:rPr>
          <w:rFonts w:ascii="David" w:eastAsia="Times New Roman" w:hAnsi="David" w:cs="David"/>
          <w:kern w:val="0"/>
          <w:sz w:val="28"/>
          <w:szCs w:val="28"/>
          <w14:ligatures w14:val="none"/>
        </w:rPr>
        <w:t>.</w:t>
      </w:r>
    </w:p>
    <w:p w14:paraId="7B459189"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 xml:space="preserve">במצבים אלו, מערכת כיבוי האש האוטומטית – </w:t>
      </w:r>
      <w:proofErr w:type="spellStart"/>
      <w:r w:rsidRPr="00A34CA8">
        <w:rPr>
          <w:rFonts w:ascii="David" w:eastAsia="Times New Roman" w:hAnsi="David" w:cs="David"/>
          <w:kern w:val="0"/>
          <w:sz w:val="28"/>
          <w:szCs w:val="28"/>
          <w:rtl/>
          <w14:ligatures w14:val="none"/>
        </w:rPr>
        <w:t>ספרינקלרים</w:t>
      </w:r>
      <w:proofErr w:type="spellEnd"/>
      <w:r w:rsidRPr="00A34CA8">
        <w:rPr>
          <w:rFonts w:ascii="David" w:eastAsia="Times New Roman" w:hAnsi="David" w:cs="David"/>
          <w:kern w:val="0"/>
          <w:sz w:val="28"/>
          <w:szCs w:val="28"/>
          <w:rtl/>
          <w14:ligatures w14:val="none"/>
        </w:rPr>
        <w:t xml:space="preserve">, משאבות, מאגרי מים ומערכות גילוי – מהווה </w:t>
      </w:r>
      <w:r w:rsidRPr="00A34CA8">
        <w:rPr>
          <w:rFonts w:ascii="David" w:eastAsia="Times New Roman" w:hAnsi="David" w:cs="David"/>
          <w:b/>
          <w:bCs/>
          <w:kern w:val="0"/>
          <w:sz w:val="28"/>
          <w:szCs w:val="28"/>
          <w:rtl/>
          <w14:ligatures w14:val="none"/>
        </w:rPr>
        <w:t>קו הגנה קריטי להצלת חיים, לבלימת התפשטות השריפה ולמתן זמן יקר לפינוי דיירים ולהגעת כוחות החירום</w:t>
      </w:r>
      <w:r w:rsidRPr="00A34CA8">
        <w:rPr>
          <w:rFonts w:ascii="David" w:eastAsia="Times New Roman" w:hAnsi="David" w:cs="David"/>
          <w:b/>
          <w:bCs/>
          <w:kern w:val="0"/>
          <w:sz w:val="28"/>
          <w:szCs w:val="28"/>
          <w14:ligatures w14:val="none"/>
        </w:rPr>
        <w:t>.</w:t>
      </w:r>
    </w:p>
    <w:p w14:paraId="36ED1FD8"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ניסיון העבר בארץ ובעולם מלמד כי ברגעי אמת אין "</w:t>
      </w:r>
      <w:r w:rsidRPr="00A34CA8">
        <w:rPr>
          <w:rFonts w:ascii="David" w:eastAsia="Times New Roman" w:hAnsi="David" w:cs="David"/>
          <w:b/>
          <w:bCs/>
          <w:color w:val="EE0000"/>
          <w:kern w:val="0"/>
          <w:sz w:val="28"/>
          <w:szCs w:val="28"/>
          <w:u w:val="single"/>
          <w:rtl/>
          <w14:ligatures w14:val="none"/>
        </w:rPr>
        <w:t>הזדמנות שנייה"</w:t>
      </w:r>
      <w:r w:rsidRPr="00A34CA8">
        <w:rPr>
          <w:rFonts w:ascii="David" w:eastAsia="Times New Roman" w:hAnsi="David" w:cs="David"/>
          <w:color w:val="EE0000"/>
          <w:kern w:val="0"/>
          <w:sz w:val="28"/>
          <w:szCs w:val="28"/>
          <w:rtl/>
          <w14:ligatures w14:val="none"/>
        </w:rPr>
        <w:t xml:space="preserve"> </w:t>
      </w:r>
      <w:r w:rsidRPr="00A34CA8">
        <w:rPr>
          <w:rFonts w:ascii="David" w:eastAsia="Times New Roman" w:hAnsi="David" w:cs="David"/>
          <w:kern w:val="0"/>
          <w:sz w:val="28"/>
          <w:szCs w:val="28"/>
          <w:rtl/>
          <w14:ligatures w14:val="none"/>
        </w:rPr>
        <w:t>לתקן מערכת שלא הותקנה כראוי. מערכת כיבוי שאינה פועלת בשל התקנה לקויה, שימוש בחומרים לא תקניים או עבודה שבוצעה על-ידי גורמים שאינם מוסמכים – עלולה להפוך אירוע פגיעה נקודתי לאסון רב-נפגעים</w:t>
      </w:r>
      <w:r w:rsidRPr="00A34CA8">
        <w:rPr>
          <w:rFonts w:ascii="David" w:eastAsia="Times New Roman" w:hAnsi="David" w:cs="David"/>
          <w:kern w:val="0"/>
          <w:sz w:val="28"/>
          <w:szCs w:val="28"/>
          <w14:ligatures w14:val="none"/>
        </w:rPr>
        <w:t>.</w:t>
      </w:r>
    </w:p>
    <w:p w14:paraId="41EB6AAD"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 xml:space="preserve">לפיכך, האחריות הציבורית מחייבת לוודא לא רק כי המערכת נבדקה בסוף התהליך, אלא גם כי </w:t>
      </w:r>
      <w:r w:rsidRPr="00A34CA8">
        <w:rPr>
          <w:rFonts w:ascii="David" w:eastAsia="Times New Roman" w:hAnsi="David" w:cs="David"/>
          <w:b/>
          <w:bCs/>
          <w:kern w:val="0"/>
          <w:sz w:val="28"/>
          <w:szCs w:val="28"/>
          <w:rtl/>
          <w14:ligatures w14:val="none"/>
        </w:rPr>
        <w:t>הותקנה מלכתחילה על-ידי גורם מקצועי, מפוקח ומורשה</w:t>
      </w:r>
      <w:r w:rsidRPr="00A34CA8">
        <w:rPr>
          <w:rFonts w:ascii="David" w:eastAsia="Times New Roman" w:hAnsi="David" w:cs="David"/>
          <w:b/>
          <w:bCs/>
          <w:kern w:val="0"/>
          <w:sz w:val="28"/>
          <w:szCs w:val="28"/>
          <w14:ligatures w14:val="none"/>
        </w:rPr>
        <w:t>.</w:t>
      </w:r>
    </w:p>
    <w:p w14:paraId="7F683414" w14:textId="77777777" w:rsidR="00A34CA8" w:rsidRDefault="00A34CA8" w:rsidP="002D21DD">
      <w:pPr>
        <w:spacing w:before="100" w:beforeAutospacing="1" w:after="100" w:afterAutospacing="1" w:line="240" w:lineRule="auto"/>
        <w:jc w:val="both"/>
        <w:rPr>
          <w:rFonts w:ascii="David" w:eastAsia="Times New Roman" w:hAnsi="David" w:cs="David"/>
          <w:kern w:val="0"/>
          <w:sz w:val="28"/>
          <w:szCs w:val="28"/>
          <w:rtl/>
          <w14:ligatures w14:val="none"/>
        </w:rPr>
      </w:pPr>
      <w:r w:rsidRPr="00A34CA8">
        <w:rPr>
          <w:rFonts w:ascii="David" w:eastAsia="Times New Roman" w:hAnsi="David" w:cs="David"/>
          <w:kern w:val="0"/>
          <w:sz w:val="28"/>
          <w:szCs w:val="28"/>
          <w:rtl/>
          <w14:ligatures w14:val="none"/>
        </w:rPr>
        <w:t xml:space="preserve">באירוע פגיעה במגדל מגורים או תעסוקה, מערכת כיבוי האש היא </w:t>
      </w:r>
      <w:r w:rsidRPr="00A34CA8">
        <w:rPr>
          <w:rFonts w:ascii="David" w:eastAsia="Times New Roman" w:hAnsi="David" w:cs="David"/>
          <w:b/>
          <w:bCs/>
          <w:kern w:val="0"/>
          <w:sz w:val="28"/>
          <w:szCs w:val="28"/>
          <w14:ligatures w14:val="none"/>
        </w:rPr>
        <w:t>"</w:t>
      </w:r>
      <w:r w:rsidRPr="00A34CA8">
        <w:rPr>
          <w:rFonts w:ascii="David" w:eastAsia="Times New Roman" w:hAnsi="David" w:cs="David"/>
          <w:b/>
          <w:bCs/>
          <w:kern w:val="0"/>
          <w:sz w:val="28"/>
          <w:szCs w:val="28"/>
          <w:rtl/>
          <w14:ligatures w14:val="none"/>
        </w:rPr>
        <w:t>קו ההגנה האחרון</w:t>
      </w:r>
      <w:r w:rsidRPr="00A34CA8">
        <w:rPr>
          <w:rFonts w:ascii="David" w:eastAsia="Times New Roman" w:hAnsi="David" w:cs="David"/>
          <w:b/>
          <w:bCs/>
          <w:kern w:val="0"/>
          <w:sz w:val="28"/>
          <w:szCs w:val="28"/>
          <w14:ligatures w14:val="none"/>
        </w:rPr>
        <w:t>"</w:t>
      </w:r>
      <w:r w:rsidRPr="00A34CA8">
        <w:rPr>
          <w:rFonts w:ascii="David" w:eastAsia="Times New Roman" w:hAnsi="David" w:cs="David"/>
          <w:kern w:val="0"/>
          <w:sz w:val="28"/>
          <w:szCs w:val="28"/>
          <w14:ligatures w14:val="none"/>
        </w:rPr>
        <w:t xml:space="preserve"> </w:t>
      </w:r>
      <w:r w:rsidRPr="00A34CA8">
        <w:rPr>
          <w:rFonts w:ascii="David" w:eastAsia="Times New Roman" w:hAnsi="David" w:cs="David"/>
          <w:kern w:val="0"/>
          <w:sz w:val="28"/>
          <w:szCs w:val="28"/>
          <w:rtl/>
          <w14:ligatures w14:val="none"/>
        </w:rPr>
        <w:t>בין דליקה מקומית לבין התפשטות אש קטלנית</w:t>
      </w:r>
      <w:r w:rsidRPr="00A34CA8">
        <w:rPr>
          <w:rFonts w:ascii="David" w:eastAsia="Times New Roman" w:hAnsi="David" w:cs="David"/>
          <w:kern w:val="0"/>
          <w:sz w:val="28"/>
          <w:szCs w:val="28"/>
          <w14:ligatures w14:val="none"/>
        </w:rPr>
        <w:t>.</w:t>
      </w:r>
    </w:p>
    <w:p w14:paraId="6DE50492" w14:textId="77777777" w:rsidR="008D2EB2" w:rsidRDefault="008D2EB2" w:rsidP="002D21DD">
      <w:pPr>
        <w:spacing w:before="100" w:beforeAutospacing="1" w:after="100" w:afterAutospacing="1" w:line="240" w:lineRule="auto"/>
        <w:jc w:val="both"/>
        <w:rPr>
          <w:rFonts w:ascii="David" w:eastAsia="Times New Roman" w:hAnsi="David" w:cs="David"/>
          <w:kern w:val="0"/>
          <w:sz w:val="28"/>
          <w:szCs w:val="28"/>
          <w:rtl/>
          <w14:ligatures w14:val="none"/>
        </w:rPr>
      </w:pPr>
    </w:p>
    <w:p w14:paraId="5BE413B1" w14:textId="6321274C" w:rsidR="00262AC6" w:rsidRPr="00262AC6" w:rsidRDefault="00262AC6" w:rsidP="00262AC6">
      <w:pPr>
        <w:pStyle w:val="a9"/>
        <w:numPr>
          <w:ilvl w:val="0"/>
          <w:numId w:val="7"/>
        </w:numPr>
        <w:spacing w:before="100" w:beforeAutospacing="1" w:after="100" w:afterAutospacing="1" w:line="240" w:lineRule="auto"/>
        <w:jc w:val="center"/>
        <w:rPr>
          <w:rFonts w:ascii="David" w:eastAsia="Times New Roman" w:hAnsi="David" w:cs="David"/>
          <w:kern w:val="0"/>
          <w:sz w:val="28"/>
          <w:szCs w:val="28"/>
          <w:rtl/>
          <w14:ligatures w14:val="none"/>
        </w:rPr>
      </w:pPr>
      <w:r>
        <w:rPr>
          <w:rFonts w:ascii="David" w:eastAsia="Times New Roman" w:hAnsi="David" w:cs="David" w:hint="cs"/>
          <w:kern w:val="0"/>
          <w:sz w:val="28"/>
          <w:szCs w:val="28"/>
          <w:rtl/>
          <w14:ligatures w14:val="none"/>
        </w:rPr>
        <w:lastRenderedPageBreak/>
        <w:t>2 -</w:t>
      </w:r>
    </w:p>
    <w:p w14:paraId="08075E3F" w14:textId="77777777" w:rsidR="00262AC6" w:rsidRPr="00A34CA8" w:rsidRDefault="00262AC6" w:rsidP="002D21DD">
      <w:pPr>
        <w:spacing w:before="100" w:beforeAutospacing="1" w:after="100" w:afterAutospacing="1" w:line="240" w:lineRule="auto"/>
        <w:jc w:val="both"/>
        <w:rPr>
          <w:rFonts w:ascii="David" w:eastAsia="Times New Roman" w:hAnsi="David" w:cs="David"/>
          <w:kern w:val="0"/>
          <w:sz w:val="28"/>
          <w:szCs w:val="28"/>
          <w14:ligatures w14:val="none"/>
        </w:rPr>
      </w:pPr>
    </w:p>
    <w:p w14:paraId="5BA2DD2C"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כשל במערכת כזו בזמן אמת – עקב התקנה רשלנית של גורם שאינו מוסמך – עלול להוביל לאובדן חיי אדם, לקריסת מערכות קריטיות במבנה ולהחמרת הנזק למאות דיירים</w:t>
      </w:r>
      <w:r w:rsidRPr="00A34CA8">
        <w:rPr>
          <w:rFonts w:ascii="David" w:eastAsia="Times New Roman" w:hAnsi="David" w:cs="David"/>
          <w:kern w:val="0"/>
          <w:sz w:val="28"/>
          <w:szCs w:val="28"/>
          <w14:ligatures w14:val="none"/>
        </w:rPr>
        <w:t>.</w:t>
      </w:r>
    </w:p>
    <w:p w14:paraId="3DB1F4C2" w14:textId="77777777" w:rsidR="00262AC6" w:rsidRDefault="00A34CA8" w:rsidP="00262AC6">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 xml:space="preserve">לא ניתן להסתפק ב"בדיקה מדגמית" של מעבדה המאשרת את המערכת לאחר השלמתה; יש לוודא כי </w:t>
      </w:r>
      <w:r w:rsidRPr="00A34CA8">
        <w:rPr>
          <w:rFonts w:ascii="David" w:eastAsia="Times New Roman" w:hAnsi="David" w:cs="David"/>
          <w:b/>
          <w:bCs/>
          <w:kern w:val="0"/>
          <w:sz w:val="28"/>
          <w:szCs w:val="28"/>
          <w:rtl/>
          <w14:ligatures w14:val="none"/>
        </w:rPr>
        <w:t>שרשרת הבטיחות מתחילה כבר בשלב הביצוע</w:t>
      </w:r>
      <w:r w:rsidRPr="00A34CA8">
        <w:rPr>
          <w:rFonts w:ascii="David" w:eastAsia="Times New Roman" w:hAnsi="David" w:cs="David"/>
          <w:kern w:val="0"/>
          <w:sz w:val="28"/>
          <w:szCs w:val="28"/>
          <w14:ligatures w14:val="none"/>
        </w:rPr>
        <w:t xml:space="preserve">, </w:t>
      </w:r>
      <w:r w:rsidRPr="00A34CA8">
        <w:rPr>
          <w:rFonts w:ascii="David" w:eastAsia="Times New Roman" w:hAnsi="David" w:cs="David"/>
          <w:kern w:val="0"/>
          <w:sz w:val="28"/>
          <w:szCs w:val="28"/>
          <w:rtl/>
          <w14:ligatures w14:val="none"/>
        </w:rPr>
        <w:t>וכי המערכת נבנית על-ידי ידיים מקצועיות ומפוקחות</w:t>
      </w:r>
      <w:r w:rsidRPr="00A34CA8">
        <w:rPr>
          <w:rFonts w:ascii="David" w:eastAsia="Times New Roman" w:hAnsi="David" w:cs="David"/>
          <w:kern w:val="0"/>
          <w:sz w:val="28"/>
          <w:szCs w:val="28"/>
          <w14:ligatures w14:val="none"/>
        </w:rPr>
        <w:t>.</w:t>
      </w:r>
    </w:p>
    <w:p w14:paraId="573585CD" w14:textId="1E5293C6" w:rsidR="00A34CA8" w:rsidRPr="00A34CA8" w:rsidRDefault="00262AC6" w:rsidP="00262AC6">
      <w:pPr>
        <w:spacing w:before="100" w:beforeAutospacing="1" w:after="100" w:afterAutospacing="1" w:line="240" w:lineRule="auto"/>
        <w:jc w:val="both"/>
        <w:rPr>
          <w:rFonts w:ascii="David" w:eastAsia="Times New Roman" w:hAnsi="David" w:cs="David"/>
          <w:kern w:val="0"/>
          <w:sz w:val="28"/>
          <w:szCs w:val="28"/>
          <w14:ligatures w14:val="none"/>
        </w:rPr>
      </w:pPr>
      <w:proofErr w:type="gramStart"/>
      <w:r>
        <w:rPr>
          <w:rFonts w:ascii="David" w:eastAsia="Times New Roman" w:hAnsi="David" w:cs="David"/>
          <w:kern w:val="0"/>
          <w:sz w:val="28"/>
          <w:szCs w:val="28"/>
          <w14:ligatures w14:val="none"/>
        </w:rPr>
        <w:t>2</w:t>
      </w:r>
      <w:r w:rsidR="00A34CA8" w:rsidRPr="00A34CA8">
        <w:rPr>
          <w:rFonts w:ascii="David" w:eastAsia="Times New Roman" w:hAnsi="David" w:cs="David"/>
          <w:b/>
          <w:bCs/>
          <w:kern w:val="36"/>
          <w:sz w:val="28"/>
          <w:szCs w:val="28"/>
          <w14:ligatures w14:val="none"/>
        </w:rPr>
        <w:t xml:space="preserve"> </w:t>
      </w:r>
      <w:r>
        <w:rPr>
          <w:rFonts w:ascii="David" w:eastAsia="Times New Roman" w:hAnsi="David" w:cs="David" w:hint="cs"/>
          <w:b/>
          <w:bCs/>
          <w:kern w:val="36"/>
          <w:sz w:val="28"/>
          <w:szCs w:val="28"/>
          <w:rtl/>
          <w14:ligatures w14:val="none"/>
        </w:rPr>
        <w:t xml:space="preserve"> .</w:t>
      </w:r>
      <w:proofErr w:type="gramEnd"/>
      <w:r w:rsidR="00A34CA8" w:rsidRPr="00A34CA8">
        <w:rPr>
          <w:rFonts w:ascii="David" w:eastAsia="Times New Roman" w:hAnsi="David" w:cs="David"/>
          <w:b/>
          <w:bCs/>
          <w:kern w:val="36"/>
          <w:sz w:val="28"/>
          <w:szCs w:val="28"/>
          <w:rtl/>
          <w14:ligatures w14:val="none"/>
        </w:rPr>
        <w:t>התמקדות ב"שרשרת האישור" לעומת היעדר פיקוח על "שרשרת הביצוע</w:t>
      </w:r>
      <w:r w:rsidR="00A34CA8" w:rsidRPr="00A34CA8">
        <w:rPr>
          <w:rFonts w:ascii="David" w:eastAsia="Times New Roman" w:hAnsi="David" w:cs="David"/>
          <w:b/>
          <w:bCs/>
          <w:kern w:val="36"/>
          <w:sz w:val="28"/>
          <w:szCs w:val="28"/>
          <w14:ligatures w14:val="none"/>
        </w:rPr>
        <w:t>"</w:t>
      </w:r>
    </w:p>
    <w:p w14:paraId="3B5AF0E0"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בדברי היועץ המשפטי לוועדה (סעיפים 21–24) מושם דגש על מנגנון אישור המערכת – כלומר מי רשאי לבדוק ולאשר את המערכת: מעבדה מוסמכת, מהנדס וכדומה</w:t>
      </w:r>
      <w:r w:rsidRPr="00A34CA8">
        <w:rPr>
          <w:rFonts w:ascii="David" w:eastAsia="Times New Roman" w:hAnsi="David" w:cs="David"/>
          <w:kern w:val="0"/>
          <w:sz w:val="28"/>
          <w:szCs w:val="28"/>
          <w14:ligatures w14:val="none"/>
        </w:rPr>
        <w:t>.</w:t>
      </w:r>
    </w:p>
    <w:p w14:paraId="2AD78E54" w14:textId="21F160D0"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הדגש הזה חשוב, אך הוא מתייחס ל"שרשרת האישור" בלבד</w:t>
      </w:r>
      <w:r w:rsidRPr="00A34CA8">
        <w:rPr>
          <w:rFonts w:ascii="David" w:eastAsia="Times New Roman" w:hAnsi="David" w:cs="David"/>
          <w:kern w:val="0"/>
          <w:sz w:val="28"/>
          <w:szCs w:val="28"/>
          <w14:ligatures w14:val="none"/>
        </w:rPr>
        <w:t xml:space="preserve"> Compliance</w:t>
      </w:r>
      <w:r w:rsidR="00262AC6">
        <w:rPr>
          <w:rFonts w:ascii="David" w:eastAsia="Times New Roman" w:hAnsi="David" w:cs="David"/>
          <w:kern w:val="0"/>
          <w:sz w:val="28"/>
          <w:szCs w:val="28"/>
          <w14:ligatures w14:val="none"/>
        </w:rPr>
        <w:t xml:space="preserve">) </w:t>
      </w:r>
      <w:r w:rsidRPr="00A34CA8">
        <w:rPr>
          <w:rFonts w:ascii="David" w:eastAsia="Times New Roman" w:hAnsi="David" w:cs="David"/>
          <w:kern w:val="0"/>
          <w:sz w:val="28"/>
          <w:szCs w:val="28"/>
          <w14:ligatures w14:val="none"/>
        </w:rPr>
        <w:t xml:space="preserve"> </w:t>
      </w:r>
      <w:r w:rsidR="00262AC6">
        <w:rPr>
          <w:rFonts w:ascii="David" w:eastAsia="Times New Roman" w:hAnsi="David" w:cs="David"/>
          <w:kern w:val="0"/>
          <w:sz w:val="28"/>
          <w:szCs w:val="28"/>
          <w14:ligatures w14:val="none"/>
        </w:rPr>
        <w:t>(</w:t>
      </w:r>
      <w:r w:rsidRPr="00A34CA8">
        <w:rPr>
          <w:rFonts w:ascii="David" w:eastAsia="Times New Roman" w:hAnsi="David" w:cs="David"/>
          <w:kern w:val="0"/>
          <w:sz w:val="28"/>
          <w:szCs w:val="28"/>
          <w14:ligatures w14:val="none"/>
        </w:rPr>
        <w:t>Tracking</w:t>
      </w:r>
      <w:r w:rsidRPr="00A34CA8">
        <w:rPr>
          <w:rFonts w:ascii="David" w:eastAsia="Times New Roman" w:hAnsi="David" w:cs="David"/>
          <w:b/>
          <w:bCs/>
          <w:kern w:val="0"/>
          <w:sz w:val="28"/>
          <w:szCs w:val="28"/>
          <w14:ligatures w14:val="none"/>
        </w:rPr>
        <w:t xml:space="preserve">, </w:t>
      </w:r>
      <w:r w:rsidRPr="00A34CA8">
        <w:rPr>
          <w:rFonts w:ascii="David" w:eastAsia="Times New Roman" w:hAnsi="David" w:cs="David"/>
          <w:b/>
          <w:bCs/>
          <w:kern w:val="0"/>
          <w:sz w:val="28"/>
          <w:szCs w:val="28"/>
          <w:rtl/>
          <w14:ligatures w14:val="none"/>
        </w:rPr>
        <w:t>תוך התעלמות כמעט מוחלטת מ</w:t>
      </w:r>
      <w:r w:rsidRPr="00A34CA8">
        <w:rPr>
          <w:rFonts w:ascii="David" w:eastAsia="Times New Roman" w:hAnsi="David" w:cs="David"/>
          <w:kern w:val="0"/>
          <w:sz w:val="28"/>
          <w:szCs w:val="28"/>
          <w14:ligatures w14:val="none"/>
        </w:rPr>
        <w:t>"</w:t>
      </w:r>
      <w:r w:rsidRPr="00A34CA8">
        <w:rPr>
          <w:rFonts w:ascii="David" w:eastAsia="Times New Roman" w:hAnsi="David" w:cs="David"/>
          <w:kern w:val="0"/>
          <w:sz w:val="28"/>
          <w:szCs w:val="28"/>
          <w:rtl/>
          <w14:ligatures w14:val="none"/>
        </w:rPr>
        <w:t>שרשרת הביצוע" – כלומר מי התקין בפועל את מערכת בטיחות האש</w:t>
      </w:r>
      <w:r w:rsidRPr="00A34CA8">
        <w:rPr>
          <w:rFonts w:ascii="David" w:eastAsia="Times New Roman" w:hAnsi="David" w:cs="David"/>
          <w:kern w:val="0"/>
          <w:sz w:val="28"/>
          <w:szCs w:val="28"/>
          <w14:ligatures w14:val="none"/>
        </w:rPr>
        <w:t>.</w:t>
      </w:r>
    </w:p>
    <w:p w14:paraId="2585BE59" w14:textId="16E4131C" w:rsidR="003D7E43" w:rsidRPr="003D7E43" w:rsidRDefault="00A34CA8" w:rsidP="003D7E43">
      <w:pPr>
        <w:spacing w:before="100" w:beforeAutospacing="1" w:after="100" w:afterAutospacing="1" w:line="240" w:lineRule="auto"/>
        <w:jc w:val="both"/>
        <w:rPr>
          <w:rFonts w:ascii="David" w:eastAsia="Times New Roman" w:hAnsi="David" w:cs="David"/>
          <w:kern w:val="0"/>
          <w:sz w:val="28"/>
          <w:szCs w:val="28"/>
          <w:rtl/>
          <w14:ligatures w14:val="none"/>
        </w:rPr>
      </w:pPr>
      <w:r w:rsidRPr="00A34CA8">
        <w:rPr>
          <w:rFonts w:ascii="David" w:eastAsia="Times New Roman" w:hAnsi="David" w:cs="David"/>
          <w:kern w:val="0"/>
          <w:sz w:val="28"/>
          <w:szCs w:val="28"/>
          <w:rtl/>
          <w14:ligatures w14:val="none"/>
        </w:rPr>
        <w:t>החשש שהעלה היועץ המשפטי מפני יצירת "</w:t>
      </w:r>
      <w:r w:rsidRPr="00A34CA8">
        <w:rPr>
          <w:rFonts w:ascii="David" w:eastAsia="Times New Roman" w:hAnsi="David" w:cs="David"/>
          <w:b/>
          <w:bCs/>
          <w:color w:val="EE0000"/>
          <w:kern w:val="0"/>
          <w:sz w:val="28"/>
          <w:szCs w:val="28"/>
          <w:rtl/>
          <w14:ligatures w14:val="none"/>
        </w:rPr>
        <w:t>אישור אחר</w:t>
      </w:r>
      <w:r w:rsidRPr="00A34CA8">
        <w:rPr>
          <w:rFonts w:ascii="David" w:eastAsia="Times New Roman" w:hAnsi="David" w:cs="David"/>
          <w:kern w:val="0"/>
          <w:sz w:val="28"/>
          <w:szCs w:val="28"/>
          <w:rtl/>
          <w14:ligatures w14:val="none"/>
        </w:rPr>
        <w:t>" אשר עלול לעקוף מעבדות מוסמכות מובן. אולם הבעיה המרכזית היא אחרת</w:t>
      </w:r>
      <w:r w:rsidRPr="00A34CA8">
        <w:rPr>
          <w:rFonts w:ascii="David" w:eastAsia="Times New Roman" w:hAnsi="David" w:cs="David"/>
          <w:kern w:val="0"/>
          <w:sz w:val="28"/>
          <w:szCs w:val="28"/>
          <w14:ligatures w14:val="none"/>
        </w:rPr>
        <w:t>:</w:t>
      </w:r>
    </w:p>
    <w:p w14:paraId="6F90A70F" w14:textId="77777777" w:rsidR="003D7E43" w:rsidRDefault="003D7E43" w:rsidP="003D7E43">
      <w:pPr>
        <w:pStyle w:val="NormalWeb"/>
        <w:bidi/>
        <w:jc w:val="both"/>
        <w:rPr>
          <w:rFonts w:ascii="David" w:hAnsi="David" w:cs="David"/>
          <w:sz w:val="28"/>
          <w:szCs w:val="28"/>
          <w:rtl/>
        </w:rPr>
      </w:pPr>
      <w:r w:rsidRPr="003D7E43">
        <w:rPr>
          <w:rFonts w:ascii="David" w:hAnsi="David" w:cs="David"/>
          <w:sz w:val="28"/>
          <w:szCs w:val="28"/>
          <w:rtl/>
        </w:rPr>
        <w:t>אישור מעבדה ניתן בדרך כלל לאחר שהמערכת כבר הותקנה. כאשר הגורם שביצע את ההתקנה אינו קבלן רשום ומוסמך בתחום מערכות כיבוי אש (סיווג 190), המעבדה למעשה בודקת את המערכת בדיעבד, מבלי לדעת מי התקין אותה ובאילו סטנדרטים מקצועיים בוצעה ההתקנה</w:t>
      </w:r>
      <w:r w:rsidRPr="003D7E43">
        <w:rPr>
          <w:rFonts w:ascii="David" w:hAnsi="David" w:cs="David"/>
          <w:sz w:val="28"/>
          <w:szCs w:val="28"/>
        </w:rPr>
        <w:t>.</w:t>
      </w:r>
    </w:p>
    <w:p w14:paraId="05B2861A" w14:textId="1B65D3E0" w:rsidR="003D7E43" w:rsidRPr="00A34CA8" w:rsidRDefault="003D7E43" w:rsidP="003D7E43">
      <w:pPr>
        <w:pStyle w:val="NormalWeb"/>
        <w:bidi/>
        <w:jc w:val="both"/>
        <w:rPr>
          <w:rFonts w:ascii="David" w:hAnsi="David" w:cs="David"/>
          <w:b/>
          <w:bCs/>
          <w:sz w:val="28"/>
          <w:szCs w:val="28"/>
        </w:rPr>
      </w:pPr>
      <w:r w:rsidRPr="003D7E43">
        <w:rPr>
          <w:rFonts w:ascii="David" w:hAnsi="David" w:cs="David"/>
          <w:sz w:val="28"/>
          <w:szCs w:val="28"/>
        </w:rPr>
        <w:br/>
      </w:r>
      <w:r w:rsidRPr="003D7E43">
        <w:rPr>
          <w:rFonts w:ascii="David" w:hAnsi="David" w:cs="David"/>
          <w:b/>
          <w:bCs/>
          <w:color w:val="EE0000"/>
          <w:sz w:val="28"/>
          <w:szCs w:val="28"/>
          <w:rtl/>
        </w:rPr>
        <w:t>חשוב להדגיש כי על פי חוק רישום קבלנים, עבודות בתחום זה מחויבות להתבצע על-ידי קבלן רשום ומוסמך בלבד</w:t>
      </w:r>
      <w:r w:rsidRPr="003D7E43">
        <w:rPr>
          <w:rFonts w:ascii="David" w:hAnsi="David" w:cs="David"/>
          <w:b/>
          <w:bCs/>
          <w:color w:val="EE0000"/>
          <w:sz w:val="28"/>
          <w:szCs w:val="28"/>
        </w:rPr>
        <w:t>.</w:t>
      </w:r>
    </w:p>
    <w:p w14:paraId="68B558CC" w14:textId="77777777" w:rsidR="00A34CA8" w:rsidRPr="00A34CA8" w:rsidRDefault="00A34CA8" w:rsidP="00A34CA8">
      <w:pPr>
        <w:spacing w:before="100" w:beforeAutospacing="1" w:after="100" w:afterAutospacing="1" w:line="240" w:lineRule="auto"/>
        <w:rPr>
          <w:rFonts w:ascii="David" w:eastAsia="Times New Roman" w:hAnsi="David" w:cs="David"/>
          <w:b/>
          <w:bCs/>
          <w:color w:val="EE0000"/>
          <w:kern w:val="0"/>
          <w:sz w:val="28"/>
          <w:szCs w:val="28"/>
          <w:u w:val="single"/>
          <w14:ligatures w14:val="none"/>
        </w:rPr>
      </w:pPr>
      <w:r w:rsidRPr="00A34CA8">
        <w:rPr>
          <w:rFonts w:ascii="David" w:eastAsia="Times New Roman" w:hAnsi="David" w:cs="David"/>
          <w:b/>
          <w:bCs/>
          <w:color w:val="EE0000"/>
          <w:kern w:val="0"/>
          <w:sz w:val="28"/>
          <w:szCs w:val="28"/>
          <w:u w:val="single"/>
          <w:rtl/>
          <w14:ligatures w14:val="none"/>
        </w:rPr>
        <w:t>במילים פשוטות</w:t>
      </w:r>
      <w:r w:rsidRPr="00A34CA8">
        <w:rPr>
          <w:rFonts w:ascii="David" w:eastAsia="Times New Roman" w:hAnsi="David" w:cs="David"/>
          <w:b/>
          <w:bCs/>
          <w:color w:val="EE0000"/>
          <w:kern w:val="0"/>
          <w:sz w:val="28"/>
          <w:szCs w:val="28"/>
          <w:u w:val="single"/>
          <w14:ligatures w14:val="none"/>
        </w:rPr>
        <w:t>:</w:t>
      </w:r>
    </w:p>
    <w:p w14:paraId="101C7423" w14:textId="77777777" w:rsidR="00A34CA8" w:rsidRPr="00A34CA8" w:rsidRDefault="00A34CA8" w:rsidP="00A34CA8">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המעבדה בודקת את התוצאה – אך אין כל מנגנון שמוודא שהביצוע נעשה על-ידי גורם מקצועי ומורשה</w:t>
      </w:r>
      <w:r w:rsidRPr="00A34CA8">
        <w:rPr>
          <w:rFonts w:ascii="David" w:eastAsia="Times New Roman" w:hAnsi="David" w:cs="David"/>
          <w:kern w:val="0"/>
          <w:sz w:val="28"/>
          <w:szCs w:val="28"/>
          <w14:ligatures w14:val="none"/>
        </w:rPr>
        <w:t>.</w:t>
      </w:r>
    </w:p>
    <w:p w14:paraId="4E9FC60D" w14:textId="061407A5" w:rsidR="00A34CA8" w:rsidRDefault="00A34CA8" w:rsidP="002D21DD">
      <w:pPr>
        <w:spacing w:before="100" w:beforeAutospacing="1" w:after="100" w:afterAutospacing="1" w:line="240" w:lineRule="auto"/>
        <w:rPr>
          <w:rFonts w:ascii="David" w:eastAsia="Times New Roman" w:hAnsi="David" w:cs="David"/>
          <w:kern w:val="0"/>
          <w:sz w:val="28"/>
          <w:szCs w:val="28"/>
          <w:rtl/>
          <w14:ligatures w14:val="none"/>
        </w:rPr>
      </w:pPr>
      <w:r w:rsidRPr="00A34CA8">
        <w:rPr>
          <w:rFonts w:ascii="David" w:eastAsia="Times New Roman" w:hAnsi="David" w:cs="David"/>
          <w:kern w:val="0"/>
          <w:sz w:val="28"/>
          <w:szCs w:val="28"/>
          <w:rtl/>
          <w14:ligatures w14:val="none"/>
        </w:rPr>
        <w:t>מדובר בפער בטיחותי משמעותי</w:t>
      </w:r>
      <w:r w:rsidRPr="00A34CA8">
        <w:rPr>
          <w:rFonts w:ascii="David" w:eastAsia="Times New Roman" w:hAnsi="David" w:cs="David"/>
          <w:kern w:val="0"/>
          <w:sz w:val="28"/>
          <w:szCs w:val="28"/>
          <w14:ligatures w14:val="none"/>
        </w:rPr>
        <w:t>.</w:t>
      </w:r>
    </w:p>
    <w:p w14:paraId="03C6523C" w14:textId="77777777" w:rsidR="003D7E43" w:rsidRDefault="003D7E43" w:rsidP="002D21DD">
      <w:pPr>
        <w:spacing w:before="100" w:beforeAutospacing="1" w:after="100" w:afterAutospacing="1" w:line="240" w:lineRule="auto"/>
        <w:rPr>
          <w:rFonts w:ascii="David" w:eastAsia="Times New Roman" w:hAnsi="David" w:cs="David"/>
          <w:kern w:val="0"/>
          <w:sz w:val="28"/>
          <w:szCs w:val="28"/>
          <w:rtl/>
          <w14:ligatures w14:val="none"/>
        </w:rPr>
      </w:pPr>
    </w:p>
    <w:p w14:paraId="21D8530E" w14:textId="77777777" w:rsidR="00262AC6" w:rsidRDefault="00262AC6" w:rsidP="002D21DD">
      <w:pPr>
        <w:spacing w:before="100" w:beforeAutospacing="1" w:after="100" w:afterAutospacing="1" w:line="240" w:lineRule="auto"/>
        <w:rPr>
          <w:rFonts w:ascii="David" w:eastAsia="Times New Roman" w:hAnsi="David" w:cs="David" w:hint="cs"/>
          <w:kern w:val="0"/>
          <w:sz w:val="28"/>
          <w:szCs w:val="28"/>
          <w:rtl/>
          <w14:ligatures w14:val="none"/>
        </w:rPr>
      </w:pPr>
    </w:p>
    <w:p w14:paraId="61E294C7" w14:textId="292E6E0D" w:rsidR="003D7E43" w:rsidRPr="00262AC6" w:rsidRDefault="00262AC6" w:rsidP="00262AC6">
      <w:pPr>
        <w:pStyle w:val="a9"/>
        <w:numPr>
          <w:ilvl w:val="0"/>
          <w:numId w:val="7"/>
        </w:numPr>
        <w:spacing w:before="100" w:beforeAutospacing="1" w:after="100" w:afterAutospacing="1" w:line="240" w:lineRule="auto"/>
        <w:jc w:val="center"/>
        <w:rPr>
          <w:rFonts w:ascii="David" w:eastAsia="Times New Roman" w:hAnsi="David" w:cs="David"/>
          <w:kern w:val="0"/>
          <w:sz w:val="28"/>
          <w:szCs w:val="28"/>
          <w14:ligatures w14:val="none"/>
        </w:rPr>
      </w:pPr>
      <w:r>
        <w:rPr>
          <w:rFonts w:ascii="David" w:eastAsia="Times New Roman" w:hAnsi="David" w:cs="David" w:hint="cs"/>
          <w:kern w:val="0"/>
          <w:sz w:val="28"/>
          <w:szCs w:val="28"/>
          <w:rtl/>
          <w14:ligatures w14:val="none"/>
        </w:rPr>
        <w:lastRenderedPageBreak/>
        <w:t>3 -</w:t>
      </w:r>
    </w:p>
    <w:p w14:paraId="627DB324" w14:textId="65845608" w:rsidR="00A34CA8" w:rsidRPr="00A34CA8" w:rsidRDefault="00A34CA8" w:rsidP="00A34CA8">
      <w:pPr>
        <w:spacing w:before="100" w:beforeAutospacing="1" w:after="100" w:afterAutospacing="1" w:line="240" w:lineRule="auto"/>
        <w:outlineLvl w:val="0"/>
        <w:rPr>
          <w:rFonts w:ascii="David" w:eastAsia="Times New Roman" w:hAnsi="David" w:cs="David"/>
          <w:b/>
          <w:bCs/>
          <w:kern w:val="36"/>
          <w:sz w:val="28"/>
          <w:szCs w:val="28"/>
          <w14:ligatures w14:val="none"/>
        </w:rPr>
      </w:pPr>
      <w:r w:rsidRPr="00A34CA8">
        <w:rPr>
          <w:rFonts w:ascii="David" w:eastAsia="Times New Roman" w:hAnsi="David" w:cs="David"/>
          <w:b/>
          <w:bCs/>
          <w:kern w:val="36"/>
          <w:sz w:val="28"/>
          <w:szCs w:val="28"/>
          <w14:ligatures w14:val="none"/>
        </w:rPr>
        <w:t xml:space="preserve"> </w:t>
      </w:r>
      <w:r w:rsidRPr="00A34CA8">
        <w:rPr>
          <w:rFonts w:ascii="David" w:eastAsia="Times New Roman" w:hAnsi="David" w:cs="David"/>
          <w:b/>
          <w:bCs/>
          <w:kern w:val="36"/>
          <w:sz w:val="28"/>
          <w:szCs w:val="28"/>
          <w:rtl/>
          <w14:ligatures w14:val="none"/>
        </w:rPr>
        <w:t>ההתנגשות בין עמדת הייעוץ המשפטי לבין דרישת התאחדות קבלני מערכות</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3121"/>
        <w:gridCol w:w="3606"/>
      </w:tblGrid>
      <w:tr w:rsidR="00A34CA8" w:rsidRPr="00A34CA8" w14:paraId="28D644BB" w14:textId="77777777">
        <w:trPr>
          <w:tblHeader/>
          <w:tblCellSpacing w:w="15" w:type="dxa"/>
        </w:trPr>
        <w:tc>
          <w:tcPr>
            <w:tcW w:w="0" w:type="auto"/>
            <w:vAlign w:val="center"/>
            <w:hideMark/>
          </w:tcPr>
          <w:p w14:paraId="0B4E64CB" w14:textId="77777777" w:rsidR="00A34CA8" w:rsidRPr="00A34CA8" w:rsidRDefault="00A34CA8" w:rsidP="00A34CA8">
            <w:pPr>
              <w:spacing w:after="0" w:line="240" w:lineRule="auto"/>
              <w:jc w:val="center"/>
              <w:rPr>
                <w:rFonts w:ascii="David" w:eastAsia="Times New Roman" w:hAnsi="David" w:cs="David"/>
                <w:b/>
                <w:bCs/>
                <w:kern w:val="0"/>
                <w:sz w:val="28"/>
                <w:szCs w:val="28"/>
                <w14:ligatures w14:val="none"/>
              </w:rPr>
            </w:pPr>
            <w:r w:rsidRPr="00A34CA8">
              <w:rPr>
                <w:rFonts w:ascii="David" w:eastAsia="Times New Roman" w:hAnsi="David" w:cs="David"/>
                <w:b/>
                <w:bCs/>
                <w:kern w:val="0"/>
                <w:sz w:val="28"/>
                <w:szCs w:val="28"/>
                <w:rtl/>
                <w14:ligatures w14:val="none"/>
              </w:rPr>
              <w:t>סוגיה</w:t>
            </w:r>
          </w:p>
        </w:tc>
        <w:tc>
          <w:tcPr>
            <w:tcW w:w="0" w:type="auto"/>
            <w:vAlign w:val="center"/>
            <w:hideMark/>
          </w:tcPr>
          <w:p w14:paraId="597D64C2" w14:textId="77777777" w:rsidR="00A34CA8" w:rsidRPr="00A34CA8" w:rsidRDefault="00A34CA8" w:rsidP="00A34CA8">
            <w:pPr>
              <w:spacing w:after="0" w:line="240" w:lineRule="auto"/>
              <w:jc w:val="center"/>
              <w:rPr>
                <w:rFonts w:ascii="David" w:eastAsia="Times New Roman" w:hAnsi="David" w:cs="David"/>
                <w:b/>
                <w:bCs/>
                <w:kern w:val="0"/>
                <w:sz w:val="28"/>
                <w:szCs w:val="28"/>
                <w14:ligatures w14:val="none"/>
              </w:rPr>
            </w:pPr>
            <w:r w:rsidRPr="00A34CA8">
              <w:rPr>
                <w:rFonts w:ascii="David" w:eastAsia="Times New Roman" w:hAnsi="David" w:cs="David"/>
                <w:b/>
                <w:bCs/>
                <w:kern w:val="0"/>
                <w:sz w:val="28"/>
                <w:szCs w:val="28"/>
                <w:rtl/>
                <w14:ligatures w14:val="none"/>
              </w:rPr>
              <w:t>עמדת הייעוץ המשפטי לוועדה</w:t>
            </w:r>
          </w:p>
        </w:tc>
        <w:tc>
          <w:tcPr>
            <w:tcW w:w="0" w:type="auto"/>
            <w:vAlign w:val="center"/>
            <w:hideMark/>
          </w:tcPr>
          <w:p w14:paraId="3A8F5C57" w14:textId="77777777" w:rsidR="00A34CA8" w:rsidRPr="00A34CA8" w:rsidRDefault="00A34CA8" w:rsidP="00A34CA8">
            <w:pPr>
              <w:spacing w:after="0" w:line="240" w:lineRule="auto"/>
              <w:jc w:val="center"/>
              <w:rPr>
                <w:rFonts w:ascii="David" w:eastAsia="Times New Roman" w:hAnsi="David" w:cs="David"/>
                <w:b/>
                <w:bCs/>
                <w:kern w:val="0"/>
                <w:sz w:val="28"/>
                <w:szCs w:val="28"/>
                <w14:ligatures w14:val="none"/>
              </w:rPr>
            </w:pPr>
            <w:r w:rsidRPr="00A34CA8">
              <w:rPr>
                <w:rFonts w:ascii="David" w:eastAsia="Times New Roman" w:hAnsi="David" w:cs="David"/>
                <w:b/>
                <w:bCs/>
                <w:kern w:val="0"/>
                <w:sz w:val="28"/>
                <w:szCs w:val="28"/>
                <w:rtl/>
                <w14:ligatures w14:val="none"/>
              </w:rPr>
              <w:t>עמדת התאחדות קבלני מערכות</w:t>
            </w:r>
          </w:p>
        </w:tc>
      </w:tr>
      <w:tr w:rsidR="00A34CA8" w:rsidRPr="00A34CA8" w14:paraId="54A9BB00" w14:textId="77777777">
        <w:trPr>
          <w:tblCellSpacing w:w="15" w:type="dxa"/>
        </w:trPr>
        <w:tc>
          <w:tcPr>
            <w:tcW w:w="0" w:type="auto"/>
            <w:vAlign w:val="center"/>
            <w:hideMark/>
          </w:tcPr>
          <w:p w14:paraId="3F178C94"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זהות המבצע בפועל</w:t>
            </w:r>
          </w:p>
        </w:tc>
        <w:tc>
          <w:tcPr>
            <w:tcW w:w="0" w:type="auto"/>
            <w:vAlign w:val="center"/>
            <w:hideMark/>
          </w:tcPr>
          <w:p w14:paraId="0578F105"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אין התייחסות מפורשת</w:t>
            </w:r>
          </w:p>
        </w:tc>
        <w:tc>
          <w:tcPr>
            <w:tcW w:w="0" w:type="auto"/>
            <w:vAlign w:val="center"/>
            <w:hideMark/>
          </w:tcPr>
          <w:p w14:paraId="0BC30BD6"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חובה: רק קבלן רשום בסיווג 190 יבצע התקנת מערכות</w:t>
            </w:r>
          </w:p>
        </w:tc>
      </w:tr>
      <w:tr w:rsidR="00A34CA8" w:rsidRPr="00A34CA8" w14:paraId="40988E08" w14:textId="77777777">
        <w:trPr>
          <w:tblCellSpacing w:w="15" w:type="dxa"/>
        </w:trPr>
        <w:tc>
          <w:tcPr>
            <w:tcW w:w="0" w:type="auto"/>
            <w:vAlign w:val="center"/>
            <w:hideMark/>
          </w:tcPr>
          <w:p w14:paraId="0E77D9ED"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הזיקה לאישור</w:t>
            </w:r>
          </w:p>
        </w:tc>
        <w:tc>
          <w:tcPr>
            <w:tcW w:w="0" w:type="auto"/>
            <w:vAlign w:val="center"/>
            <w:hideMark/>
          </w:tcPr>
          <w:p w14:paraId="26F0144B"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התמקדות בזהות הגורם המאשר (מעבדה/מהנדס)</w:t>
            </w:r>
          </w:p>
        </w:tc>
        <w:tc>
          <w:tcPr>
            <w:tcW w:w="0" w:type="auto"/>
            <w:vAlign w:val="center"/>
            <w:hideMark/>
          </w:tcPr>
          <w:p w14:paraId="634747C0"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האישור צריך להיות מותנה בהצהרת קבלן רשום שביצע את ההתקנה</w:t>
            </w:r>
          </w:p>
        </w:tc>
      </w:tr>
      <w:tr w:rsidR="00A34CA8" w:rsidRPr="00A34CA8" w14:paraId="35340283" w14:textId="77777777">
        <w:trPr>
          <w:tblCellSpacing w:w="15" w:type="dxa"/>
        </w:trPr>
        <w:tc>
          <w:tcPr>
            <w:tcW w:w="0" w:type="auto"/>
            <w:vAlign w:val="center"/>
            <w:hideMark/>
          </w:tcPr>
          <w:p w14:paraId="378D975B"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מניעת ואקום רגולטורי</w:t>
            </w:r>
          </w:p>
        </w:tc>
        <w:tc>
          <w:tcPr>
            <w:tcW w:w="0" w:type="auto"/>
            <w:vAlign w:val="center"/>
            <w:hideMark/>
          </w:tcPr>
          <w:p w14:paraId="4DF45EB7"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דחיית מועדים לשמירת רציפות הוראות הנציב</w:t>
            </w:r>
          </w:p>
        </w:tc>
        <w:tc>
          <w:tcPr>
            <w:tcW w:w="0" w:type="auto"/>
            <w:vAlign w:val="center"/>
            <w:hideMark/>
          </w:tcPr>
          <w:p w14:paraId="32E27876" w14:textId="77777777" w:rsidR="00A34CA8" w:rsidRPr="00A34CA8" w:rsidRDefault="00A34CA8" w:rsidP="00A34CA8">
            <w:pPr>
              <w:spacing w:after="0"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רציפות ללא חובת סיווג מקצועי יוצרת הפקרות בשטח</w:t>
            </w:r>
          </w:p>
        </w:tc>
      </w:tr>
    </w:tbl>
    <w:p w14:paraId="2751258C" w14:textId="77777777" w:rsidR="00A34CA8" w:rsidRPr="00A34CA8" w:rsidRDefault="00A34CA8" w:rsidP="008D2EB2">
      <w:pPr>
        <w:spacing w:before="100" w:beforeAutospacing="1" w:after="100" w:afterAutospacing="1" w:line="240" w:lineRule="auto"/>
        <w:jc w:val="both"/>
        <w:rPr>
          <w:rFonts w:ascii="David" w:eastAsia="Times New Roman" w:hAnsi="David" w:cs="David"/>
          <w:b/>
          <w:bCs/>
          <w:color w:val="EE0000"/>
          <w:kern w:val="0"/>
          <w:sz w:val="28"/>
          <w:szCs w:val="28"/>
          <w14:ligatures w14:val="none"/>
        </w:rPr>
      </w:pPr>
      <w:r w:rsidRPr="00A34CA8">
        <w:rPr>
          <w:rFonts w:ascii="David" w:eastAsia="Times New Roman" w:hAnsi="David" w:cs="David"/>
          <w:b/>
          <w:bCs/>
          <w:color w:val="EE0000"/>
          <w:kern w:val="0"/>
          <w:sz w:val="28"/>
          <w:szCs w:val="28"/>
          <w:rtl/>
          <w14:ligatures w14:val="none"/>
        </w:rPr>
        <w:t>למעשה, כיום התקנות מחייבות גורם מקצועי לאשר את המערכת – אך אינן מחייבות גורם מקצועי להתקין אותה</w:t>
      </w:r>
      <w:r w:rsidRPr="00A34CA8">
        <w:rPr>
          <w:rFonts w:ascii="David" w:eastAsia="Times New Roman" w:hAnsi="David" w:cs="David"/>
          <w:b/>
          <w:bCs/>
          <w:color w:val="EE0000"/>
          <w:kern w:val="0"/>
          <w:sz w:val="28"/>
          <w:szCs w:val="28"/>
          <w14:ligatures w14:val="none"/>
        </w:rPr>
        <w:t>.</w:t>
      </w:r>
    </w:p>
    <w:p w14:paraId="6F1A2A0C" w14:textId="4D28D2E2" w:rsidR="00A34CA8" w:rsidRPr="00A34CA8" w:rsidRDefault="00A34CA8" w:rsidP="00A34CA8">
      <w:pPr>
        <w:spacing w:after="0" w:line="240" w:lineRule="auto"/>
        <w:rPr>
          <w:rFonts w:ascii="David" w:eastAsia="Times New Roman" w:hAnsi="David" w:cs="David"/>
          <w:kern w:val="0"/>
          <w:sz w:val="28"/>
          <w:szCs w:val="28"/>
          <w14:ligatures w14:val="none"/>
        </w:rPr>
      </w:pPr>
    </w:p>
    <w:p w14:paraId="59CC056B" w14:textId="5ACBBC09" w:rsidR="00A34CA8" w:rsidRPr="00A34CA8" w:rsidRDefault="003D7E43" w:rsidP="00A34CA8">
      <w:pPr>
        <w:spacing w:before="100" w:beforeAutospacing="1" w:after="100" w:afterAutospacing="1" w:line="240" w:lineRule="auto"/>
        <w:outlineLvl w:val="0"/>
        <w:rPr>
          <w:rFonts w:ascii="David" w:eastAsia="Times New Roman" w:hAnsi="David" w:cs="David"/>
          <w:b/>
          <w:bCs/>
          <w:kern w:val="36"/>
          <w:sz w:val="28"/>
          <w:szCs w:val="28"/>
          <w14:ligatures w14:val="none"/>
        </w:rPr>
      </w:pPr>
      <w:proofErr w:type="gramStart"/>
      <w:r>
        <w:rPr>
          <w:rFonts w:ascii="David" w:eastAsia="Times New Roman" w:hAnsi="David" w:cs="David"/>
          <w:b/>
          <w:bCs/>
          <w:kern w:val="36"/>
          <w:sz w:val="28"/>
          <w:szCs w:val="28"/>
          <w14:ligatures w14:val="none"/>
        </w:rPr>
        <w:t>4</w:t>
      </w:r>
      <w:r w:rsidR="00A34CA8" w:rsidRPr="00A34CA8">
        <w:rPr>
          <w:rFonts w:ascii="David" w:eastAsia="Times New Roman" w:hAnsi="David" w:cs="David"/>
          <w:b/>
          <w:bCs/>
          <w:kern w:val="36"/>
          <w:sz w:val="28"/>
          <w:szCs w:val="28"/>
          <w14:ligatures w14:val="none"/>
        </w:rPr>
        <w:t xml:space="preserve"> </w:t>
      </w:r>
      <w:r>
        <w:rPr>
          <w:rFonts w:ascii="David" w:eastAsia="Times New Roman" w:hAnsi="David" w:cs="David" w:hint="cs"/>
          <w:b/>
          <w:bCs/>
          <w:kern w:val="36"/>
          <w:sz w:val="28"/>
          <w:szCs w:val="28"/>
          <w:rtl/>
          <w14:ligatures w14:val="none"/>
        </w:rPr>
        <w:t xml:space="preserve"> .</w:t>
      </w:r>
      <w:proofErr w:type="gramEnd"/>
      <w:r>
        <w:rPr>
          <w:rFonts w:ascii="David" w:eastAsia="Times New Roman" w:hAnsi="David" w:cs="David" w:hint="cs"/>
          <w:b/>
          <w:bCs/>
          <w:kern w:val="36"/>
          <w:sz w:val="28"/>
          <w:szCs w:val="28"/>
          <w:rtl/>
          <w14:ligatures w14:val="none"/>
        </w:rPr>
        <w:t xml:space="preserve"> </w:t>
      </w:r>
      <w:r w:rsidR="00A34CA8" w:rsidRPr="00A34CA8">
        <w:rPr>
          <w:rFonts w:ascii="David" w:eastAsia="Times New Roman" w:hAnsi="David" w:cs="David"/>
          <w:b/>
          <w:bCs/>
          <w:kern w:val="36"/>
          <w:sz w:val="28"/>
          <w:szCs w:val="28"/>
          <w:rtl/>
          <w14:ligatures w14:val="none"/>
        </w:rPr>
        <w:t>הצעת תיקון לתקנה 126ז</w:t>
      </w:r>
    </w:p>
    <w:p w14:paraId="02F8CBD7" w14:textId="77777777" w:rsidR="00A34CA8" w:rsidRPr="00A34CA8" w:rsidRDefault="00A34CA8" w:rsidP="00A34CA8">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על מנת לגשר על הפער, מוצע להוסיף סעיף קטן לתקנה 126ז בנוסח הבא</w:t>
      </w:r>
      <w:r w:rsidRPr="00A34CA8">
        <w:rPr>
          <w:rFonts w:ascii="David" w:eastAsia="Times New Roman" w:hAnsi="David" w:cs="David"/>
          <w:kern w:val="0"/>
          <w:sz w:val="28"/>
          <w:szCs w:val="28"/>
          <w14:ligatures w14:val="none"/>
        </w:rPr>
        <w:t>:</w:t>
      </w:r>
    </w:p>
    <w:p w14:paraId="1DB0B526" w14:textId="77777777" w:rsidR="00A34CA8" w:rsidRPr="00A34CA8" w:rsidRDefault="00A34CA8" w:rsidP="00A34CA8">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b/>
          <w:bCs/>
          <w:kern w:val="0"/>
          <w:sz w:val="28"/>
          <w:szCs w:val="28"/>
          <w14:ligatures w14:val="none"/>
        </w:rPr>
        <w:t>126</w:t>
      </w:r>
      <w:r w:rsidRPr="00A34CA8">
        <w:rPr>
          <w:rFonts w:ascii="David" w:eastAsia="Times New Roman" w:hAnsi="David" w:cs="David"/>
          <w:b/>
          <w:bCs/>
          <w:kern w:val="0"/>
          <w:sz w:val="28"/>
          <w:szCs w:val="28"/>
          <w:rtl/>
          <w14:ligatures w14:val="none"/>
        </w:rPr>
        <w:t>ז(ד)</w:t>
      </w:r>
      <w:r w:rsidRPr="00A34CA8">
        <w:rPr>
          <w:rFonts w:ascii="David" w:eastAsia="Times New Roman" w:hAnsi="David" w:cs="David"/>
          <w:b/>
          <w:bCs/>
          <w:kern w:val="0"/>
          <w:sz w:val="28"/>
          <w:szCs w:val="28"/>
          <w14:ligatures w14:val="none"/>
        </w:rPr>
        <w:t>:</w:t>
      </w:r>
    </w:p>
    <w:p w14:paraId="1F223592" w14:textId="77777777" w:rsidR="00A34CA8" w:rsidRPr="00A34CA8" w:rsidRDefault="00A34CA8" w:rsidP="002D21DD">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14:ligatures w14:val="none"/>
        </w:rPr>
        <w:t>"</w:t>
      </w:r>
      <w:r w:rsidRPr="00A34CA8">
        <w:rPr>
          <w:rFonts w:ascii="David" w:eastAsia="Times New Roman" w:hAnsi="David" w:cs="David"/>
          <w:b/>
          <w:bCs/>
          <w:color w:val="EE0000"/>
          <w:kern w:val="0"/>
          <w:sz w:val="28"/>
          <w:szCs w:val="28"/>
          <w:rtl/>
          <w14:ligatures w14:val="none"/>
        </w:rPr>
        <w:t>לא יינתן אישור עמידה בתקן למערכת בטיחות אש, אלא אם הוגשה לגורם המאשר הצהרה חתומה על ידי קבלן רשום בסיווג 190 (מערכות כיבוי אש ואינסטלציה), המאשרת כי המערכת הותקנה על ידו ובהתאם להוראות הדין</w:t>
      </w:r>
      <w:r w:rsidRPr="00A34CA8">
        <w:rPr>
          <w:rFonts w:ascii="David" w:eastAsia="Times New Roman" w:hAnsi="David" w:cs="David"/>
          <w:b/>
          <w:bCs/>
          <w:color w:val="EE0000"/>
          <w:kern w:val="0"/>
          <w:sz w:val="28"/>
          <w:szCs w:val="28"/>
          <w14:ligatures w14:val="none"/>
        </w:rPr>
        <w:t>."</w:t>
      </w:r>
    </w:p>
    <w:p w14:paraId="7E6DE672" w14:textId="77777777" w:rsidR="00A34CA8" w:rsidRPr="00A34CA8" w:rsidRDefault="00A34CA8" w:rsidP="00A34CA8">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תיקון זה ייצור זיקה ישירה בין שלושת מרכיבי הבטיחות</w:t>
      </w:r>
      <w:r w:rsidRPr="00A34CA8">
        <w:rPr>
          <w:rFonts w:ascii="David" w:eastAsia="Times New Roman" w:hAnsi="David" w:cs="David"/>
          <w:kern w:val="0"/>
          <w:sz w:val="28"/>
          <w:szCs w:val="28"/>
          <w14:ligatures w14:val="none"/>
        </w:rPr>
        <w:t>:</w:t>
      </w:r>
    </w:p>
    <w:p w14:paraId="592E9D65" w14:textId="77777777" w:rsidR="00A34CA8" w:rsidRPr="00A34CA8" w:rsidRDefault="00A34CA8" w:rsidP="00A34CA8">
      <w:pPr>
        <w:numPr>
          <w:ilvl w:val="0"/>
          <w:numId w:val="4"/>
        </w:num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זהות המבצע (קבלן רשום ומוסמך)</w:t>
      </w:r>
    </w:p>
    <w:p w14:paraId="6C5920CD" w14:textId="77777777" w:rsidR="00A34CA8" w:rsidRPr="00A34CA8" w:rsidRDefault="00A34CA8" w:rsidP="00A34CA8">
      <w:pPr>
        <w:numPr>
          <w:ilvl w:val="0"/>
          <w:numId w:val="4"/>
        </w:num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בדיקה מקצועית (מעבדה מוסמכת)</w:t>
      </w:r>
    </w:p>
    <w:p w14:paraId="324C5501" w14:textId="77777777" w:rsidR="00A34CA8" w:rsidRPr="00A34CA8" w:rsidRDefault="00A34CA8" w:rsidP="00A34CA8">
      <w:pPr>
        <w:numPr>
          <w:ilvl w:val="0"/>
          <w:numId w:val="4"/>
        </w:num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אישור הנדסי</w:t>
      </w:r>
    </w:p>
    <w:p w14:paraId="3565DD02" w14:textId="322F0D2E" w:rsidR="00A34CA8" w:rsidRDefault="00A34CA8" w:rsidP="00A34CA8">
      <w:pPr>
        <w:spacing w:after="0" w:line="240" w:lineRule="auto"/>
        <w:rPr>
          <w:rFonts w:ascii="David" w:eastAsia="Times New Roman" w:hAnsi="David" w:cs="David"/>
          <w:kern w:val="0"/>
          <w:sz w:val="28"/>
          <w:szCs w:val="28"/>
          <w:rtl/>
          <w14:ligatures w14:val="none"/>
        </w:rPr>
      </w:pPr>
    </w:p>
    <w:p w14:paraId="03E71754" w14:textId="77777777" w:rsidR="003D7E43" w:rsidRDefault="003D7E43" w:rsidP="00A34CA8">
      <w:pPr>
        <w:spacing w:after="0" w:line="240" w:lineRule="auto"/>
        <w:rPr>
          <w:rFonts w:ascii="David" w:eastAsia="Times New Roman" w:hAnsi="David" w:cs="David"/>
          <w:kern w:val="0"/>
          <w:sz w:val="28"/>
          <w:szCs w:val="28"/>
          <w:rtl/>
          <w14:ligatures w14:val="none"/>
        </w:rPr>
      </w:pPr>
    </w:p>
    <w:p w14:paraId="0A342F7C" w14:textId="77777777" w:rsidR="003D7E43" w:rsidRDefault="003D7E43" w:rsidP="00A34CA8">
      <w:pPr>
        <w:spacing w:after="0" w:line="240" w:lineRule="auto"/>
        <w:rPr>
          <w:rFonts w:ascii="David" w:eastAsia="Times New Roman" w:hAnsi="David" w:cs="David"/>
          <w:kern w:val="0"/>
          <w:sz w:val="28"/>
          <w:szCs w:val="28"/>
          <w:rtl/>
          <w14:ligatures w14:val="none"/>
        </w:rPr>
      </w:pPr>
    </w:p>
    <w:p w14:paraId="32A68EB3" w14:textId="77777777" w:rsidR="003D7E43" w:rsidRDefault="003D7E43" w:rsidP="00A34CA8">
      <w:pPr>
        <w:spacing w:after="0" w:line="240" w:lineRule="auto"/>
        <w:rPr>
          <w:rFonts w:ascii="David" w:eastAsia="Times New Roman" w:hAnsi="David" w:cs="David"/>
          <w:kern w:val="0"/>
          <w:sz w:val="28"/>
          <w:szCs w:val="28"/>
          <w:rtl/>
          <w14:ligatures w14:val="none"/>
        </w:rPr>
      </w:pPr>
    </w:p>
    <w:p w14:paraId="09FA4D7B" w14:textId="77777777" w:rsidR="003D7E43" w:rsidRDefault="003D7E43" w:rsidP="00A34CA8">
      <w:pPr>
        <w:spacing w:after="0" w:line="240" w:lineRule="auto"/>
        <w:rPr>
          <w:rFonts w:ascii="David" w:eastAsia="Times New Roman" w:hAnsi="David" w:cs="David"/>
          <w:kern w:val="0"/>
          <w:sz w:val="28"/>
          <w:szCs w:val="28"/>
          <w:rtl/>
          <w14:ligatures w14:val="none"/>
        </w:rPr>
      </w:pPr>
    </w:p>
    <w:p w14:paraId="4D69E308" w14:textId="77777777" w:rsidR="00262AC6" w:rsidRDefault="00262AC6" w:rsidP="00A34CA8">
      <w:pPr>
        <w:spacing w:after="0" w:line="240" w:lineRule="auto"/>
        <w:rPr>
          <w:rFonts w:ascii="David" w:eastAsia="Times New Roman" w:hAnsi="David" w:cs="David"/>
          <w:kern w:val="0"/>
          <w:sz w:val="28"/>
          <w:szCs w:val="28"/>
          <w:rtl/>
          <w14:ligatures w14:val="none"/>
        </w:rPr>
      </w:pPr>
    </w:p>
    <w:p w14:paraId="575B8155" w14:textId="77777777" w:rsidR="00262AC6" w:rsidRDefault="00262AC6" w:rsidP="00A34CA8">
      <w:pPr>
        <w:spacing w:after="0" w:line="240" w:lineRule="auto"/>
        <w:rPr>
          <w:rFonts w:ascii="David" w:eastAsia="Times New Roman" w:hAnsi="David" w:cs="David"/>
          <w:kern w:val="0"/>
          <w:sz w:val="28"/>
          <w:szCs w:val="28"/>
          <w:rtl/>
          <w14:ligatures w14:val="none"/>
        </w:rPr>
      </w:pPr>
    </w:p>
    <w:p w14:paraId="25A5DE66" w14:textId="07469FF3" w:rsidR="003D7E43" w:rsidRPr="00262AC6" w:rsidRDefault="00262AC6" w:rsidP="00262AC6">
      <w:pPr>
        <w:pStyle w:val="a9"/>
        <w:numPr>
          <w:ilvl w:val="0"/>
          <w:numId w:val="7"/>
        </w:numPr>
        <w:spacing w:after="0" w:line="240" w:lineRule="auto"/>
        <w:jc w:val="center"/>
        <w:rPr>
          <w:rFonts w:ascii="David" w:eastAsia="Times New Roman" w:hAnsi="David" w:cs="David"/>
          <w:kern w:val="0"/>
          <w:sz w:val="28"/>
          <w:szCs w:val="28"/>
          <w:rtl/>
          <w14:ligatures w14:val="none"/>
        </w:rPr>
      </w:pPr>
      <w:r>
        <w:rPr>
          <w:rFonts w:ascii="David" w:eastAsia="Times New Roman" w:hAnsi="David" w:cs="David" w:hint="cs"/>
          <w:kern w:val="0"/>
          <w:sz w:val="28"/>
          <w:szCs w:val="28"/>
          <w:rtl/>
          <w14:ligatures w14:val="none"/>
        </w:rPr>
        <w:lastRenderedPageBreak/>
        <w:t>4 -</w:t>
      </w:r>
    </w:p>
    <w:p w14:paraId="455BA478" w14:textId="77777777" w:rsidR="003D7E43" w:rsidRPr="00A34CA8" w:rsidRDefault="003D7E43" w:rsidP="00A34CA8">
      <w:pPr>
        <w:spacing w:after="0" w:line="240" w:lineRule="auto"/>
        <w:rPr>
          <w:rFonts w:ascii="David" w:eastAsia="Times New Roman" w:hAnsi="David" w:cs="David"/>
          <w:kern w:val="0"/>
          <w:sz w:val="28"/>
          <w:szCs w:val="28"/>
          <w14:ligatures w14:val="none"/>
        </w:rPr>
      </w:pPr>
    </w:p>
    <w:p w14:paraId="1FDC60CF" w14:textId="5929B883" w:rsidR="00A34CA8" w:rsidRPr="00A34CA8" w:rsidRDefault="00A34CA8" w:rsidP="00A34CA8">
      <w:pPr>
        <w:spacing w:before="100" w:beforeAutospacing="1" w:after="100" w:afterAutospacing="1" w:line="240" w:lineRule="auto"/>
        <w:outlineLvl w:val="0"/>
        <w:rPr>
          <w:rFonts w:ascii="David" w:eastAsia="Times New Roman" w:hAnsi="David" w:cs="David"/>
          <w:b/>
          <w:bCs/>
          <w:kern w:val="36"/>
          <w:sz w:val="28"/>
          <w:szCs w:val="28"/>
          <w14:ligatures w14:val="none"/>
        </w:rPr>
      </w:pPr>
      <w:proofErr w:type="gramStart"/>
      <w:r w:rsidRPr="00A34CA8">
        <w:rPr>
          <w:rFonts w:ascii="David" w:eastAsia="Times New Roman" w:hAnsi="David" w:cs="David"/>
          <w:b/>
          <w:bCs/>
          <w:kern w:val="36"/>
          <w:sz w:val="28"/>
          <w:szCs w:val="28"/>
          <w14:ligatures w14:val="none"/>
        </w:rPr>
        <w:t>5</w:t>
      </w:r>
      <w:r w:rsidR="00262AC6">
        <w:rPr>
          <w:rFonts w:ascii="David" w:eastAsia="Times New Roman" w:hAnsi="David" w:cs="David" w:hint="cs"/>
          <w:b/>
          <w:bCs/>
          <w:kern w:val="36"/>
          <w:sz w:val="28"/>
          <w:szCs w:val="28"/>
          <w:rtl/>
          <w14:ligatures w14:val="none"/>
        </w:rPr>
        <w:t xml:space="preserve"> .</w:t>
      </w:r>
      <w:r w:rsidRPr="00A34CA8">
        <w:rPr>
          <w:rFonts w:ascii="David" w:eastAsia="Times New Roman" w:hAnsi="David" w:cs="David"/>
          <w:b/>
          <w:bCs/>
          <w:kern w:val="36"/>
          <w:sz w:val="28"/>
          <w:szCs w:val="28"/>
          <w:rtl/>
          <w14:ligatures w14:val="none"/>
        </w:rPr>
        <w:t>שאלות</w:t>
      </w:r>
      <w:proofErr w:type="gramEnd"/>
      <w:r w:rsidRPr="00A34CA8">
        <w:rPr>
          <w:rFonts w:ascii="David" w:eastAsia="Times New Roman" w:hAnsi="David" w:cs="David"/>
          <w:b/>
          <w:bCs/>
          <w:kern w:val="36"/>
          <w:sz w:val="28"/>
          <w:szCs w:val="28"/>
          <w:rtl/>
          <w14:ligatures w14:val="none"/>
        </w:rPr>
        <w:t xml:space="preserve"> מהותיות לדיון בוועדה</w:t>
      </w:r>
    </w:p>
    <w:p w14:paraId="647A98D3" w14:textId="77777777" w:rsidR="00A34CA8" w:rsidRPr="00A34CA8" w:rsidRDefault="00A34CA8" w:rsidP="00A34CA8">
      <w:pPr>
        <w:spacing w:before="100" w:beforeAutospacing="1" w:after="100" w:afterAutospacing="1" w:line="240" w:lineRule="auto"/>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בהקשר זה מתבקשת הוועדה לבחון מספר שאלות יסוד</w:t>
      </w:r>
      <w:r w:rsidRPr="00A34CA8">
        <w:rPr>
          <w:rFonts w:ascii="David" w:eastAsia="Times New Roman" w:hAnsi="David" w:cs="David"/>
          <w:kern w:val="0"/>
          <w:sz w:val="28"/>
          <w:szCs w:val="28"/>
          <w14:ligatures w14:val="none"/>
        </w:rPr>
        <w:t>:</w:t>
      </w:r>
    </w:p>
    <w:p w14:paraId="4E45B643" w14:textId="77777777" w:rsidR="00A34CA8" w:rsidRPr="00A34CA8" w:rsidRDefault="00A34CA8" w:rsidP="00A34CA8">
      <w:pPr>
        <w:spacing w:before="100" w:beforeAutospacing="1" w:after="100" w:afterAutospacing="1" w:line="240" w:lineRule="auto"/>
        <w:outlineLvl w:val="2"/>
        <w:rPr>
          <w:rFonts w:ascii="David" w:eastAsia="Times New Roman" w:hAnsi="David" w:cs="David"/>
          <w:b/>
          <w:bCs/>
          <w:kern w:val="0"/>
          <w:sz w:val="28"/>
          <w:szCs w:val="28"/>
          <w14:ligatures w14:val="none"/>
        </w:rPr>
      </w:pPr>
      <w:r w:rsidRPr="00A34CA8">
        <w:rPr>
          <w:rFonts w:ascii="David" w:eastAsia="Times New Roman" w:hAnsi="David" w:cs="David"/>
          <w:b/>
          <w:bCs/>
          <w:kern w:val="0"/>
          <w:sz w:val="28"/>
          <w:szCs w:val="28"/>
          <w:rtl/>
          <w14:ligatures w14:val="none"/>
        </w:rPr>
        <w:t>שאלת הבטיחות</w:t>
      </w:r>
    </w:p>
    <w:p w14:paraId="636DF97C" w14:textId="77777777" w:rsidR="00A34CA8" w:rsidRPr="003D7E43" w:rsidRDefault="00A34CA8" w:rsidP="003D7E43">
      <w:pPr>
        <w:pStyle w:val="a9"/>
        <w:numPr>
          <w:ilvl w:val="0"/>
          <w:numId w:val="6"/>
        </w:numPr>
        <w:spacing w:before="100" w:beforeAutospacing="1" w:after="100" w:afterAutospacing="1" w:line="240" w:lineRule="auto"/>
        <w:jc w:val="both"/>
        <w:rPr>
          <w:rFonts w:ascii="David" w:eastAsia="Times New Roman" w:hAnsi="David" w:cs="David"/>
          <w:kern w:val="0"/>
          <w:sz w:val="28"/>
          <w:szCs w:val="28"/>
          <w14:ligatures w14:val="none"/>
        </w:rPr>
      </w:pPr>
      <w:r w:rsidRPr="003D7E43">
        <w:rPr>
          <w:rFonts w:ascii="David" w:eastAsia="Times New Roman" w:hAnsi="David" w:cs="David"/>
          <w:kern w:val="0"/>
          <w:sz w:val="28"/>
          <w:szCs w:val="28"/>
          <w:rtl/>
          <w14:ligatures w14:val="none"/>
        </w:rPr>
        <w:t>כיצד ניתן להסביר מצב רגולטורי שבו התקנות מחייבות מהנדס לאישור ומעבדה לבדיקה – אך אינן מחייבות שההתקנה עצמה תבוצע על ידי קבלן רשום ומוסמך</w:t>
      </w:r>
      <w:r w:rsidRPr="003D7E43">
        <w:rPr>
          <w:rFonts w:ascii="David" w:eastAsia="Times New Roman" w:hAnsi="David" w:cs="David"/>
          <w:kern w:val="0"/>
          <w:sz w:val="28"/>
          <w:szCs w:val="28"/>
          <w14:ligatures w14:val="none"/>
        </w:rPr>
        <w:t>?</w:t>
      </w:r>
    </w:p>
    <w:p w14:paraId="0D08FF63" w14:textId="77777777" w:rsidR="00A34CA8" w:rsidRPr="003D7E43" w:rsidRDefault="00A34CA8" w:rsidP="003D7E43">
      <w:pPr>
        <w:pStyle w:val="a9"/>
        <w:spacing w:before="100" w:beforeAutospacing="1" w:after="100" w:afterAutospacing="1" w:line="240" w:lineRule="auto"/>
        <w:jc w:val="both"/>
        <w:outlineLvl w:val="2"/>
        <w:rPr>
          <w:rFonts w:ascii="David" w:eastAsia="Times New Roman" w:hAnsi="David" w:cs="David"/>
          <w:b/>
          <w:bCs/>
          <w:kern w:val="0"/>
          <w:sz w:val="28"/>
          <w:szCs w:val="28"/>
          <w14:ligatures w14:val="none"/>
        </w:rPr>
      </w:pPr>
      <w:r w:rsidRPr="003D7E43">
        <w:rPr>
          <w:rFonts w:ascii="David" w:eastAsia="Times New Roman" w:hAnsi="David" w:cs="David"/>
          <w:b/>
          <w:bCs/>
          <w:kern w:val="0"/>
          <w:sz w:val="28"/>
          <w:szCs w:val="28"/>
          <w:rtl/>
          <w14:ligatures w14:val="none"/>
        </w:rPr>
        <w:t>שאלת הזיקה המשפטית</w:t>
      </w:r>
    </w:p>
    <w:p w14:paraId="2D3A3DAD" w14:textId="77777777" w:rsidR="00A34CA8" w:rsidRPr="003D7E43" w:rsidRDefault="00A34CA8" w:rsidP="003D7E43">
      <w:pPr>
        <w:pStyle w:val="a9"/>
        <w:numPr>
          <w:ilvl w:val="0"/>
          <w:numId w:val="6"/>
        </w:numPr>
        <w:spacing w:before="100" w:beforeAutospacing="1" w:after="100" w:afterAutospacing="1" w:line="240" w:lineRule="auto"/>
        <w:jc w:val="both"/>
        <w:rPr>
          <w:rFonts w:ascii="David" w:eastAsia="Times New Roman" w:hAnsi="David" w:cs="David"/>
          <w:kern w:val="0"/>
          <w:sz w:val="28"/>
          <w:szCs w:val="28"/>
          <w14:ligatures w14:val="none"/>
        </w:rPr>
      </w:pPr>
      <w:r w:rsidRPr="003D7E43">
        <w:rPr>
          <w:rFonts w:ascii="David" w:eastAsia="Times New Roman" w:hAnsi="David" w:cs="David"/>
          <w:kern w:val="0"/>
          <w:sz w:val="28"/>
          <w:szCs w:val="28"/>
          <w:rtl/>
          <w14:ligatures w14:val="none"/>
        </w:rPr>
        <w:t>מדוע לא ליצור זיקה בין תקנות בטיחות האש לבין חוק רישום קבלנים, כך שאישור בטיחות יהיה מותנה בהוכחת ביצוע על ידי קבלן בעל סיווג מתאים</w:t>
      </w:r>
      <w:r w:rsidRPr="003D7E43">
        <w:rPr>
          <w:rFonts w:ascii="David" w:eastAsia="Times New Roman" w:hAnsi="David" w:cs="David"/>
          <w:kern w:val="0"/>
          <w:sz w:val="28"/>
          <w:szCs w:val="28"/>
          <w14:ligatures w14:val="none"/>
        </w:rPr>
        <w:t xml:space="preserve"> (190)?</w:t>
      </w:r>
    </w:p>
    <w:p w14:paraId="2E5CDEFB" w14:textId="77777777" w:rsidR="00A34CA8" w:rsidRPr="003D7E43" w:rsidRDefault="00A34CA8" w:rsidP="003D7E43">
      <w:pPr>
        <w:pStyle w:val="a9"/>
        <w:spacing w:before="100" w:beforeAutospacing="1" w:after="100" w:afterAutospacing="1" w:line="240" w:lineRule="auto"/>
        <w:jc w:val="both"/>
        <w:outlineLvl w:val="2"/>
        <w:rPr>
          <w:rFonts w:ascii="David" w:eastAsia="Times New Roman" w:hAnsi="David" w:cs="David"/>
          <w:b/>
          <w:bCs/>
          <w:kern w:val="0"/>
          <w:sz w:val="28"/>
          <w:szCs w:val="28"/>
          <w14:ligatures w14:val="none"/>
        </w:rPr>
      </w:pPr>
      <w:r w:rsidRPr="003D7E43">
        <w:rPr>
          <w:rFonts w:ascii="David" w:eastAsia="Times New Roman" w:hAnsi="David" w:cs="David"/>
          <w:b/>
          <w:bCs/>
          <w:kern w:val="0"/>
          <w:sz w:val="28"/>
          <w:szCs w:val="28"/>
          <w:rtl/>
          <w14:ligatures w14:val="none"/>
        </w:rPr>
        <w:t>שאלת האחריות</w:t>
      </w:r>
    </w:p>
    <w:p w14:paraId="7ADF84FD" w14:textId="37A7CB6A" w:rsidR="00A34CA8" w:rsidRPr="003D7E43" w:rsidRDefault="00A34CA8" w:rsidP="003D7E43">
      <w:pPr>
        <w:pStyle w:val="a9"/>
        <w:numPr>
          <w:ilvl w:val="0"/>
          <w:numId w:val="6"/>
        </w:numPr>
        <w:spacing w:before="100" w:beforeAutospacing="1" w:after="100" w:afterAutospacing="1" w:line="240" w:lineRule="auto"/>
        <w:jc w:val="both"/>
        <w:rPr>
          <w:rFonts w:ascii="David" w:eastAsia="Times New Roman" w:hAnsi="David" w:cs="David" w:hint="cs"/>
          <w:kern w:val="0"/>
          <w:sz w:val="28"/>
          <w:szCs w:val="28"/>
          <w:rtl/>
          <w14:ligatures w14:val="none"/>
        </w:rPr>
      </w:pPr>
      <w:r w:rsidRPr="003D7E43">
        <w:rPr>
          <w:rFonts w:ascii="David" w:eastAsia="Times New Roman" w:hAnsi="David" w:cs="David"/>
          <w:kern w:val="0"/>
          <w:sz w:val="28"/>
          <w:szCs w:val="28"/>
          <w:rtl/>
          <w14:ligatures w14:val="none"/>
        </w:rPr>
        <w:t>במקרה של כשל במערכת בעת שריפה – מי נושא באחריות אם המערכת הותקנה בפועל על ידי גורם שאינו קבלן רשום</w:t>
      </w:r>
      <w:r w:rsidRPr="003D7E43">
        <w:rPr>
          <w:rFonts w:ascii="David" w:eastAsia="Times New Roman" w:hAnsi="David" w:cs="David"/>
          <w:kern w:val="0"/>
          <w:sz w:val="28"/>
          <w:szCs w:val="28"/>
          <w14:ligatures w14:val="none"/>
        </w:rPr>
        <w:t>?</w:t>
      </w:r>
    </w:p>
    <w:p w14:paraId="6BFDD532" w14:textId="5AE971C6" w:rsidR="00A34CA8" w:rsidRPr="00A34CA8" w:rsidRDefault="00A34CA8" w:rsidP="00A34CA8">
      <w:pPr>
        <w:spacing w:after="0" w:line="240" w:lineRule="auto"/>
        <w:rPr>
          <w:rFonts w:ascii="Times New Roman" w:eastAsia="Times New Roman" w:hAnsi="Times New Roman" w:cs="Times New Roman"/>
          <w:kern w:val="0"/>
          <w14:ligatures w14:val="none"/>
        </w:rPr>
      </w:pPr>
    </w:p>
    <w:p w14:paraId="03E8BF9A" w14:textId="77777777" w:rsidR="00A34CA8" w:rsidRPr="00A34CA8" w:rsidRDefault="00A34CA8" w:rsidP="00262AC6">
      <w:pPr>
        <w:spacing w:before="100" w:beforeAutospacing="1" w:after="100" w:afterAutospacing="1" w:line="240" w:lineRule="auto"/>
        <w:jc w:val="both"/>
        <w:outlineLvl w:val="0"/>
        <w:rPr>
          <w:rFonts w:ascii="David" w:eastAsia="Times New Roman" w:hAnsi="David" w:cs="David"/>
          <w:b/>
          <w:bCs/>
          <w:kern w:val="36"/>
          <w:sz w:val="32"/>
          <w:szCs w:val="32"/>
          <w14:ligatures w14:val="none"/>
        </w:rPr>
      </w:pPr>
      <w:r w:rsidRPr="00A34CA8">
        <w:rPr>
          <w:rFonts w:ascii="David" w:eastAsia="Times New Roman" w:hAnsi="David" w:cs="David"/>
          <w:b/>
          <w:bCs/>
          <w:kern w:val="36"/>
          <w:sz w:val="32"/>
          <w:szCs w:val="32"/>
          <w:rtl/>
          <w14:ligatures w14:val="none"/>
        </w:rPr>
        <w:t>סיכום</w:t>
      </w:r>
    </w:p>
    <w:p w14:paraId="130B21BC" w14:textId="77777777" w:rsidR="00A34CA8" w:rsidRPr="00A34CA8" w:rsidRDefault="00A34CA8" w:rsidP="00262AC6">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התקנות במתכונתן הנוכחית יוצרות פער בין פיקוח על האישור לבין פיקוח על הביצוע</w:t>
      </w:r>
      <w:r w:rsidRPr="00A34CA8">
        <w:rPr>
          <w:rFonts w:ascii="David" w:eastAsia="Times New Roman" w:hAnsi="David" w:cs="David"/>
          <w:kern w:val="0"/>
          <w:sz w:val="28"/>
          <w:szCs w:val="28"/>
          <w14:ligatures w14:val="none"/>
        </w:rPr>
        <w:t>.</w:t>
      </w:r>
    </w:p>
    <w:p w14:paraId="2D19D1E9" w14:textId="77777777" w:rsidR="00A34CA8" w:rsidRPr="00A34CA8" w:rsidRDefault="00A34CA8" w:rsidP="00262AC6">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פער זה ניתן לגישור באמצעות תיקון קצר וממוקד שייצור זיקה בין אישור מערכת בטיחות אש לבין התקנתה על ידי קבלן רשום ומוסמך</w:t>
      </w:r>
      <w:r w:rsidRPr="00A34CA8">
        <w:rPr>
          <w:rFonts w:ascii="David" w:eastAsia="Times New Roman" w:hAnsi="David" w:cs="David"/>
          <w:kern w:val="0"/>
          <w:sz w:val="28"/>
          <w:szCs w:val="28"/>
          <w14:ligatures w14:val="none"/>
        </w:rPr>
        <w:t>.</w:t>
      </w:r>
    </w:p>
    <w:p w14:paraId="52969C5A" w14:textId="77777777" w:rsidR="00A34CA8" w:rsidRPr="00A34CA8" w:rsidRDefault="00A34CA8" w:rsidP="00262AC6">
      <w:pPr>
        <w:spacing w:before="100" w:beforeAutospacing="1" w:after="100" w:afterAutospacing="1" w:line="240" w:lineRule="auto"/>
        <w:jc w:val="both"/>
        <w:rPr>
          <w:rFonts w:ascii="David" w:eastAsia="Times New Roman" w:hAnsi="David" w:cs="David"/>
          <w:kern w:val="0"/>
          <w:sz w:val="28"/>
          <w:szCs w:val="28"/>
          <w14:ligatures w14:val="none"/>
        </w:rPr>
      </w:pPr>
      <w:r w:rsidRPr="00A34CA8">
        <w:rPr>
          <w:rFonts w:ascii="David" w:eastAsia="Times New Roman" w:hAnsi="David" w:cs="David"/>
          <w:kern w:val="0"/>
          <w:sz w:val="28"/>
          <w:szCs w:val="28"/>
          <w:rtl/>
          <w14:ligatures w14:val="none"/>
        </w:rPr>
        <w:t>תיקון כזה יחזק את רמת הבטיחות במבנים – במיוחד במגדלים רבי-קומות – ויבטיח כי מערכות בטיחות אש, שהן קו ההגנה האחרון בעת חירום, יותקנו על ידי גורמים מקצועיים בלבד</w:t>
      </w:r>
      <w:r w:rsidRPr="00A34CA8">
        <w:rPr>
          <w:rFonts w:ascii="David" w:eastAsia="Times New Roman" w:hAnsi="David" w:cs="David"/>
          <w:kern w:val="0"/>
          <w:sz w:val="28"/>
          <w:szCs w:val="28"/>
          <w14:ligatures w14:val="none"/>
        </w:rPr>
        <w:t>.</w:t>
      </w:r>
    </w:p>
    <w:p w14:paraId="64F79EC0" w14:textId="70B46487" w:rsidR="00262AC6" w:rsidRPr="00262AC6" w:rsidRDefault="0011392E" w:rsidP="00262AC6">
      <w:pPr>
        <w:jc w:val="right"/>
        <w:rPr>
          <w:rFonts w:ascii="David" w:eastAsia="Times New Roman" w:hAnsi="David" w:cs="David"/>
          <w:b/>
          <w:bCs/>
          <w:kern w:val="0"/>
          <w:sz w:val="28"/>
          <w:szCs w:val="28"/>
          <w:rtl/>
          <w14:ligatures w14:val="none"/>
        </w:rPr>
      </w:pPr>
      <w:r>
        <w:rPr>
          <w:b/>
          <w:bCs/>
          <w:noProof/>
        </w:rPr>
        <w:drawing>
          <wp:anchor distT="0" distB="0" distL="114300" distR="114300" simplePos="0" relativeHeight="251659264" behindDoc="0" locked="0" layoutInCell="1" allowOverlap="1" wp14:anchorId="017C5A05" wp14:editId="538175B2">
            <wp:simplePos x="0" y="0"/>
            <wp:positionH relativeFrom="column">
              <wp:posOffset>-482600</wp:posOffset>
            </wp:positionH>
            <wp:positionV relativeFrom="paragraph">
              <wp:posOffset>269240</wp:posOffset>
            </wp:positionV>
            <wp:extent cx="1535430" cy="699770"/>
            <wp:effectExtent l="0" t="0" r="0" b="0"/>
            <wp:wrapNone/>
            <wp:docPr id="1820807575" name="תמונה 182080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5430" cy="699770"/>
                    </a:xfrm>
                    <a:prstGeom prst="rect">
                      <a:avLst/>
                    </a:prstGeom>
                  </pic:spPr>
                </pic:pic>
              </a:graphicData>
            </a:graphic>
            <wp14:sizeRelH relativeFrom="margin">
              <wp14:pctWidth>0</wp14:pctWidth>
            </wp14:sizeRelH>
            <wp14:sizeRelV relativeFrom="margin">
              <wp14:pctHeight>0</wp14:pctHeight>
            </wp14:sizeRelV>
          </wp:anchor>
        </w:drawing>
      </w:r>
      <w:r w:rsidR="00262AC6" w:rsidRPr="00262AC6">
        <w:rPr>
          <w:rFonts w:ascii="David" w:eastAsia="Times New Roman" w:hAnsi="David" w:cs="David"/>
          <w:b/>
          <w:bCs/>
          <w:kern w:val="0"/>
          <w:sz w:val="28"/>
          <w:szCs w:val="28"/>
          <w:rtl/>
          <w14:ligatures w14:val="none"/>
        </w:rPr>
        <w:t xml:space="preserve"> </w:t>
      </w:r>
    </w:p>
    <w:p w14:paraId="73F9FB97" w14:textId="04EA333E" w:rsidR="00262AC6" w:rsidRPr="00262AC6" w:rsidRDefault="00262AC6" w:rsidP="00262AC6">
      <w:pPr>
        <w:pStyle w:val="af2"/>
        <w:jc w:val="right"/>
        <w:rPr>
          <w:rFonts w:ascii="David" w:hAnsi="David" w:cs="David"/>
          <w:b/>
          <w:bCs/>
          <w:sz w:val="28"/>
          <w:szCs w:val="28"/>
          <w:rtl/>
        </w:rPr>
      </w:pPr>
      <w:r w:rsidRPr="00262AC6">
        <w:rPr>
          <w:rFonts w:ascii="David" w:hAnsi="David" w:cs="David"/>
          <w:b/>
          <w:bCs/>
          <w:sz w:val="28"/>
          <w:szCs w:val="28"/>
          <w:rtl/>
        </w:rPr>
        <w:t xml:space="preserve">בכבוד רב </w:t>
      </w:r>
    </w:p>
    <w:p w14:paraId="7E8CD18E" w14:textId="06A12FD3" w:rsidR="00262AC6" w:rsidRPr="00262AC6" w:rsidRDefault="00262AC6" w:rsidP="00262AC6">
      <w:pPr>
        <w:pStyle w:val="af2"/>
        <w:jc w:val="right"/>
        <w:rPr>
          <w:rFonts w:ascii="David" w:hAnsi="David" w:cs="David"/>
          <w:b/>
          <w:bCs/>
          <w:sz w:val="28"/>
          <w:szCs w:val="28"/>
          <w:rtl/>
        </w:rPr>
      </w:pPr>
    </w:p>
    <w:p w14:paraId="4F6A96AD" w14:textId="05F89908" w:rsidR="00262AC6" w:rsidRPr="00262AC6" w:rsidRDefault="00262AC6" w:rsidP="00262AC6">
      <w:pPr>
        <w:pStyle w:val="af2"/>
        <w:jc w:val="right"/>
        <w:rPr>
          <w:rFonts w:ascii="David" w:hAnsi="David" w:cs="David"/>
          <w:b/>
          <w:bCs/>
          <w:sz w:val="28"/>
          <w:szCs w:val="28"/>
          <w:rtl/>
        </w:rPr>
      </w:pPr>
      <w:r w:rsidRPr="00262AC6">
        <w:rPr>
          <w:rFonts w:ascii="David" w:hAnsi="David" w:cs="David"/>
          <w:b/>
          <w:bCs/>
          <w:sz w:val="28"/>
          <w:szCs w:val="28"/>
          <w:rtl/>
        </w:rPr>
        <w:t xml:space="preserve">יהודה כהן </w:t>
      </w:r>
    </w:p>
    <w:p w14:paraId="617F389B" w14:textId="74069B58" w:rsidR="00262AC6" w:rsidRPr="00262AC6" w:rsidRDefault="00262AC6" w:rsidP="00262AC6">
      <w:pPr>
        <w:pStyle w:val="af2"/>
        <w:jc w:val="right"/>
        <w:rPr>
          <w:rFonts w:ascii="David" w:hAnsi="David" w:cs="David"/>
          <w:b/>
          <w:bCs/>
          <w:sz w:val="28"/>
          <w:szCs w:val="28"/>
          <w:rtl/>
        </w:rPr>
      </w:pPr>
      <w:r w:rsidRPr="00262AC6">
        <w:rPr>
          <w:rFonts w:ascii="David" w:hAnsi="David" w:cs="David"/>
          <w:b/>
          <w:bCs/>
          <w:sz w:val="28"/>
          <w:szCs w:val="28"/>
          <w:rtl/>
        </w:rPr>
        <w:t xml:space="preserve">מנכ"ל ההתאחדות </w:t>
      </w:r>
    </w:p>
    <w:p w14:paraId="749D9501" w14:textId="46515349" w:rsidR="00262AC6" w:rsidRPr="00262AC6" w:rsidRDefault="00262AC6" w:rsidP="00262AC6">
      <w:pPr>
        <w:pStyle w:val="af2"/>
        <w:jc w:val="right"/>
        <w:rPr>
          <w:rFonts w:ascii="David" w:hAnsi="David" w:cs="David"/>
          <w:b/>
          <w:bCs/>
          <w:sz w:val="28"/>
          <w:szCs w:val="28"/>
          <w:rtl/>
        </w:rPr>
      </w:pPr>
      <w:r w:rsidRPr="00262AC6">
        <w:rPr>
          <w:rFonts w:ascii="David" w:hAnsi="David" w:cs="David"/>
          <w:b/>
          <w:bCs/>
          <w:sz w:val="28"/>
          <w:szCs w:val="28"/>
          <w:rtl/>
        </w:rPr>
        <w:t xml:space="preserve">053-2496818 </w:t>
      </w:r>
    </w:p>
    <w:p w14:paraId="15B2587B" w14:textId="77777777" w:rsidR="00FB2CD5" w:rsidRPr="00FB2CD5" w:rsidRDefault="00FB2CD5" w:rsidP="00FB2CD5"/>
    <w:sectPr w:rsidR="00FB2CD5" w:rsidRPr="00FB2CD5" w:rsidSect="000365AE">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11CD" w14:textId="77777777" w:rsidR="007F2E8B" w:rsidRDefault="007F2E8B" w:rsidP="002D21DD">
      <w:pPr>
        <w:spacing w:after="0" w:line="240" w:lineRule="auto"/>
      </w:pPr>
      <w:r>
        <w:separator/>
      </w:r>
    </w:p>
  </w:endnote>
  <w:endnote w:type="continuationSeparator" w:id="0">
    <w:p w14:paraId="61530D69" w14:textId="77777777" w:rsidR="007F2E8B" w:rsidRDefault="007F2E8B" w:rsidP="002D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14DD" w14:textId="7647DF70" w:rsidR="003D7E43" w:rsidRPr="003D7E43" w:rsidRDefault="003D7E43" w:rsidP="003D7E43">
    <w:pPr>
      <w:pStyle w:val="af0"/>
      <w:jc w:val="center"/>
      <w:rPr>
        <w:rFonts w:ascii="David" w:hAnsi="David" w:cs="David"/>
        <w:b/>
        <w:bCs/>
      </w:rPr>
    </w:pPr>
    <w:r w:rsidRPr="003D7E43">
      <w:rPr>
        <w:rFonts w:ascii="David" w:hAnsi="David" w:cs="David"/>
        <w:b/>
        <w:bCs/>
        <w:rtl/>
      </w:rPr>
      <w:t xml:space="preserve">רחוב בן ציון </w:t>
    </w:r>
    <w:proofErr w:type="spellStart"/>
    <w:r w:rsidRPr="003D7E43">
      <w:rPr>
        <w:rFonts w:ascii="David" w:hAnsi="David" w:cs="David"/>
        <w:b/>
        <w:bCs/>
        <w:rtl/>
      </w:rPr>
      <w:t>גליס</w:t>
    </w:r>
    <w:proofErr w:type="spellEnd"/>
    <w:r w:rsidRPr="003D7E43">
      <w:rPr>
        <w:rFonts w:ascii="David" w:hAnsi="David" w:cs="David"/>
        <w:b/>
        <w:bCs/>
        <w:rtl/>
      </w:rPr>
      <w:t xml:space="preserve"> 55 אזור התעשייה סגולה פתח תקווה דוא"ל </w:t>
    </w:r>
    <w:r w:rsidRPr="003D7E43">
      <w:rPr>
        <w:rFonts w:ascii="David" w:hAnsi="David" w:cs="David"/>
        <w:b/>
        <w:bCs/>
      </w:rPr>
      <w:t>yc101153@gmail.com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546A" w14:textId="77777777" w:rsidR="007F2E8B" w:rsidRDefault="007F2E8B" w:rsidP="002D21DD">
      <w:pPr>
        <w:spacing w:after="0" w:line="240" w:lineRule="auto"/>
      </w:pPr>
      <w:r>
        <w:separator/>
      </w:r>
    </w:p>
  </w:footnote>
  <w:footnote w:type="continuationSeparator" w:id="0">
    <w:p w14:paraId="5013B5C5" w14:textId="77777777" w:rsidR="007F2E8B" w:rsidRDefault="007F2E8B" w:rsidP="002D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5835" w14:textId="4A07481F" w:rsidR="003D7E43" w:rsidRDefault="00262AC6" w:rsidP="00262AC6">
    <w:pPr>
      <w:pStyle w:val="ae"/>
      <w:jc w:val="center"/>
    </w:pPr>
    <w:r>
      <w:rPr>
        <w:noProof/>
      </w:rPr>
      <w:drawing>
        <wp:inline distT="0" distB="0" distL="0" distR="0" wp14:anchorId="5B6D0098" wp14:editId="7FBCA3C0">
          <wp:extent cx="3162300" cy="1447800"/>
          <wp:effectExtent l="0" t="0" r="0" b="0"/>
          <wp:docPr id="2" name="תמונה 1" descr="התאחדות קבלני מערכות כיבוי אש ואינסטלצ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התאחדות קבלני מערכות כיבוי אש ואינסטלצ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3C241B77" w14:textId="77777777" w:rsidR="002D21DD" w:rsidRDefault="002D21D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45420"/>
    <w:multiLevelType w:val="multilevel"/>
    <w:tmpl w:val="323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F03DDB"/>
    <w:multiLevelType w:val="multilevel"/>
    <w:tmpl w:val="8BCA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F4633"/>
    <w:multiLevelType w:val="hybridMultilevel"/>
    <w:tmpl w:val="6A444B0C"/>
    <w:lvl w:ilvl="0" w:tplc="637C18F8">
      <w:start w:val="2"/>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E131A"/>
    <w:multiLevelType w:val="multilevel"/>
    <w:tmpl w:val="2308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C2105A"/>
    <w:multiLevelType w:val="multilevel"/>
    <w:tmpl w:val="DEB6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1079D"/>
    <w:multiLevelType w:val="hybridMultilevel"/>
    <w:tmpl w:val="766A3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67077"/>
    <w:multiLevelType w:val="multilevel"/>
    <w:tmpl w:val="BE4E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973548">
    <w:abstractNumId w:val="1"/>
  </w:num>
  <w:num w:numId="2" w16cid:durableId="1295985586">
    <w:abstractNumId w:val="4"/>
  </w:num>
  <w:num w:numId="3" w16cid:durableId="274871177">
    <w:abstractNumId w:val="3"/>
  </w:num>
  <w:num w:numId="4" w16cid:durableId="1677344364">
    <w:abstractNumId w:val="0"/>
  </w:num>
  <w:num w:numId="5" w16cid:durableId="1426339726">
    <w:abstractNumId w:val="6"/>
  </w:num>
  <w:num w:numId="6" w16cid:durableId="1482505045">
    <w:abstractNumId w:val="5"/>
  </w:num>
  <w:num w:numId="7" w16cid:durableId="143505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D5"/>
    <w:rsid w:val="000365AE"/>
    <w:rsid w:val="0011392E"/>
    <w:rsid w:val="00262AC6"/>
    <w:rsid w:val="002D21DD"/>
    <w:rsid w:val="003D7E43"/>
    <w:rsid w:val="007F2E8B"/>
    <w:rsid w:val="008D2EB2"/>
    <w:rsid w:val="00A34CA8"/>
    <w:rsid w:val="00D434FF"/>
    <w:rsid w:val="00FB2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A8DC"/>
  <w15:chartTrackingRefBased/>
  <w15:docId w15:val="{7692F76D-FB4D-4392-909C-1A7BBE42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B2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2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2C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2C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2C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2C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2C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2C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2C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B2CD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B2CD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B2CD5"/>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B2CD5"/>
    <w:rPr>
      <w:rFonts w:eastAsiaTheme="majorEastAsia" w:cstheme="majorBidi"/>
      <w:i/>
      <w:iCs/>
      <w:color w:val="2F5496" w:themeColor="accent1" w:themeShade="BF"/>
    </w:rPr>
  </w:style>
  <w:style w:type="character" w:customStyle="1" w:styleId="50">
    <w:name w:val="כותרת 5 תו"/>
    <w:basedOn w:val="a0"/>
    <w:link w:val="5"/>
    <w:uiPriority w:val="9"/>
    <w:semiHidden/>
    <w:rsid w:val="00FB2CD5"/>
    <w:rPr>
      <w:rFonts w:eastAsiaTheme="majorEastAsia" w:cstheme="majorBidi"/>
      <w:color w:val="2F5496" w:themeColor="accent1" w:themeShade="BF"/>
    </w:rPr>
  </w:style>
  <w:style w:type="character" w:customStyle="1" w:styleId="60">
    <w:name w:val="כותרת 6 תו"/>
    <w:basedOn w:val="a0"/>
    <w:link w:val="6"/>
    <w:uiPriority w:val="9"/>
    <w:semiHidden/>
    <w:rsid w:val="00FB2CD5"/>
    <w:rPr>
      <w:rFonts w:eastAsiaTheme="majorEastAsia" w:cstheme="majorBidi"/>
      <w:i/>
      <w:iCs/>
      <w:color w:val="595959" w:themeColor="text1" w:themeTint="A6"/>
    </w:rPr>
  </w:style>
  <w:style w:type="character" w:customStyle="1" w:styleId="70">
    <w:name w:val="כותרת 7 תו"/>
    <w:basedOn w:val="a0"/>
    <w:link w:val="7"/>
    <w:uiPriority w:val="9"/>
    <w:semiHidden/>
    <w:rsid w:val="00FB2CD5"/>
    <w:rPr>
      <w:rFonts w:eastAsiaTheme="majorEastAsia" w:cstheme="majorBidi"/>
      <w:color w:val="595959" w:themeColor="text1" w:themeTint="A6"/>
    </w:rPr>
  </w:style>
  <w:style w:type="character" w:customStyle="1" w:styleId="80">
    <w:name w:val="כותרת 8 תו"/>
    <w:basedOn w:val="a0"/>
    <w:link w:val="8"/>
    <w:uiPriority w:val="9"/>
    <w:semiHidden/>
    <w:rsid w:val="00FB2CD5"/>
    <w:rPr>
      <w:rFonts w:eastAsiaTheme="majorEastAsia" w:cstheme="majorBidi"/>
      <w:i/>
      <w:iCs/>
      <w:color w:val="272727" w:themeColor="text1" w:themeTint="D8"/>
    </w:rPr>
  </w:style>
  <w:style w:type="character" w:customStyle="1" w:styleId="90">
    <w:name w:val="כותרת 9 תו"/>
    <w:basedOn w:val="a0"/>
    <w:link w:val="9"/>
    <w:uiPriority w:val="9"/>
    <w:semiHidden/>
    <w:rsid w:val="00FB2CD5"/>
    <w:rPr>
      <w:rFonts w:eastAsiaTheme="majorEastAsia" w:cstheme="majorBidi"/>
      <w:color w:val="272727" w:themeColor="text1" w:themeTint="D8"/>
    </w:rPr>
  </w:style>
  <w:style w:type="paragraph" w:styleId="a3">
    <w:name w:val="Title"/>
    <w:basedOn w:val="a"/>
    <w:next w:val="a"/>
    <w:link w:val="a4"/>
    <w:uiPriority w:val="10"/>
    <w:qFormat/>
    <w:rsid w:val="00FB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B2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CD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B2C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B2CD5"/>
    <w:pPr>
      <w:spacing w:before="160"/>
      <w:jc w:val="center"/>
    </w:pPr>
    <w:rPr>
      <w:i/>
      <w:iCs/>
      <w:color w:val="404040" w:themeColor="text1" w:themeTint="BF"/>
    </w:rPr>
  </w:style>
  <w:style w:type="character" w:customStyle="1" w:styleId="a8">
    <w:name w:val="ציטוט תו"/>
    <w:basedOn w:val="a0"/>
    <w:link w:val="a7"/>
    <w:uiPriority w:val="29"/>
    <w:rsid w:val="00FB2CD5"/>
    <w:rPr>
      <w:i/>
      <w:iCs/>
      <w:color w:val="404040" w:themeColor="text1" w:themeTint="BF"/>
    </w:rPr>
  </w:style>
  <w:style w:type="paragraph" w:styleId="a9">
    <w:name w:val="List Paragraph"/>
    <w:basedOn w:val="a"/>
    <w:uiPriority w:val="34"/>
    <w:qFormat/>
    <w:rsid w:val="00FB2CD5"/>
    <w:pPr>
      <w:ind w:left="720"/>
      <w:contextualSpacing/>
    </w:pPr>
  </w:style>
  <w:style w:type="character" w:styleId="aa">
    <w:name w:val="Intense Emphasis"/>
    <w:basedOn w:val="a0"/>
    <w:uiPriority w:val="21"/>
    <w:qFormat/>
    <w:rsid w:val="00FB2CD5"/>
    <w:rPr>
      <w:i/>
      <w:iCs/>
      <w:color w:val="2F5496" w:themeColor="accent1" w:themeShade="BF"/>
    </w:rPr>
  </w:style>
  <w:style w:type="paragraph" w:styleId="ab">
    <w:name w:val="Intense Quote"/>
    <w:basedOn w:val="a"/>
    <w:next w:val="a"/>
    <w:link w:val="ac"/>
    <w:uiPriority w:val="30"/>
    <w:qFormat/>
    <w:rsid w:val="00FB2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B2CD5"/>
    <w:rPr>
      <w:i/>
      <w:iCs/>
      <w:color w:val="2F5496" w:themeColor="accent1" w:themeShade="BF"/>
    </w:rPr>
  </w:style>
  <w:style w:type="character" w:styleId="ad">
    <w:name w:val="Intense Reference"/>
    <w:basedOn w:val="a0"/>
    <w:uiPriority w:val="32"/>
    <w:qFormat/>
    <w:rsid w:val="00FB2CD5"/>
    <w:rPr>
      <w:b/>
      <w:bCs/>
      <w:smallCaps/>
      <w:color w:val="2F5496" w:themeColor="accent1" w:themeShade="BF"/>
      <w:spacing w:val="5"/>
    </w:rPr>
  </w:style>
  <w:style w:type="paragraph" w:styleId="ae">
    <w:name w:val="header"/>
    <w:basedOn w:val="a"/>
    <w:link w:val="af"/>
    <w:uiPriority w:val="99"/>
    <w:unhideWhenUsed/>
    <w:rsid w:val="002D21DD"/>
    <w:pPr>
      <w:tabs>
        <w:tab w:val="center" w:pos="4153"/>
        <w:tab w:val="right" w:pos="8306"/>
      </w:tabs>
      <w:spacing w:after="0" w:line="240" w:lineRule="auto"/>
    </w:pPr>
  </w:style>
  <w:style w:type="character" w:customStyle="1" w:styleId="af">
    <w:name w:val="כותרת עליונה תו"/>
    <w:basedOn w:val="a0"/>
    <w:link w:val="ae"/>
    <w:uiPriority w:val="99"/>
    <w:rsid w:val="002D21DD"/>
  </w:style>
  <w:style w:type="paragraph" w:styleId="af0">
    <w:name w:val="footer"/>
    <w:basedOn w:val="a"/>
    <w:link w:val="af1"/>
    <w:uiPriority w:val="99"/>
    <w:unhideWhenUsed/>
    <w:rsid w:val="002D21DD"/>
    <w:pPr>
      <w:tabs>
        <w:tab w:val="center" w:pos="4153"/>
        <w:tab w:val="right" w:pos="8306"/>
      </w:tabs>
      <w:spacing w:after="0" w:line="240" w:lineRule="auto"/>
    </w:pPr>
  </w:style>
  <w:style w:type="character" w:customStyle="1" w:styleId="af1">
    <w:name w:val="כותרת תחתונה תו"/>
    <w:basedOn w:val="a0"/>
    <w:link w:val="af0"/>
    <w:uiPriority w:val="99"/>
    <w:rsid w:val="002D21DD"/>
  </w:style>
  <w:style w:type="paragraph" w:styleId="af2">
    <w:name w:val="No Spacing"/>
    <w:uiPriority w:val="1"/>
    <w:qFormat/>
    <w:rsid w:val="002D21DD"/>
    <w:pPr>
      <w:bidi/>
      <w:spacing w:after="0" w:line="240" w:lineRule="auto"/>
    </w:pPr>
  </w:style>
  <w:style w:type="paragraph" w:styleId="NormalWeb">
    <w:name w:val="Normal (Web)"/>
    <w:basedOn w:val="a"/>
    <w:uiPriority w:val="99"/>
    <w:unhideWhenUsed/>
    <w:rsid w:val="003D7E43"/>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af3">
    <w:name w:val="Strong"/>
    <w:basedOn w:val="a0"/>
    <w:uiPriority w:val="22"/>
    <w:qFormat/>
    <w:rsid w:val="003D7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EF1E3-B7EE-4D04-AFD9-404D2C05D133}"/>
</file>

<file path=customXml/itemProps2.xml><?xml version="1.0" encoding="utf-8"?>
<ds:datastoreItem xmlns:ds="http://schemas.openxmlformats.org/officeDocument/2006/customXml" ds:itemID="{B1711252-2CCB-4322-910E-7BF7A0A483E4}"/>
</file>

<file path=customXml/itemProps3.xml><?xml version="1.0" encoding="utf-8"?>
<ds:datastoreItem xmlns:ds="http://schemas.openxmlformats.org/officeDocument/2006/customXml" ds:itemID="{4B13C28F-3D08-4034-BE60-8FB5FF611FE3}"/>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4038</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Shirli Mazur</dc:creator>
  <cp:keywords/>
  <dc:description/>
  <cp:lastModifiedBy>Shirli Mazur</cp:lastModifiedBy>
  <cp:revision>2</cp:revision>
  <dcterms:created xsi:type="dcterms:W3CDTF">2026-03-15T08:23:00Z</dcterms:created>
  <dcterms:modified xsi:type="dcterms:W3CDTF">2026-03-15T08:23:00Z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SanhedrinDocumentType">
    <vt:r8>96</vt:r8>
  </property>
  <property fmtid="{D5CDD505-2E9C-101B-9397-08002B2CF9AE}" pid="4" name="SanhedrinItemID">
    <vt:r8>2240505</vt:r8>
  </property>
</Properties>
</file>