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720" w:rsidRPr="00F7453C" w:rsidRDefault="009F5720" w:rsidP="00F7453C">
      <w:pPr>
        <w:jc w:val="right"/>
        <w:rPr>
          <w:rtl/>
        </w:rPr>
      </w:pPr>
      <w:bookmarkStart w:id="0" w:name="_GoBack"/>
      <w:bookmarkEnd w:id="0"/>
    </w:p>
    <w:p w:rsidR="00706508" w:rsidRPr="00F7453C" w:rsidRDefault="00127E47" w:rsidP="00F7453C">
      <w:pPr>
        <w:jc w:val="right"/>
        <w:rPr>
          <w:rtl/>
        </w:rPr>
      </w:pPr>
      <w:r w:rsidRPr="00F7453C">
        <w:rPr>
          <w:rFonts w:hint="cs"/>
          <w:rtl/>
        </w:rPr>
        <w:t>סימוכין:</w:t>
      </w:r>
      <w:r w:rsidR="004E40FE" w:rsidRPr="00F7453C">
        <w:rPr>
          <w:rFonts w:hint="cs"/>
          <w:rtl/>
        </w:rPr>
        <w:t xml:space="preserve"> </w:t>
      </w:r>
      <w:r w:rsidR="00007465">
        <w:fldChar w:fldCharType="begin"/>
      </w:r>
      <w:r w:rsidR="00007465">
        <w:instrText xml:space="preserve"> DOCPROPERTY  DocNumberYearNumber  \* MERGEFORMAT </w:instrText>
      </w:r>
      <w:r w:rsidR="00007465">
        <w:fldChar w:fldCharType="separate"/>
      </w:r>
      <w:r w:rsidRPr="00F7453C">
        <w:rPr>
          <w:rFonts w:hint="cs"/>
        </w:rPr>
        <w:t>2023-012734</w:t>
      </w:r>
      <w:r w:rsidR="00007465">
        <w:fldChar w:fldCharType="end"/>
      </w:r>
    </w:p>
    <w:p w:rsidR="00127E47" w:rsidRPr="00F7453C" w:rsidRDefault="00706508" w:rsidP="00F7453C">
      <w:pPr>
        <w:jc w:val="right"/>
        <w:rPr>
          <w:rtl/>
        </w:rPr>
      </w:pPr>
      <w:r w:rsidRPr="00F7453C">
        <w:rPr>
          <w:rFonts w:hint="cs"/>
          <w:rtl/>
        </w:rPr>
        <w:t xml:space="preserve">ירושלים, </w:t>
      </w:r>
      <w:r w:rsidR="00007465">
        <w:fldChar w:fldCharType="begin"/>
      </w:r>
      <w:r w:rsidR="00007465">
        <w:instrText xml:space="preserve"> DOCPROPERTY  DocDateHeb  \* MERGEFORMAT </w:instrText>
      </w:r>
      <w:r w:rsidR="00007465">
        <w:fldChar w:fldCharType="separate"/>
      </w:r>
      <w:r w:rsidR="00127E47" w:rsidRPr="00F7453C">
        <w:rPr>
          <w:rFonts w:hint="cs"/>
          <w:rtl/>
        </w:rPr>
        <w:t>א' באדר תשפ"ג</w:t>
      </w:r>
      <w:r w:rsidR="00007465">
        <w:fldChar w:fldCharType="end"/>
      </w:r>
    </w:p>
    <w:p w:rsidR="00706508" w:rsidRPr="00F7453C" w:rsidRDefault="00007465" w:rsidP="00F7453C">
      <w:pPr>
        <w:jc w:val="right"/>
        <w:rPr>
          <w:rtl/>
        </w:rPr>
      </w:pPr>
      <w:r>
        <w:fldChar w:fldCharType="begin"/>
      </w:r>
      <w:r>
        <w:instrText xml:space="preserve"> DOCPROPERTY  DocDateEng  \* MERGEFORMAT </w:instrText>
      </w:r>
      <w:r>
        <w:fldChar w:fldCharType="separate"/>
      </w:r>
      <w:r w:rsidR="00127E47" w:rsidRPr="00F7453C">
        <w:rPr>
          <w:rFonts w:hint="cs"/>
          <w:rtl/>
        </w:rPr>
        <w:t>22 בפברואר 2023</w:t>
      </w:r>
      <w:r>
        <w:fldChar w:fldCharType="end"/>
      </w:r>
    </w:p>
    <w:p w:rsidR="009F5720" w:rsidRPr="00F7453C" w:rsidRDefault="009F5720" w:rsidP="00F7453C">
      <w:pPr>
        <w:jc w:val="right"/>
        <w:rPr>
          <w:rtl/>
        </w:rPr>
      </w:pPr>
    </w:p>
    <w:p w:rsidR="00BF56EC" w:rsidRPr="001024C0" w:rsidRDefault="00BF56EC" w:rsidP="00BF56EC">
      <w:pPr>
        <w:jc w:val="center"/>
        <w:rPr>
          <w:b/>
          <w:bCs/>
          <w:sz w:val="28"/>
          <w:szCs w:val="28"/>
          <w:u w:val="single"/>
          <w:rtl/>
        </w:rPr>
      </w:pPr>
      <w:r w:rsidRPr="001024C0">
        <w:rPr>
          <w:rFonts w:hint="cs"/>
          <w:b/>
          <w:bCs/>
          <w:sz w:val="28"/>
          <w:szCs w:val="28"/>
          <w:u w:val="single"/>
          <w:rtl/>
        </w:rPr>
        <w:t>סיכום דיון</w:t>
      </w:r>
    </w:p>
    <w:p w:rsidR="00BF56EC" w:rsidRDefault="00BF56EC" w:rsidP="00BF56EC">
      <w:pPr>
        <w:jc w:val="center"/>
        <w:rPr>
          <w:b/>
          <w:bCs/>
          <w:rtl/>
        </w:rPr>
      </w:pPr>
    </w:p>
    <w:p w:rsidR="00BF56EC" w:rsidRDefault="00BF56EC" w:rsidP="00BF56EC">
      <w:pPr>
        <w:jc w:val="center"/>
        <w:rPr>
          <w:b/>
          <w:bCs/>
          <w:rtl/>
        </w:rPr>
      </w:pPr>
      <w:r>
        <w:rPr>
          <w:rFonts w:hint="cs"/>
          <w:b/>
          <w:bCs/>
          <w:rtl/>
        </w:rPr>
        <w:t>מ</w:t>
      </w:r>
      <w:r>
        <w:rPr>
          <w:b/>
          <w:bCs/>
          <w:rtl/>
        </w:rPr>
        <w:fldChar w:fldCharType="begin"/>
      </w:r>
      <w:r>
        <w:rPr>
          <w:b/>
          <w:bCs/>
          <w:rtl/>
        </w:rPr>
        <w:instrText xml:space="preserve"> </w:instrText>
      </w:r>
      <w:r>
        <w:rPr>
          <w:b/>
          <w:bCs/>
        </w:rPr>
        <w:instrText>DOCPROPERTY  DocDateHebFull  \* MERGEFORMAT</w:instrText>
      </w:r>
      <w:r>
        <w:rPr>
          <w:b/>
          <w:bCs/>
          <w:rtl/>
        </w:rPr>
        <w:instrText xml:space="preserve"> </w:instrText>
      </w:r>
      <w:r>
        <w:rPr>
          <w:b/>
          <w:bCs/>
          <w:rtl/>
        </w:rPr>
        <w:fldChar w:fldCharType="separate"/>
      </w:r>
      <w:r>
        <w:rPr>
          <w:b/>
          <w:bCs/>
          <w:rtl/>
        </w:rPr>
        <w:t xml:space="preserve">יום </w:t>
      </w:r>
      <w:r>
        <w:rPr>
          <w:rFonts w:hint="cs"/>
          <w:b/>
          <w:bCs/>
          <w:rtl/>
        </w:rPr>
        <w:t>רביע</w:t>
      </w:r>
      <w:r>
        <w:rPr>
          <w:b/>
          <w:bCs/>
          <w:rtl/>
        </w:rPr>
        <w:t>י,</w:t>
      </w:r>
      <w:r>
        <w:rPr>
          <w:rFonts w:hint="cs"/>
          <w:b/>
          <w:bCs/>
          <w:rtl/>
        </w:rPr>
        <w:t xml:space="preserve"> </w:t>
      </w:r>
      <w:r>
        <w:rPr>
          <w:b/>
          <w:bCs/>
          <w:rtl/>
        </w:rPr>
        <w:t>א' ב</w:t>
      </w:r>
      <w:r>
        <w:rPr>
          <w:rFonts w:hint="cs"/>
          <w:b/>
          <w:bCs/>
          <w:rtl/>
        </w:rPr>
        <w:t>אדר</w:t>
      </w:r>
      <w:r>
        <w:rPr>
          <w:b/>
          <w:bCs/>
          <w:rtl/>
        </w:rPr>
        <w:t xml:space="preserve"> תשפ"ג</w:t>
      </w:r>
      <w:r>
        <w:rPr>
          <w:b/>
          <w:bCs/>
          <w:rtl/>
        </w:rPr>
        <w:fldChar w:fldCharType="end"/>
      </w:r>
      <w:r>
        <w:rPr>
          <w:rFonts w:hint="cs"/>
          <w:b/>
          <w:bCs/>
          <w:rtl/>
        </w:rPr>
        <w:t>,</w:t>
      </w:r>
      <w:r w:rsidRPr="00CA6BBD">
        <w:rPr>
          <w:rFonts w:hint="cs"/>
          <w:b/>
          <w:bCs/>
          <w:rtl/>
        </w:rPr>
        <w:t xml:space="preserve"> </w:t>
      </w:r>
      <w:r>
        <w:rPr>
          <w:rFonts w:ascii="David" w:hAnsi="David"/>
          <w:b/>
          <w:bCs/>
        </w:rPr>
        <w:t>22.2.2023</w:t>
      </w:r>
      <w:r>
        <w:rPr>
          <w:rFonts w:hint="cs"/>
          <w:b/>
          <w:bCs/>
          <w:rtl/>
        </w:rPr>
        <w:t xml:space="preserve"> ב</w:t>
      </w:r>
      <w:r w:rsidRPr="00CA6BBD">
        <w:rPr>
          <w:rFonts w:hint="cs"/>
          <w:b/>
          <w:bCs/>
          <w:rtl/>
        </w:rPr>
        <w:t>נושא:</w:t>
      </w:r>
    </w:p>
    <w:p w:rsidR="00BF56EC" w:rsidRPr="00BF56EC" w:rsidRDefault="00BF56EC" w:rsidP="00BF56EC">
      <w:pPr>
        <w:jc w:val="center"/>
        <w:rPr>
          <w:b/>
          <w:bCs/>
          <w:rtl/>
        </w:rPr>
      </w:pPr>
      <w:r w:rsidRPr="00BF56EC">
        <w:rPr>
          <w:rFonts w:hint="cs"/>
          <w:b/>
          <w:bCs/>
          <w:rtl/>
        </w:rPr>
        <w:t xml:space="preserve">משבר הגרעון במוסד לביטוח לאומי  - </w:t>
      </w:r>
    </w:p>
    <w:p w:rsidR="00BF56EC" w:rsidRPr="00F97E99" w:rsidRDefault="00BF56EC" w:rsidP="00BF56EC">
      <w:pPr>
        <w:jc w:val="center"/>
        <w:rPr>
          <w:b/>
          <w:bCs/>
          <w:u w:val="single"/>
        </w:rPr>
      </w:pPr>
      <w:r>
        <w:rPr>
          <w:rFonts w:hint="cs"/>
          <w:b/>
          <w:bCs/>
          <w:u w:val="single"/>
          <w:rtl/>
        </w:rPr>
        <w:t xml:space="preserve">ניהול החוב הממשלתי והתחייבות הממשלה </w:t>
      </w:r>
      <w:r>
        <w:rPr>
          <w:b/>
          <w:bCs/>
          <w:u w:val="single"/>
          <w:rtl/>
        </w:rPr>
        <w:t>–</w:t>
      </w:r>
      <w:r>
        <w:rPr>
          <w:rFonts w:hint="cs"/>
          <w:b/>
          <w:bCs/>
          <w:u w:val="single"/>
          <w:rtl/>
        </w:rPr>
        <w:t xml:space="preserve"> דוח שנתי 66א </w:t>
      </w:r>
    </w:p>
    <w:p w:rsidR="00BF56EC" w:rsidRDefault="00BF56EC" w:rsidP="00BF56EC">
      <w:pPr>
        <w:rPr>
          <w:b/>
          <w:bCs/>
          <w:sz w:val="20"/>
          <w:szCs w:val="20"/>
          <w:rtl/>
        </w:rPr>
      </w:pPr>
    </w:p>
    <w:p w:rsidR="00BF56EC" w:rsidRDefault="00BF56EC" w:rsidP="00BF56EC">
      <w:pPr>
        <w:rPr>
          <w:b/>
          <w:bCs/>
          <w:rtl/>
        </w:rPr>
      </w:pPr>
    </w:p>
    <w:p w:rsidR="00BF56EC" w:rsidRDefault="00BF56EC" w:rsidP="00BF56EC">
      <w:pPr>
        <w:rPr>
          <w:b/>
          <w:bCs/>
          <w:rtl/>
        </w:rPr>
      </w:pPr>
      <w:r w:rsidRPr="00EF6686">
        <w:rPr>
          <w:rFonts w:hint="cs"/>
          <w:b/>
          <w:bCs/>
          <w:rtl/>
        </w:rPr>
        <w:t>נקודות עיקריות שעלו במהלך הדיון:</w:t>
      </w:r>
    </w:p>
    <w:p w:rsidR="001222F8" w:rsidRDefault="001222F8" w:rsidP="00BF56EC">
      <w:pPr>
        <w:rPr>
          <w:b/>
          <w:bCs/>
          <w:rtl/>
        </w:rPr>
      </w:pPr>
    </w:p>
    <w:p w:rsidR="001222F8" w:rsidRPr="0064584E" w:rsidRDefault="001222F8" w:rsidP="00B44674">
      <w:pPr>
        <w:jc w:val="both"/>
        <w:rPr>
          <w:rtl/>
        </w:rPr>
      </w:pPr>
      <w:r>
        <w:rPr>
          <w:rFonts w:hint="cs"/>
          <w:b/>
          <w:bCs/>
          <w:rtl/>
        </w:rPr>
        <w:t xml:space="preserve">יו"ר הוועדה </w:t>
      </w:r>
      <w:r>
        <w:rPr>
          <w:b/>
          <w:bCs/>
          <w:rtl/>
        </w:rPr>
        <w:t>–</w:t>
      </w:r>
      <w:r>
        <w:rPr>
          <w:rFonts w:hint="cs"/>
          <w:b/>
          <w:bCs/>
          <w:rtl/>
        </w:rPr>
        <w:t xml:space="preserve"> ח"כ מיקי לוי </w:t>
      </w:r>
      <w:r w:rsidR="00D90AF2">
        <w:rPr>
          <w:b/>
          <w:bCs/>
          <w:rtl/>
        </w:rPr>
        <w:t>–</w:t>
      </w:r>
      <w:r>
        <w:rPr>
          <w:rFonts w:hint="cs"/>
          <w:b/>
          <w:bCs/>
          <w:rtl/>
        </w:rPr>
        <w:t xml:space="preserve"> </w:t>
      </w:r>
      <w:r w:rsidR="00B44674">
        <w:rPr>
          <w:rFonts w:hint="cs"/>
          <w:rtl/>
        </w:rPr>
        <w:t>לא נעשה דבר מפרסום דו"ח מבקר המדי</w:t>
      </w:r>
      <w:r w:rsidR="008E6B7A">
        <w:rPr>
          <w:rFonts w:hint="cs"/>
          <w:rtl/>
        </w:rPr>
        <w:t xml:space="preserve">נה בשנת 2015, המצב קטסטרופלי - </w:t>
      </w:r>
      <w:r w:rsidR="00B44674">
        <w:rPr>
          <w:rFonts w:hint="cs"/>
          <w:rtl/>
        </w:rPr>
        <w:t xml:space="preserve">אנו נמצאים לפני חדלון פרעון של הביטוח הלאומי.  </w:t>
      </w:r>
      <w:r w:rsidR="0064584E">
        <w:rPr>
          <w:rFonts w:hint="cs"/>
          <w:rtl/>
        </w:rPr>
        <w:t>הממשל</w:t>
      </w:r>
      <w:r w:rsidR="0053034B">
        <w:rPr>
          <w:rFonts w:hint="cs"/>
          <w:rtl/>
        </w:rPr>
        <w:t xml:space="preserve">ה לא ביצעה איתנות </w:t>
      </w:r>
      <w:r w:rsidR="00D90AF2" w:rsidRPr="0064584E">
        <w:rPr>
          <w:rFonts w:hint="cs"/>
          <w:rtl/>
        </w:rPr>
        <w:t>פיננסית, דבר שישפיע בשנת 2044</w:t>
      </w:r>
      <w:r w:rsidR="00C066E3">
        <w:rPr>
          <w:rFonts w:hint="cs"/>
          <w:rtl/>
        </w:rPr>
        <w:t xml:space="preserve"> על המוסד לביטוח לאומי:</w:t>
      </w:r>
      <w:r w:rsidR="00D90AF2" w:rsidRPr="0064584E">
        <w:rPr>
          <w:rFonts w:hint="cs"/>
          <w:rtl/>
        </w:rPr>
        <w:t xml:space="preserve"> </w:t>
      </w:r>
      <w:r w:rsidR="00BD0367">
        <w:rPr>
          <w:rFonts w:hint="cs"/>
          <w:rtl/>
        </w:rPr>
        <w:t>הקופה</w:t>
      </w:r>
      <w:r w:rsidR="00D90AF2" w:rsidRPr="0064584E">
        <w:rPr>
          <w:rFonts w:hint="cs"/>
          <w:rtl/>
        </w:rPr>
        <w:t xml:space="preserve"> תתרוקן</w:t>
      </w:r>
      <w:r w:rsidR="00BD0367">
        <w:rPr>
          <w:rFonts w:hint="cs"/>
          <w:rtl/>
        </w:rPr>
        <w:t>,</w:t>
      </w:r>
      <w:r w:rsidR="00892E6B">
        <w:rPr>
          <w:rFonts w:hint="cs"/>
          <w:rtl/>
        </w:rPr>
        <w:t xml:space="preserve"> תהיה התפוררות ו</w:t>
      </w:r>
      <w:r w:rsidR="0064584E">
        <w:rPr>
          <w:rFonts w:hint="cs"/>
          <w:rtl/>
        </w:rPr>
        <w:t>נזק לחוסן הלאומי</w:t>
      </w:r>
      <w:r w:rsidR="00D90AF2" w:rsidRPr="0064584E">
        <w:rPr>
          <w:rFonts w:hint="cs"/>
          <w:rtl/>
        </w:rPr>
        <w:t xml:space="preserve">. </w:t>
      </w:r>
      <w:r w:rsidR="007F60F6">
        <w:rPr>
          <w:rFonts w:hint="cs"/>
          <w:rtl/>
        </w:rPr>
        <w:t xml:space="preserve">יש אנשים שהקצבה מביטוח לאומי היא הכנסתם היחידה. </w:t>
      </w:r>
      <w:r w:rsidR="0064584E" w:rsidRPr="0064584E">
        <w:rPr>
          <w:rFonts w:hint="cs"/>
          <w:rtl/>
        </w:rPr>
        <w:t xml:space="preserve">אין תכנית </w:t>
      </w:r>
      <w:r w:rsidR="007F60F6" w:rsidRPr="0064584E">
        <w:rPr>
          <w:rFonts w:hint="cs"/>
          <w:rtl/>
        </w:rPr>
        <w:t xml:space="preserve">ממשלתית </w:t>
      </w:r>
      <w:r w:rsidR="0064584E" w:rsidRPr="0064584E">
        <w:rPr>
          <w:rFonts w:hint="cs"/>
          <w:rtl/>
        </w:rPr>
        <w:t xml:space="preserve">כוללת </w:t>
      </w:r>
      <w:r w:rsidR="007F60F6">
        <w:rPr>
          <w:rFonts w:hint="cs"/>
          <w:rtl/>
        </w:rPr>
        <w:t>לפתרון עתידי,</w:t>
      </w:r>
      <w:r w:rsidR="0064584E" w:rsidRPr="0064584E">
        <w:rPr>
          <w:rFonts w:hint="cs"/>
          <w:rtl/>
        </w:rPr>
        <w:t xml:space="preserve"> למשרד האוצר אין תשובה מה יקרה בשנת 2044.</w:t>
      </w:r>
      <w:r w:rsidR="0064584E">
        <w:rPr>
          <w:rFonts w:hint="cs"/>
          <w:rtl/>
        </w:rPr>
        <w:t xml:space="preserve"> </w:t>
      </w:r>
      <w:r w:rsidR="00384463">
        <w:rPr>
          <w:rFonts w:hint="cs"/>
          <w:rtl/>
        </w:rPr>
        <w:t>ניתן</w:t>
      </w:r>
      <w:r w:rsidR="00892E6B">
        <w:rPr>
          <w:rFonts w:hint="cs"/>
          <w:rtl/>
        </w:rPr>
        <w:t xml:space="preserve"> לתקן </w:t>
      </w:r>
      <w:r w:rsidR="00384463">
        <w:rPr>
          <w:rFonts w:hint="cs"/>
          <w:rtl/>
        </w:rPr>
        <w:t xml:space="preserve">את המצב </w:t>
      </w:r>
      <w:r w:rsidR="00892E6B">
        <w:rPr>
          <w:rFonts w:hint="cs"/>
          <w:rtl/>
        </w:rPr>
        <w:t xml:space="preserve">אם ההשקעות יהיו נבונות, </w:t>
      </w:r>
      <w:r w:rsidR="007F60F6">
        <w:rPr>
          <w:rFonts w:hint="cs"/>
          <w:rtl/>
        </w:rPr>
        <w:t>ו</w:t>
      </w:r>
      <w:r w:rsidR="00892E6B">
        <w:rPr>
          <w:rFonts w:hint="cs"/>
          <w:rtl/>
        </w:rPr>
        <w:t>יש לנו 20 שנה ל</w:t>
      </w:r>
      <w:r w:rsidR="00384463">
        <w:rPr>
          <w:rFonts w:hint="cs"/>
          <w:rtl/>
        </w:rPr>
        <w:t>כך</w:t>
      </w:r>
      <w:r w:rsidR="00892E6B">
        <w:rPr>
          <w:rFonts w:hint="cs"/>
          <w:rtl/>
        </w:rPr>
        <w:t xml:space="preserve">. </w:t>
      </w:r>
    </w:p>
    <w:p w:rsidR="001222F8" w:rsidRPr="00EF6686" w:rsidRDefault="001222F8" w:rsidP="00BF56EC">
      <w:pPr>
        <w:rPr>
          <w:b/>
          <w:bCs/>
          <w:rtl/>
        </w:rPr>
      </w:pPr>
    </w:p>
    <w:p w:rsidR="00BF56EC" w:rsidRDefault="00BF56EC" w:rsidP="00B44674">
      <w:pPr>
        <w:jc w:val="both"/>
      </w:pPr>
      <w:r w:rsidRPr="0064584E">
        <w:rPr>
          <w:rFonts w:hint="cs"/>
          <w:b/>
          <w:bCs/>
          <w:rtl/>
        </w:rPr>
        <w:t>משרד מבקר המדינה</w:t>
      </w:r>
      <w:r w:rsidRPr="00EF6686">
        <w:rPr>
          <w:rFonts w:hint="cs"/>
          <w:rtl/>
        </w:rPr>
        <w:t xml:space="preserve"> </w:t>
      </w:r>
      <w:r w:rsidRPr="00EF6686">
        <w:rPr>
          <w:rtl/>
        </w:rPr>
        <w:t>–</w:t>
      </w:r>
      <w:r w:rsidR="001222F8">
        <w:rPr>
          <w:rFonts w:hint="cs"/>
          <w:rtl/>
        </w:rPr>
        <w:t xml:space="preserve"> </w:t>
      </w:r>
      <w:r w:rsidR="001222F8" w:rsidRPr="0064584E">
        <w:rPr>
          <w:rFonts w:hint="cs"/>
          <w:u w:val="single"/>
          <w:rtl/>
        </w:rPr>
        <w:t>צחי סעד-מנהל החטיבה הכלכלית</w:t>
      </w:r>
      <w:r w:rsidR="001222F8">
        <w:rPr>
          <w:rFonts w:hint="cs"/>
          <w:rtl/>
        </w:rPr>
        <w:t xml:space="preserve"> - </w:t>
      </w:r>
      <w:r w:rsidRPr="00EF6686">
        <w:rPr>
          <w:rFonts w:hint="cs"/>
          <w:rtl/>
        </w:rPr>
        <w:t xml:space="preserve"> </w:t>
      </w:r>
      <w:r w:rsidR="001222F8">
        <w:rPr>
          <w:rFonts w:hint="cs"/>
          <w:rtl/>
        </w:rPr>
        <w:t xml:space="preserve">דו"ח </w:t>
      </w:r>
      <w:r w:rsidR="0058492F">
        <w:rPr>
          <w:rFonts w:hint="cs"/>
          <w:rtl/>
        </w:rPr>
        <w:t xml:space="preserve">מבקר המדינה פורסם בשנת 2015 בנושא: </w:t>
      </w:r>
      <w:r w:rsidR="0058492F">
        <w:rPr>
          <w:rtl/>
        </w:rPr>
        <w:t>ניהול החוב הממשלתי והתחייבות הממשלה לביטוח הלאומי</w:t>
      </w:r>
      <w:r w:rsidR="0058492F">
        <w:rPr>
          <w:rFonts w:hint="cs"/>
          <w:rtl/>
        </w:rPr>
        <w:t xml:space="preserve">, דו"ח ביקורת </w:t>
      </w:r>
      <w:r w:rsidR="001222F8">
        <w:rPr>
          <w:rFonts w:hint="cs"/>
          <w:rtl/>
        </w:rPr>
        <w:t xml:space="preserve">שני </w:t>
      </w:r>
      <w:r w:rsidR="0058492F">
        <w:rPr>
          <w:rFonts w:hint="cs"/>
          <w:rtl/>
        </w:rPr>
        <w:t>פורסם בשנת</w:t>
      </w:r>
      <w:r w:rsidR="001222F8">
        <w:rPr>
          <w:rFonts w:hint="cs"/>
          <w:rtl/>
        </w:rPr>
        <w:t xml:space="preserve"> 2016 </w:t>
      </w:r>
      <w:r w:rsidR="0058492F">
        <w:rPr>
          <w:rFonts w:hint="cs"/>
          <w:rtl/>
        </w:rPr>
        <w:t>בנושא</w:t>
      </w:r>
      <w:r w:rsidR="00057DE2">
        <w:rPr>
          <w:rFonts w:hint="cs"/>
          <w:rtl/>
        </w:rPr>
        <w:t>:</w:t>
      </w:r>
      <w:r w:rsidR="0058492F">
        <w:rPr>
          <w:rFonts w:hint="cs"/>
          <w:rtl/>
        </w:rPr>
        <w:t xml:space="preserve"> </w:t>
      </w:r>
      <w:r w:rsidR="0058492F">
        <w:rPr>
          <w:rtl/>
        </w:rPr>
        <w:t>הסדרי הפנסיה במדינה</w:t>
      </w:r>
      <w:r w:rsidR="00C066E3">
        <w:rPr>
          <w:rFonts w:hint="cs"/>
          <w:rtl/>
        </w:rPr>
        <w:t>,</w:t>
      </w:r>
      <w:r w:rsidR="0058492F">
        <w:rPr>
          <w:rFonts w:hint="cs"/>
          <w:rtl/>
        </w:rPr>
        <w:t xml:space="preserve"> </w:t>
      </w:r>
      <w:r w:rsidR="001222F8">
        <w:rPr>
          <w:rFonts w:hint="cs"/>
          <w:rtl/>
        </w:rPr>
        <w:t xml:space="preserve">והשלישי </w:t>
      </w:r>
      <w:r w:rsidR="00057DE2">
        <w:rPr>
          <w:rFonts w:hint="cs"/>
          <w:rtl/>
        </w:rPr>
        <w:t xml:space="preserve">פורסם בשנת 2021 בנושא: </w:t>
      </w:r>
      <w:r w:rsidR="00057DE2">
        <w:rPr>
          <w:rtl/>
        </w:rPr>
        <w:t>הדו</w:t>
      </w:r>
      <w:r w:rsidR="00C066E3">
        <w:rPr>
          <w:rFonts w:hint="cs"/>
          <w:rtl/>
        </w:rPr>
        <w:t>"</w:t>
      </w:r>
      <w:r w:rsidR="00057DE2">
        <w:rPr>
          <w:rtl/>
        </w:rPr>
        <w:t xml:space="preserve">חות הכספיים של מדינת ישראל ליום </w:t>
      </w:r>
      <w:r w:rsidR="00405276">
        <w:rPr>
          <w:rFonts w:hint="cs"/>
          <w:rtl/>
        </w:rPr>
        <w:t>31.12.2019</w:t>
      </w:r>
      <w:r w:rsidR="00057DE2">
        <w:rPr>
          <w:rtl/>
        </w:rPr>
        <w:t>- התחייבויות ארוכות טווח של המדינה</w:t>
      </w:r>
      <w:r w:rsidR="00057DE2">
        <w:rPr>
          <w:rFonts w:hint="cs"/>
          <w:rtl/>
        </w:rPr>
        <w:t>.</w:t>
      </w:r>
      <w:r w:rsidR="001222F8">
        <w:rPr>
          <w:rFonts w:hint="cs"/>
          <w:rtl/>
        </w:rPr>
        <w:t xml:space="preserve"> </w:t>
      </w:r>
    </w:p>
    <w:p w:rsidR="00057DE2" w:rsidRDefault="00057DE2" w:rsidP="001222F8">
      <w:pPr>
        <w:jc w:val="both"/>
        <w:rPr>
          <w:rtl/>
        </w:rPr>
      </w:pPr>
    </w:p>
    <w:p w:rsidR="00057DE2" w:rsidRPr="00057DE2" w:rsidRDefault="00057DE2" w:rsidP="00C066E3">
      <w:pPr>
        <w:jc w:val="both"/>
        <w:rPr>
          <w:rtl/>
        </w:rPr>
      </w:pPr>
      <w:r>
        <w:rPr>
          <w:rtl/>
        </w:rPr>
        <w:t xml:space="preserve">בשנים הבאות הביטוח הלאומי </w:t>
      </w:r>
      <w:r w:rsidR="00C066E3">
        <w:rPr>
          <w:rtl/>
        </w:rPr>
        <w:t xml:space="preserve">צפוי </w:t>
      </w:r>
      <w:r>
        <w:rPr>
          <w:rtl/>
        </w:rPr>
        <w:t>להתמודד עם שינויים דמוגרפיים מהותיים, בהם הזדקנות מהירה של האוכלוסייה שתביא לעלייה משמעותית בחלקה היחסי של האוכלוסייה המבוגרת בישראל</w:t>
      </w:r>
      <w:r w:rsidR="00C80B07">
        <w:rPr>
          <w:rFonts w:hint="cs"/>
          <w:rtl/>
        </w:rPr>
        <w:t>.</w:t>
      </w:r>
      <w:r>
        <w:t xml:space="preserve"> </w:t>
      </w:r>
      <w:r>
        <w:rPr>
          <w:rtl/>
        </w:rPr>
        <w:t>בכל שנה שבה הכנסות המוסד גדולות מהוצאותיו, מושקעים העודפים באג"ח ממשלתיות</w:t>
      </w:r>
      <w:r w:rsidR="00C80B07">
        <w:rPr>
          <w:rFonts w:hint="cs"/>
          <w:rtl/>
        </w:rPr>
        <w:t xml:space="preserve">. </w:t>
      </w:r>
      <w:r>
        <w:rPr>
          <w:rtl/>
        </w:rPr>
        <w:t>התחייבות הממשלה למוסד משפי</w:t>
      </w:r>
      <w:r w:rsidR="008E6B7A">
        <w:rPr>
          <w:rtl/>
        </w:rPr>
        <w:t>עה על</w:t>
      </w:r>
      <w:r w:rsidR="008E6B7A">
        <w:rPr>
          <w:rFonts w:hint="cs"/>
          <w:rtl/>
        </w:rPr>
        <w:t>:</w:t>
      </w:r>
      <w:r w:rsidR="008E6B7A">
        <w:rPr>
          <w:rtl/>
        </w:rPr>
        <w:t xml:space="preserve"> הכנסות הממשלה, </w:t>
      </w:r>
      <w:r>
        <w:rPr>
          <w:rtl/>
        </w:rPr>
        <w:t>גירעון בתקציב המדינה</w:t>
      </w:r>
      <w:r w:rsidR="008E6B7A">
        <w:rPr>
          <w:rFonts w:hint="cs"/>
          <w:rtl/>
        </w:rPr>
        <w:t xml:space="preserve"> ו</w:t>
      </w:r>
      <w:r>
        <w:rPr>
          <w:rtl/>
        </w:rPr>
        <w:t>איתנות הפיננסית של המוסד</w:t>
      </w:r>
      <w:r>
        <w:t>.</w:t>
      </w:r>
    </w:p>
    <w:p w:rsidR="00057DE2" w:rsidRDefault="00057DE2" w:rsidP="001222F8">
      <w:pPr>
        <w:jc w:val="both"/>
        <w:rPr>
          <w:rtl/>
        </w:rPr>
      </w:pPr>
    </w:p>
    <w:p w:rsidR="001222F8" w:rsidRDefault="001222F8" w:rsidP="000903C1">
      <w:pPr>
        <w:jc w:val="both"/>
        <w:rPr>
          <w:rtl/>
        </w:rPr>
      </w:pPr>
      <w:r w:rsidRPr="00057DE2">
        <w:rPr>
          <w:rFonts w:hint="cs"/>
          <w:u w:val="single"/>
          <w:rtl/>
        </w:rPr>
        <w:t>נתוני מפתח</w:t>
      </w:r>
      <w:r>
        <w:rPr>
          <w:rFonts w:hint="cs"/>
          <w:rtl/>
        </w:rPr>
        <w:t xml:space="preserve"> </w:t>
      </w:r>
      <w:r w:rsidR="00057DE2">
        <w:rPr>
          <w:rtl/>
        </w:rPr>
        <w:t>–</w:t>
      </w:r>
      <w:r>
        <w:rPr>
          <w:rFonts w:hint="cs"/>
          <w:rtl/>
        </w:rPr>
        <w:t xml:space="preserve"> </w:t>
      </w:r>
      <w:r w:rsidR="000903C1">
        <w:rPr>
          <w:rFonts w:hint="cs"/>
          <w:rtl/>
        </w:rPr>
        <w:t xml:space="preserve">227 מיליארד ₪ </w:t>
      </w:r>
      <w:r w:rsidR="000903C1">
        <w:rPr>
          <w:rtl/>
        </w:rPr>
        <w:t>יתרת ההתחייבות של ממשלת ישראל למוסד לביטוח לאומי בסוף 2021</w:t>
      </w:r>
      <w:r w:rsidR="000903C1">
        <w:rPr>
          <w:rFonts w:hint="cs"/>
          <w:rtl/>
        </w:rPr>
        <w:t>.</w:t>
      </w:r>
    </w:p>
    <w:p w:rsidR="000903C1" w:rsidRDefault="000903C1" w:rsidP="000903C1">
      <w:pPr>
        <w:jc w:val="both"/>
        <w:rPr>
          <w:rtl/>
        </w:rPr>
      </w:pPr>
      <w:r>
        <w:rPr>
          <w:rFonts w:hint="cs"/>
          <w:rtl/>
        </w:rPr>
        <w:t xml:space="preserve">שנת 2027 צפויה להיות </w:t>
      </w:r>
      <w:r>
        <w:rPr>
          <w:rtl/>
        </w:rPr>
        <w:t xml:space="preserve">השנה שבה התשלומים של המוסד לביטוח לאומי צפויים </w:t>
      </w:r>
      <w:r>
        <w:rPr>
          <w:rFonts w:hint="cs"/>
          <w:rtl/>
        </w:rPr>
        <w:t>להיות</w:t>
      </w:r>
      <w:r>
        <w:rPr>
          <w:rtl/>
        </w:rPr>
        <w:t xml:space="preserve"> גבוהים מהתקבולים</w:t>
      </w:r>
      <w:r>
        <w:rPr>
          <w:rFonts w:hint="cs"/>
          <w:rtl/>
        </w:rPr>
        <w:t>.</w:t>
      </w:r>
    </w:p>
    <w:p w:rsidR="00057DE2" w:rsidRDefault="000903C1" w:rsidP="000903C1">
      <w:pPr>
        <w:jc w:val="both"/>
        <w:rPr>
          <w:rtl/>
        </w:rPr>
      </w:pPr>
      <w:r>
        <w:rPr>
          <w:rFonts w:hint="cs"/>
          <w:rtl/>
        </w:rPr>
        <w:t xml:space="preserve">שנת 2044 </w:t>
      </w:r>
      <w:r>
        <w:rPr>
          <w:rtl/>
        </w:rPr>
        <w:t>השנה שבה קרן המוסד לביטוח לאומי צפויה להתרוקן</w:t>
      </w:r>
      <w:r>
        <w:rPr>
          <w:rFonts w:hint="cs"/>
          <w:rtl/>
        </w:rPr>
        <w:t>.</w:t>
      </w:r>
    </w:p>
    <w:p w:rsidR="00057DE2" w:rsidRDefault="00057DE2" w:rsidP="00057DE2">
      <w:pPr>
        <w:jc w:val="both"/>
        <w:rPr>
          <w:rtl/>
        </w:rPr>
      </w:pPr>
    </w:p>
    <w:p w:rsidR="001222F8" w:rsidRDefault="000903C1" w:rsidP="000903C1">
      <w:pPr>
        <w:jc w:val="both"/>
        <w:rPr>
          <w:rtl/>
        </w:rPr>
      </w:pPr>
      <w:r>
        <w:rPr>
          <w:rtl/>
        </w:rPr>
        <w:t>סעיף 34 לחוק הביטוח הלאומי מחייב את מינהלת המוסד להשקיע את עודפי ההכנסות שלו ב"השקעות קונסטרוקטיביות</w:t>
      </w:r>
      <w:r w:rsidR="00B1039E">
        <w:rPr>
          <w:rFonts w:hint="cs"/>
          <w:rtl/>
        </w:rPr>
        <w:t>".</w:t>
      </w:r>
      <w:r>
        <w:rPr>
          <w:rFonts w:hint="cs"/>
          <w:rtl/>
        </w:rPr>
        <w:t xml:space="preserve"> </w:t>
      </w:r>
      <w:r>
        <w:rPr>
          <w:rtl/>
        </w:rPr>
        <w:t>למרות שלפי סעיף זה מינהלת המוסד תאשר את ההשקעות הקונסטרוקטיביות, הרי שלפחות מאמצע שנות השבעים של המאה העשרים ועד היום הפך סעיף 34 בחוק לאות מתה, והממשלה והמוסד אינם פועלים לקיום הוראותיו</w:t>
      </w:r>
      <w:r>
        <w:t>.</w:t>
      </w:r>
      <w:r>
        <w:rPr>
          <w:rFonts w:hint="cs"/>
          <w:rtl/>
        </w:rPr>
        <w:t xml:space="preserve"> ההמלצה היא </w:t>
      </w:r>
      <w:r w:rsidR="00A30CCC">
        <w:rPr>
          <w:rtl/>
        </w:rPr>
        <w:t xml:space="preserve">כי כל הגורמים הרלוונטיים </w:t>
      </w:r>
      <w:r w:rsidR="00A30CCC">
        <w:rPr>
          <w:rFonts w:hint="cs"/>
          <w:rtl/>
        </w:rPr>
        <w:t xml:space="preserve"> </w:t>
      </w:r>
      <w:r w:rsidR="0056659C">
        <w:rPr>
          <w:rFonts w:hint="cs"/>
          <w:rtl/>
        </w:rPr>
        <w:t>(</w:t>
      </w:r>
      <w:r w:rsidR="00A30CCC">
        <w:rPr>
          <w:rFonts w:hint="cs"/>
          <w:rtl/>
        </w:rPr>
        <w:t>כולל</w:t>
      </w:r>
      <w:r w:rsidR="0056659C">
        <w:rPr>
          <w:rtl/>
        </w:rPr>
        <w:t xml:space="preserve"> המוסד, שר הרווחה ומשרד האוצר</w:t>
      </w:r>
      <w:r w:rsidR="0056659C">
        <w:rPr>
          <w:rFonts w:hint="cs"/>
          <w:rtl/>
        </w:rPr>
        <w:t>)</w:t>
      </w:r>
      <w:r>
        <w:rPr>
          <w:rtl/>
        </w:rPr>
        <w:t xml:space="preserve"> ישקלו</w:t>
      </w:r>
      <w:r w:rsidR="0056659C">
        <w:rPr>
          <w:rFonts w:hint="cs"/>
          <w:rtl/>
        </w:rPr>
        <w:t>,</w:t>
      </w:r>
      <w:r>
        <w:rPr>
          <w:rtl/>
        </w:rPr>
        <w:t xml:space="preserve"> בשיתוף היועץ המשפטי לממשלה</w:t>
      </w:r>
      <w:r w:rsidR="0056659C">
        <w:rPr>
          <w:rFonts w:hint="cs"/>
          <w:rtl/>
        </w:rPr>
        <w:t>,</w:t>
      </w:r>
      <w:r>
        <w:rPr>
          <w:rtl/>
        </w:rPr>
        <w:t xml:space="preserve"> את הצורך לבצע שינויים בהסכמה לסעיף זה</w:t>
      </w:r>
      <w:r>
        <w:t>.</w:t>
      </w:r>
      <w:r w:rsidR="00A30CCC">
        <w:rPr>
          <w:rFonts w:hint="cs"/>
          <w:rtl/>
        </w:rPr>
        <w:t xml:space="preserve"> </w:t>
      </w:r>
      <w:r w:rsidR="00A30CCC">
        <w:rPr>
          <w:rtl/>
        </w:rPr>
        <w:t>יש להביא בחשבון גם את החלטתו של המחוקק שלא להקים את הביטוח הלאומי כמחלקה ממשלתית, אלא כישות משפטית נפרדת וכאחראי לבדו לנכסים ולתביעות</w:t>
      </w:r>
      <w:r w:rsidR="00A30CCC">
        <w:rPr>
          <w:rFonts w:hint="cs"/>
          <w:rtl/>
        </w:rPr>
        <w:t xml:space="preserve">. </w:t>
      </w:r>
      <w:r w:rsidR="00A30CCC">
        <w:t xml:space="preserve"> </w:t>
      </w:r>
      <w:r w:rsidR="00A30CCC">
        <w:rPr>
          <w:rtl/>
        </w:rPr>
        <w:t>יש להתחשב גם בחשיבות שייחס המחוקק לכך שעודפי הכספים שנצברו לצורך הביטחון הסוציאלי של אזרחי המדינה יבטיחו שבידי המוסד יהיו מקורות מספיקים כדי לעמוד בהתחייבויותיו כלפי אזרחי המדינה גם בטווח הארוך</w:t>
      </w:r>
      <w:r w:rsidR="00A30CCC">
        <w:t>.</w:t>
      </w:r>
    </w:p>
    <w:p w:rsidR="000903C1" w:rsidRDefault="000903C1" w:rsidP="001222F8">
      <w:pPr>
        <w:jc w:val="both"/>
        <w:rPr>
          <w:rtl/>
        </w:rPr>
      </w:pPr>
    </w:p>
    <w:p w:rsidR="00A30CCC" w:rsidRPr="00A30CCC" w:rsidRDefault="00A30CCC" w:rsidP="003D1EA2">
      <w:pPr>
        <w:jc w:val="both"/>
        <w:rPr>
          <w:rtl/>
        </w:rPr>
      </w:pPr>
      <w:r>
        <w:rPr>
          <w:rFonts w:hint="cs"/>
          <w:rtl/>
        </w:rPr>
        <w:t xml:space="preserve">בשנת 2009 </w:t>
      </w:r>
      <w:r>
        <w:rPr>
          <w:rtl/>
        </w:rPr>
        <w:t xml:space="preserve">הממשלה </w:t>
      </w:r>
      <w:r w:rsidR="001325F0">
        <w:rPr>
          <w:rFonts w:hint="cs"/>
          <w:rtl/>
        </w:rPr>
        <w:t>החליטה</w:t>
      </w:r>
      <w:r>
        <w:rPr>
          <w:rtl/>
        </w:rPr>
        <w:t xml:space="preserve"> להקים ועדה לבחינת דרכים לשמירת האיתנות הפיננסית של </w:t>
      </w:r>
      <w:r w:rsidR="003B13F5">
        <w:rPr>
          <w:rtl/>
        </w:rPr>
        <w:t>הביטוח הלאומי בטווח הארוך</w:t>
      </w:r>
      <w:r w:rsidR="003B13F5">
        <w:rPr>
          <w:rFonts w:hint="cs"/>
          <w:rtl/>
        </w:rPr>
        <w:t xml:space="preserve">. ובשנת 2012 </w:t>
      </w:r>
      <w:r w:rsidR="001325F0">
        <w:rPr>
          <w:rtl/>
        </w:rPr>
        <w:t xml:space="preserve">הוועדה </w:t>
      </w:r>
      <w:r w:rsidR="001325F0">
        <w:rPr>
          <w:rFonts w:hint="cs"/>
          <w:rtl/>
        </w:rPr>
        <w:t>ה</w:t>
      </w:r>
      <w:r w:rsidR="003B13F5">
        <w:rPr>
          <w:rtl/>
        </w:rPr>
        <w:t>גישה את מסקנותיה לשר האוצר דאז</w:t>
      </w:r>
      <w:r w:rsidR="003B13F5">
        <w:t>.</w:t>
      </w:r>
      <w:r w:rsidR="003B13F5">
        <w:rPr>
          <w:rFonts w:hint="cs"/>
          <w:rtl/>
        </w:rPr>
        <w:t xml:space="preserve"> </w:t>
      </w:r>
      <w:r w:rsidR="003B13F5">
        <w:rPr>
          <w:rtl/>
        </w:rPr>
        <w:lastRenderedPageBreak/>
        <w:t>מפרסום המלצות הוועדה, לא יישמו משרד האוצר או המוסד את ההמלצות ולא הביאו אותן לדיון בממשלה</w:t>
      </w:r>
      <w:r w:rsidR="003B13F5">
        <w:t>.</w:t>
      </w:r>
      <w:r w:rsidR="003B13F5">
        <w:rPr>
          <w:rFonts w:hint="cs"/>
          <w:rtl/>
        </w:rPr>
        <w:t xml:space="preserve"> </w:t>
      </w:r>
      <w:r w:rsidR="003B13F5">
        <w:rPr>
          <w:rtl/>
        </w:rPr>
        <w:t>ראוי ש</w:t>
      </w:r>
      <w:r w:rsidR="003B13F5">
        <w:rPr>
          <w:rFonts w:hint="cs"/>
          <w:rtl/>
        </w:rPr>
        <w:t xml:space="preserve">ההמלצות </w:t>
      </w:r>
      <w:r w:rsidR="003D1EA2">
        <w:rPr>
          <w:rtl/>
        </w:rPr>
        <w:t xml:space="preserve">יובאו לדיון והחלטה </w:t>
      </w:r>
      <w:r w:rsidR="003D1EA2">
        <w:rPr>
          <w:rFonts w:hint="cs"/>
          <w:rtl/>
        </w:rPr>
        <w:t>ב</w:t>
      </w:r>
      <w:r w:rsidR="003B13F5">
        <w:rPr>
          <w:rtl/>
        </w:rPr>
        <w:t>ממשלה בהקדם האפשרי</w:t>
      </w:r>
      <w:r w:rsidR="003D1EA2">
        <w:rPr>
          <w:rFonts w:hint="cs"/>
          <w:rtl/>
        </w:rPr>
        <w:t xml:space="preserve">. </w:t>
      </w:r>
    </w:p>
    <w:p w:rsidR="00A30CCC" w:rsidRDefault="00A30CCC" w:rsidP="00A30CCC">
      <w:pPr>
        <w:jc w:val="both"/>
        <w:rPr>
          <w:rtl/>
        </w:rPr>
      </w:pPr>
    </w:p>
    <w:p w:rsidR="0053034B" w:rsidRDefault="00E1066E" w:rsidP="006F48A2">
      <w:pPr>
        <w:jc w:val="both"/>
        <w:rPr>
          <w:rtl/>
        </w:rPr>
      </w:pPr>
      <w:r>
        <w:rPr>
          <w:rtl/>
        </w:rPr>
        <w:t>משרד האוצר לא הביא לדיון בממשלה פתרון אחר לכשלים שהעלתה הוועדה</w:t>
      </w:r>
      <w:r w:rsidR="001A4A31">
        <w:rPr>
          <w:rFonts w:hint="cs"/>
          <w:rtl/>
        </w:rPr>
        <w:t xml:space="preserve"> לאיתנות פיננסית</w:t>
      </w:r>
      <w:r>
        <w:rPr>
          <w:rtl/>
        </w:rPr>
        <w:t>, לגירעון האקטוארי של המוסד ולסיכון לקיימות הפיסקלית של תקציב המדינה</w:t>
      </w:r>
      <w:r w:rsidR="005D143B">
        <w:rPr>
          <w:rFonts w:hint="cs"/>
          <w:rtl/>
        </w:rPr>
        <w:t>.</w:t>
      </w:r>
      <w:r>
        <w:rPr>
          <w:rFonts w:hint="cs"/>
          <w:rtl/>
        </w:rPr>
        <w:t xml:space="preserve"> ההמלצה היא ש</w:t>
      </w:r>
      <w:r>
        <w:rPr>
          <w:rtl/>
        </w:rPr>
        <w:t xml:space="preserve">הממשלה </w:t>
      </w:r>
      <w:r>
        <w:rPr>
          <w:rFonts w:hint="cs"/>
          <w:rtl/>
        </w:rPr>
        <w:t>ת</w:t>
      </w:r>
      <w:r>
        <w:rPr>
          <w:rtl/>
        </w:rPr>
        <w:t>תייחס לדו</w:t>
      </w:r>
      <w:r w:rsidR="0053034B">
        <w:rPr>
          <w:rFonts w:hint="cs"/>
          <w:rtl/>
        </w:rPr>
        <w:t>"</w:t>
      </w:r>
      <w:r>
        <w:rPr>
          <w:rtl/>
        </w:rPr>
        <w:t>ח הוועדה לאיתנות פיננסית</w:t>
      </w:r>
      <w:r w:rsidR="006F48A2">
        <w:rPr>
          <w:rFonts w:hint="cs"/>
          <w:rtl/>
        </w:rPr>
        <w:t>: *</w:t>
      </w:r>
      <w:r>
        <w:t xml:space="preserve"> </w:t>
      </w:r>
      <w:r>
        <w:rPr>
          <w:rtl/>
        </w:rPr>
        <w:t>חשיפת יתר של המוסד להשפעתם של אילוצי תקציב קצרי מועד</w:t>
      </w:r>
      <w:r w:rsidR="006F48A2">
        <w:rPr>
          <w:rFonts w:hint="cs"/>
          <w:rtl/>
        </w:rPr>
        <w:t>. *</w:t>
      </w:r>
      <w:r>
        <w:rPr>
          <w:rtl/>
        </w:rPr>
        <w:t>עודפי התקציב של המוסד משמשים למעשה למימון הוצאות הממשלה בהווה, במקום לחיסכון עבור מימון הקצבאות בעתיד</w:t>
      </w:r>
      <w:r>
        <w:t>.</w:t>
      </w:r>
      <w:r w:rsidR="006F48A2">
        <w:rPr>
          <w:rFonts w:hint="cs"/>
          <w:rtl/>
        </w:rPr>
        <w:t xml:space="preserve"> </w:t>
      </w:r>
    </w:p>
    <w:p w:rsidR="001222F8" w:rsidRPr="00E1066E" w:rsidRDefault="006F48A2" w:rsidP="006F48A2">
      <w:pPr>
        <w:jc w:val="both"/>
        <w:rPr>
          <w:rtl/>
        </w:rPr>
      </w:pPr>
      <w:r>
        <w:rPr>
          <w:rtl/>
        </w:rPr>
        <w:t>מן הראוי כי משרד האוצר ייתן בהקדם מענה יסודי</w:t>
      </w:r>
      <w:r>
        <w:rPr>
          <w:rFonts w:hint="cs"/>
          <w:rtl/>
        </w:rPr>
        <w:t xml:space="preserve">: </w:t>
      </w:r>
      <w:r>
        <w:t>*</w:t>
      </w:r>
      <w:r>
        <w:rPr>
          <w:rtl/>
        </w:rPr>
        <w:t xml:space="preserve">לבעיית האיתנות הפיננסית של הביטוח הלאומי </w:t>
      </w:r>
      <w:r>
        <w:t xml:space="preserve">* </w:t>
      </w:r>
      <w:r>
        <w:rPr>
          <w:rtl/>
        </w:rPr>
        <w:t xml:space="preserve">לסיכון לקיימות הפיסקלית של תקציב המדינה </w:t>
      </w:r>
      <w:r>
        <w:t>*</w:t>
      </w:r>
      <w:r>
        <w:rPr>
          <w:rtl/>
        </w:rPr>
        <w:t>הבטחה של מילוי התחייבות הממשלה לביטוח הלאומי</w:t>
      </w:r>
      <w:r>
        <w:rPr>
          <w:rFonts w:hint="cs"/>
          <w:rtl/>
        </w:rPr>
        <w:t>.</w:t>
      </w:r>
    </w:p>
    <w:p w:rsidR="001222F8" w:rsidRDefault="001222F8" w:rsidP="00BF56EC">
      <w:pPr>
        <w:jc w:val="both"/>
        <w:rPr>
          <w:rtl/>
        </w:rPr>
      </w:pPr>
    </w:p>
    <w:p w:rsidR="001222F8" w:rsidRDefault="002B1AE7" w:rsidP="002B1AE7">
      <w:pPr>
        <w:jc w:val="both"/>
        <w:rPr>
          <w:rtl/>
        </w:rPr>
      </w:pPr>
      <w:r>
        <w:rPr>
          <w:rtl/>
        </w:rPr>
        <w:t xml:space="preserve">במועד סיום הביקורת </w:t>
      </w:r>
      <w:r>
        <w:rPr>
          <w:rFonts w:hint="cs"/>
          <w:rtl/>
        </w:rPr>
        <w:t xml:space="preserve">(פברואר 2016) </w:t>
      </w:r>
      <w:r>
        <w:rPr>
          <w:rtl/>
        </w:rPr>
        <w:t>שר האוצר</w:t>
      </w:r>
      <w:r>
        <w:rPr>
          <w:rFonts w:hint="cs"/>
          <w:rtl/>
        </w:rPr>
        <w:t>:</w:t>
      </w:r>
      <w:r>
        <w:t xml:space="preserve"> • </w:t>
      </w:r>
      <w:r>
        <w:rPr>
          <w:rtl/>
        </w:rPr>
        <w:t xml:space="preserve">לא הגיש לממשלה תכנית לטיפול בגירעון התפעולי והאקטוארי של המוסד לביטוח לאומי </w:t>
      </w:r>
      <w:r>
        <w:t xml:space="preserve">• </w:t>
      </w:r>
      <w:r>
        <w:rPr>
          <w:rtl/>
        </w:rPr>
        <w:t xml:space="preserve">לא פעל לקיים הליך התייעצות עם שר הרווחה והשירותים החברתיים, המוסד לביטוח לאומי והמועצה הלאומית לכלכלה </w:t>
      </w:r>
      <w:r>
        <w:t xml:space="preserve">• </w:t>
      </w:r>
      <w:r>
        <w:rPr>
          <w:rtl/>
        </w:rPr>
        <w:t>לא פעל לתיקון הליקויים בעניין הטיפול בגירעון האקטוארי של המוסד לביטוח לאומי שצוינו בדו</w:t>
      </w:r>
      <w:r w:rsidR="00EE3675">
        <w:rPr>
          <w:rFonts w:hint="cs"/>
          <w:rtl/>
        </w:rPr>
        <w:t>"</w:t>
      </w:r>
      <w:r>
        <w:rPr>
          <w:rtl/>
        </w:rPr>
        <w:t>ח מבקר המדינה 66א</w:t>
      </w:r>
      <w:r w:rsidR="00EE3675">
        <w:rPr>
          <w:rFonts w:hint="cs"/>
          <w:rtl/>
        </w:rPr>
        <w:t>.</w:t>
      </w:r>
    </w:p>
    <w:p w:rsidR="002B1AE7" w:rsidRDefault="002B1AE7" w:rsidP="002B1AE7">
      <w:pPr>
        <w:jc w:val="both"/>
        <w:rPr>
          <w:rtl/>
        </w:rPr>
      </w:pPr>
      <w:r>
        <w:rPr>
          <w:rFonts w:hint="cs"/>
          <w:rtl/>
        </w:rPr>
        <w:t>ההמלצה היא</w:t>
      </w:r>
      <w:r>
        <w:rPr>
          <w:rtl/>
        </w:rPr>
        <w:t xml:space="preserve"> </w:t>
      </w:r>
      <w:r>
        <w:rPr>
          <w:rFonts w:hint="cs"/>
          <w:rtl/>
        </w:rPr>
        <w:t>ש</w:t>
      </w:r>
      <w:r>
        <w:rPr>
          <w:rtl/>
        </w:rPr>
        <w:t xml:space="preserve">שר האוצר </w:t>
      </w:r>
      <w:r>
        <w:rPr>
          <w:rFonts w:hint="cs"/>
          <w:rtl/>
        </w:rPr>
        <w:t>י</w:t>
      </w:r>
      <w:r>
        <w:rPr>
          <w:rtl/>
        </w:rPr>
        <w:t>קדם יישום החלטות הממשלה ולפעול לתיקון הליקויים שצוינו בדו</w:t>
      </w:r>
      <w:r>
        <w:rPr>
          <w:rFonts w:hint="cs"/>
          <w:rtl/>
        </w:rPr>
        <w:t>"</w:t>
      </w:r>
      <w:r>
        <w:rPr>
          <w:rtl/>
        </w:rPr>
        <w:t>ח מבקר המדינה 66א</w:t>
      </w:r>
      <w:r>
        <w:rPr>
          <w:rFonts w:hint="cs"/>
          <w:rtl/>
        </w:rPr>
        <w:t>.</w:t>
      </w:r>
    </w:p>
    <w:p w:rsidR="002B1AE7" w:rsidRDefault="002B1AE7" w:rsidP="00BF56EC">
      <w:pPr>
        <w:jc w:val="both"/>
        <w:rPr>
          <w:rtl/>
        </w:rPr>
      </w:pPr>
    </w:p>
    <w:p w:rsidR="002B1AE7" w:rsidRDefault="002B1AE7" w:rsidP="002B1AE7">
      <w:pPr>
        <w:jc w:val="both"/>
        <w:rPr>
          <w:rtl/>
        </w:rPr>
      </w:pPr>
      <w:r>
        <w:rPr>
          <w:rFonts w:hint="cs"/>
          <w:rtl/>
        </w:rPr>
        <w:t>המלצה</w:t>
      </w:r>
      <w:r w:rsidR="00EE3675">
        <w:rPr>
          <w:rFonts w:hint="cs"/>
          <w:rtl/>
        </w:rPr>
        <w:t xml:space="preserve"> נוספת</w:t>
      </w:r>
      <w:r>
        <w:rPr>
          <w:rFonts w:hint="cs"/>
          <w:rtl/>
        </w:rPr>
        <w:t xml:space="preserve"> היא שה</w:t>
      </w:r>
      <w:r>
        <w:rPr>
          <w:rtl/>
        </w:rPr>
        <w:t xml:space="preserve">ממשלה </w:t>
      </w:r>
      <w:r>
        <w:rPr>
          <w:rFonts w:hint="cs"/>
          <w:rtl/>
        </w:rPr>
        <w:t>תבחן</w:t>
      </w:r>
      <w:r>
        <w:rPr>
          <w:rtl/>
        </w:rPr>
        <w:t xml:space="preserve"> מנגנונים שיאפשרו לה להימנע משימוש בכספים המיועדים לביטחון סוציאלי לצריכה שוטפת להבטיח כי הכספים המשולמים על ידי האזרחים במסגרת הביטוחים הסוציאליים יופנו להבטחת ביטחונם הסוציאלי בעתיד</w:t>
      </w:r>
      <w:r>
        <w:rPr>
          <w:rFonts w:hint="cs"/>
          <w:rtl/>
        </w:rPr>
        <w:t>.</w:t>
      </w:r>
    </w:p>
    <w:p w:rsidR="002B1AE7" w:rsidRDefault="002B1AE7" w:rsidP="002B1AE7">
      <w:pPr>
        <w:jc w:val="both"/>
        <w:rPr>
          <w:rtl/>
        </w:rPr>
      </w:pPr>
    </w:p>
    <w:p w:rsidR="00494A5D" w:rsidRDefault="001325F0" w:rsidP="00EE3675">
      <w:pPr>
        <w:jc w:val="both"/>
        <w:rPr>
          <w:rtl/>
        </w:rPr>
      </w:pPr>
      <w:r>
        <w:rPr>
          <w:rtl/>
        </w:rPr>
        <w:t>לפי הדו</w:t>
      </w:r>
      <w:r>
        <w:rPr>
          <w:rFonts w:hint="cs"/>
          <w:rtl/>
        </w:rPr>
        <w:t>"</w:t>
      </w:r>
      <w:r>
        <w:rPr>
          <w:rtl/>
        </w:rPr>
        <w:t>ח האקטוארי המלא של המוסד לביטוח לאומ</w:t>
      </w:r>
      <w:r>
        <w:rPr>
          <w:rFonts w:hint="cs"/>
          <w:rtl/>
        </w:rPr>
        <w:t>י,</w:t>
      </w:r>
      <w:r>
        <w:t xml:space="preserve"> </w:t>
      </w:r>
      <w:r>
        <w:rPr>
          <w:rtl/>
        </w:rPr>
        <w:t>העלאת גיל הפרישה לנשים ולגברים ל-68 תדחה את אזילת קרן המוסד לביטוח לאומי בכ-10 שנים ל-2053</w:t>
      </w:r>
      <w:r>
        <w:rPr>
          <w:rFonts w:hint="cs"/>
          <w:rtl/>
        </w:rPr>
        <w:t>.</w:t>
      </w:r>
      <w:r w:rsidR="0006569C">
        <w:rPr>
          <w:rFonts w:hint="cs"/>
          <w:rtl/>
        </w:rPr>
        <w:t xml:space="preserve"> </w:t>
      </w:r>
      <w:r w:rsidR="0006569C">
        <w:rPr>
          <w:rtl/>
        </w:rPr>
        <w:t>המשך אי-העלאת</w:t>
      </w:r>
      <w:r w:rsidR="00EE3675">
        <w:rPr>
          <w:rtl/>
        </w:rPr>
        <w:t xml:space="preserve"> גיל הפרישה לנשים אינו בר קיימה</w:t>
      </w:r>
      <w:r w:rsidR="0006569C">
        <w:t>.</w:t>
      </w:r>
      <w:r w:rsidR="0006569C">
        <w:rPr>
          <w:rFonts w:hint="cs"/>
          <w:rtl/>
        </w:rPr>
        <w:t xml:space="preserve"> מוצע כי </w:t>
      </w:r>
      <w:r w:rsidR="0006569C">
        <w:rPr>
          <w:rtl/>
        </w:rPr>
        <w:t xml:space="preserve">הממשלה </w:t>
      </w:r>
      <w:r w:rsidR="00A443B7">
        <w:rPr>
          <w:rFonts w:hint="cs"/>
          <w:rtl/>
        </w:rPr>
        <w:t>תבחן</w:t>
      </w:r>
      <w:r w:rsidR="0006569C">
        <w:rPr>
          <w:rtl/>
        </w:rPr>
        <w:t xml:space="preserve"> דרכים להתמודדות עם העלייה בתוחלת החיים של גברים ונשים שתהייה בת-קיימא</w:t>
      </w:r>
      <w:r w:rsidR="0006569C">
        <w:t>.</w:t>
      </w:r>
      <w:r w:rsidR="00EE3675">
        <w:rPr>
          <w:rFonts w:hint="cs"/>
          <w:rtl/>
        </w:rPr>
        <w:t xml:space="preserve"> </w:t>
      </w:r>
      <w:r w:rsidR="0006569C">
        <w:rPr>
          <w:rFonts w:hint="cs"/>
          <w:rtl/>
        </w:rPr>
        <w:t xml:space="preserve">כמו כן </w:t>
      </w:r>
      <w:r w:rsidR="001269B8">
        <w:rPr>
          <w:rtl/>
        </w:rPr>
        <w:t>ניתן לבחון את הצמדת גיל הפרישה של גברים ונשים לתוחלת החיים כפי שהמליץ ארגון ה</w:t>
      </w:r>
      <w:r w:rsidR="001269B8">
        <w:t>OECD-</w:t>
      </w:r>
      <w:r w:rsidR="001269B8">
        <w:rPr>
          <w:rFonts w:hint="cs"/>
          <w:rtl/>
        </w:rPr>
        <w:t>.</w:t>
      </w:r>
    </w:p>
    <w:p w:rsidR="001222F8" w:rsidRDefault="001222F8" w:rsidP="00BF56EC">
      <w:pPr>
        <w:jc w:val="both"/>
        <w:rPr>
          <w:rtl/>
        </w:rPr>
      </w:pPr>
    </w:p>
    <w:p w:rsidR="002705E5" w:rsidRDefault="002705E5" w:rsidP="00BF56EC">
      <w:pPr>
        <w:jc w:val="both"/>
        <w:rPr>
          <w:rtl/>
        </w:rPr>
      </w:pPr>
      <w:r>
        <w:rPr>
          <w:rtl/>
        </w:rPr>
        <w:t>מבדיקה שבוצעה ע"י המוסד לביטוח לאומי, לבקשת משרד מבקר המדינה, במהלך שנת 2020</w:t>
      </w:r>
      <w:r w:rsidR="00EE3675">
        <w:rPr>
          <w:rFonts w:hint="cs"/>
          <w:rtl/>
        </w:rPr>
        <w:t>,</w:t>
      </w:r>
      <w:r>
        <w:t xml:space="preserve"> </w:t>
      </w:r>
      <w:r>
        <w:rPr>
          <w:rtl/>
        </w:rPr>
        <w:t>עלה כי העלאת גיל הפרישה לנשים ל-64 תביא לדחייה של 3-2 שנים במועד איפוס הקרן</w:t>
      </w:r>
      <w:r>
        <w:t>.</w:t>
      </w:r>
    </w:p>
    <w:p w:rsidR="002705E5" w:rsidRDefault="002705E5" w:rsidP="002705E5">
      <w:pPr>
        <w:jc w:val="both"/>
        <w:rPr>
          <w:rtl/>
        </w:rPr>
      </w:pPr>
      <w:r>
        <w:rPr>
          <w:rtl/>
        </w:rPr>
        <w:t>קרנות הביטוח הלאומי המוצגות בדוחותיו הכספיים</w:t>
      </w:r>
      <w:r>
        <w:rPr>
          <w:rFonts w:hint="cs"/>
          <w:rtl/>
        </w:rPr>
        <w:t xml:space="preserve"> (</w:t>
      </w:r>
      <w:r>
        <w:rPr>
          <w:rtl/>
        </w:rPr>
        <w:t>זקנה ושארים, נכות כללית, סיעוד ונפגעי עבודה</w:t>
      </w:r>
      <w:r>
        <w:rPr>
          <w:rFonts w:hint="cs"/>
          <w:rtl/>
        </w:rPr>
        <w:t xml:space="preserve">) </w:t>
      </w:r>
      <w:r>
        <w:rPr>
          <w:rtl/>
        </w:rPr>
        <w:t>אינן כוללות התחייבויות כלפי מבוטחים עתידיים, ואינן כוללות התחייבויות בגין קצבאות ילדים</w:t>
      </w:r>
      <w:r>
        <w:t>.</w:t>
      </w:r>
      <w:r>
        <w:rPr>
          <w:rFonts w:hint="cs"/>
          <w:rtl/>
        </w:rPr>
        <w:t xml:space="preserve"> </w:t>
      </w:r>
      <w:r>
        <w:rPr>
          <w:rtl/>
        </w:rPr>
        <w:t>נכון לשנת 2021</w:t>
      </w:r>
      <w:r>
        <w:rPr>
          <w:rFonts w:hint="cs"/>
          <w:rtl/>
        </w:rPr>
        <w:t xml:space="preserve">, </w:t>
      </w:r>
      <w:r>
        <w:t xml:space="preserve"> </w:t>
      </w:r>
      <w:r>
        <w:rPr>
          <w:rtl/>
        </w:rPr>
        <w:t xml:space="preserve">התחייבות המוסד לביטוח לאומי בגין הקרנות היא בסך של כ-1 טריליון </w:t>
      </w:r>
      <w:r>
        <w:rPr>
          <w:rFonts w:hint="cs"/>
          <w:rtl/>
        </w:rPr>
        <w:t xml:space="preserve">₪. </w:t>
      </w:r>
      <w:r>
        <w:rPr>
          <w:rtl/>
        </w:rPr>
        <w:t>היקף התשלומים בענף קצב</w:t>
      </w:r>
      <w:r w:rsidR="00EE3675">
        <w:rPr>
          <w:rtl/>
        </w:rPr>
        <w:t>אות הילדים עומד, נכון לשנת 2020</w:t>
      </w:r>
      <w:r>
        <w:rPr>
          <w:rtl/>
        </w:rPr>
        <w:t>,</w:t>
      </w:r>
      <w:r w:rsidR="00EE3675">
        <w:rPr>
          <w:rFonts w:hint="cs"/>
          <w:rtl/>
        </w:rPr>
        <w:t xml:space="preserve"> </w:t>
      </w:r>
      <w:r>
        <w:rPr>
          <w:rtl/>
        </w:rPr>
        <w:t>על כ-8 מיליארד ש"ח לשנה, והצפי הוא כי ילך ויגדל במהלך השנים</w:t>
      </w:r>
      <w:r>
        <w:rPr>
          <w:rFonts w:hint="cs"/>
          <w:rtl/>
        </w:rPr>
        <w:t>.</w:t>
      </w:r>
    </w:p>
    <w:p w:rsidR="00D90AF2" w:rsidRDefault="002705E5" w:rsidP="00EE3675">
      <w:pPr>
        <w:jc w:val="both"/>
        <w:rPr>
          <w:rtl/>
        </w:rPr>
      </w:pPr>
      <w:r>
        <w:rPr>
          <w:rtl/>
        </w:rPr>
        <w:t>היוון לתאריך 16.12.31</w:t>
      </w:r>
      <w:r>
        <w:rPr>
          <w:rFonts w:hint="cs"/>
          <w:rtl/>
        </w:rPr>
        <w:t xml:space="preserve"> (</w:t>
      </w:r>
      <w:r>
        <w:rPr>
          <w:rtl/>
        </w:rPr>
        <w:t>מועד הדוח האקטוארי המלא</w:t>
      </w:r>
      <w:r>
        <w:rPr>
          <w:rFonts w:hint="cs"/>
          <w:rtl/>
        </w:rPr>
        <w:t xml:space="preserve">) </w:t>
      </w:r>
      <w:r>
        <w:rPr>
          <w:rtl/>
        </w:rPr>
        <w:t>מעלה כי עודף</w:t>
      </w:r>
      <w:r w:rsidR="00EE3675">
        <w:rPr>
          <w:rtl/>
        </w:rPr>
        <w:t xml:space="preserve"> ההתחייבויות על הנכסים עומד על </w:t>
      </w:r>
      <w:r w:rsidR="00EE3675">
        <w:rPr>
          <w:rFonts w:hint="cs"/>
          <w:rtl/>
        </w:rPr>
        <w:t>כ- 6.1</w:t>
      </w:r>
      <w:r>
        <w:t xml:space="preserve"> </w:t>
      </w:r>
      <w:r>
        <w:rPr>
          <w:rtl/>
        </w:rPr>
        <w:t>טריליון ש"ח</w:t>
      </w:r>
      <w:r>
        <w:t>.</w:t>
      </w:r>
    </w:p>
    <w:p w:rsidR="001222F8" w:rsidRDefault="002705E5" w:rsidP="00BF56EC">
      <w:pPr>
        <w:jc w:val="both"/>
        <w:rPr>
          <w:rtl/>
        </w:rPr>
      </w:pPr>
      <w:r>
        <w:rPr>
          <w:rtl/>
        </w:rPr>
        <w:t xml:space="preserve">על הביטוח הלאומי ומשרד האוצר לדון </w:t>
      </w:r>
      <w:r>
        <w:rPr>
          <w:rFonts w:hint="cs"/>
          <w:rtl/>
        </w:rPr>
        <w:t>על ה</w:t>
      </w:r>
      <w:r>
        <w:rPr>
          <w:rtl/>
        </w:rPr>
        <w:t>חלופות האפשריות להתמודדות עם הגירעון, ולגבש מדיניות על בסיס מידע מקיף ומלא שיספקו גורמי המקצוע ובהם אקטואר הביטוח הלאומי</w:t>
      </w:r>
      <w:r>
        <w:t>.</w:t>
      </w:r>
    </w:p>
    <w:p w:rsidR="002705E5" w:rsidRPr="00EF6686" w:rsidRDefault="002705E5" w:rsidP="00BF56EC">
      <w:pPr>
        <w:jc w:val="both"/>
      </w:pPr>
    </w:p>
    <w:p w:rsidR="00BF56EC" w:rsidRDefault="00BF56EC" w:rsidP="00BD0966">
      <w:pPr>
        <w:jc w:val="both"/>
      </w:pPr>
      <w:r w:rsidRPr="0064584E">
        <w:rPr>
          <w:rFonts w:hint="cs"/>
          <w:b/>
          <w:bCs/>
          <w:rtl/>
        </w:rPr>
        <w:t>המוסד לביטוח לאומי</w:t>
      </w:r>
      <w:r>
        <w:rPr>
          <w:rFonts w:hint="cs"/>
          <w:rtl/>
        </w:rPr>
        <w:t xml:space="preserve"> </w:t>
      </w:r>
      <w:r w:rsidR="00D90AF2">
        <w:rPr>
          <w:rtl/>
        </w:rPr>
        <w:t>–</w:t>
      </w:r>
      <w:r>
        <w:rPr>
          <w:rFonts w:hint="cs"/>
          <w:rtl/>
        </w:rPr>
        <w:t xml:space="preserve"> </w:t>
      </w:r>
      <w:r w:rsidR="00D90AF2" w:rsidRPr="0064584E">
        <w:rPr>
          <w:rFonts w:hint="cs"/>
          <w:u w:val="single"/>
          <w:rtl/>
        </w:rPr>
        <w:t>אלעד זקוט</w:t>
      </w:r>
      <w:r w:rsidR="00D90AF2">
        <w:rPr>
          <w:rFonts w:hint="cs"/>
          <w:rtl/>
        </w:rPr>
        <w:t xml:space="preserve"> </w:t>
      </w:r>
      <w:r w:rsidR="00D90AF2">
        <w:rPr>
          <w:rtl/>
        </w:rPr>
        <w:t>–</w:t>
      </w:r>
      <w:r w:rsidR="00D90AF2">
        <w:rPr>
          <w:rFonts w:hint="cs"/>
          <w:rtl/>
        </w:rPr>
        <w:t xml:space="preserve"> ממ</w:t>
      </w:r>
      <w:r w:rsidR="0064584E">
        <w:rPr>
          <w:rFonts w:hint="cs"/>
          <w:rtl/>
        </w:rPr>
        <w:t>ש</w:t>
      </w:r>
      <w:r w:rsidR="00D90AF2">
        <w:rPr>
          <w:rFonts w:hint="cs"/>
          <w:rtl/>
        </w:rPr>
        <w:t xml:space="preserve">לות שונות דנו </w:t>
      </w:r>
      <w:r w:rsidR="00BD0966">
        <w:rPr>
          <w:rFonts w:hint="cs"/>
          <w:rtl/>
        </w:rPr>
        <w:t>בעבר ב</w:t>
      </w:r>
      <w:r w:rsidR="00D90AF2">
        <w:rPr>
          <w:rFonts w:hint="cs"/>
          <w:rtl/>
        </w:rPr>
        <w:t xml:space="preserve">נושא. </w:t>
      </w:r>
      <w:r w:rsidR="00BD0966">
        <w:rPr>
          <w:rFonts w:hint="cs"/>
          <w:rtl/>
        </w:rPr>
        <w:t xml:space="preserve">הנושא נמצא בתחום סמכותו של </w:t>
      </w:r>
      <w:r w:rsidR="00D90AF2">
        <w:rPr>
          <w:rFonts w:hint="cs"/>
          <w:rtl/>
        </w:rPr>
        <w:t xml:space="preserve">שר העבודה </w:t>
      </w:r>
      <w:r w:rsidR="0064584E">
        <w:rPr>
          <w:rFonts w:hint="cs"/>
          <w:rtl/>
        </w:rPr>
        <w:t>ו</w:t>
      </w:r>
      <w:r w:rsidR="00BD0966">
        <w:rPr>
          <w:rFonts w:hint="cs"/>
          <w:rtl/>
        </w:rPr>
        <w:t>הוא שוחח</w:t>
      </w:r>
      <w:r w:rsidR="00D90AF2">
        <w:rPr>
          <w:rFonts w:hint="cs"/>
          <w:rtl/>
        </w:rPr>
        <w:t xml:space="preserve"> איתנו על </w:t>
      </w:r>
      <w:r w:rsidR="00BD0966">
        <w:rPr>
          <w:rFonts w:hint="cs"/>
          <w:rtl/>
        </w:rPr>
        <w:t>כך</w:t>
      </w:r>
      <w:r w:rsidR="00D90AF2">
        <w:rPr>
          <w:rFonts w:hint="cs"/>
          <w:rtl/>
        </w:rPr>
        <w:t xml:space="preserve">. </w:t>
      </w:r>
      <w:r w:rsidR="0064584E">
        <w:rPr>
          <w:rFonts w:hint="cs"/>
          <w:rtl/>
        </w:rPr>
        <w:t>יש חשיבות ל</w:t>
      </w:r>
      <w:r w:rsidR="00D90AF2">
        <w:rPr>
          <w:rFonts w:hint="cs"/>
          <w:rtl/>
        </w:rPr>
        <w:t xml:space="preserve">עצמאות המוסד הביטוח הלאומי כגוף סטטורי, </w:t>
      </w:r>
      <w:r w:rsidR="0064584E">
        <w:rPr>
          <w:rFonts w:hint="cs"/>
          <w:rtl/>
        </w:rPr>
        <w:t>ו</w:t>
      </w:r>
      <w:r w:rsidR="00D90AF2">
        <w:rPr>
          <w:rFonts w:hint="cs"/>
          <w:rtl/>
        </w:rPr>
        <w:t>ישנו חשש מפני פגיעה בעצמאות והלאמה. אנו מברכים על דחיית גיל הפרישה לנשים,</w:t>
      </w:r>
      <w:r w:rsidR="0064584E">
        <w:rPr>
          <w:rFonts w:hint="cs"/>
          <w:rtl/>
        </w:rPr>
        <w:t xml:space="preserve"> וא</w:t>
      </w:r>
      <w:r w:rsidR="00D90AF2">
        <w:rPr>
          <w:rFonts w:hint="cs"/>
          <w:rtl/>
        </w:rPr>
        <w:t>נו עובדים על הנושא לטובת גיבוש המלצות נוספות.</w:t>
      </w:r>
      <w:r w:rsidR="0064584E">
        <w:rPr>
          <w:rFonts w:hint="cs"/>
          <w:rtl/>
        </w:rPr>
        <w:t xml:space="preserve"> ההתאפסות </w:t>
      </w:r>
      <w:r w:rsidR="00BD0966">
        <w:rPr>
          <w:rFonts w:hint="cs"/>
          <w:rtl/>
        </w:rPr>
        <w:t>צפויה להיות</w:t>
      </w:r>
      <w:r w:rsidR="0064584E">
        <w:rPr>
          <w:rFonts w:hint="cs"/>
          <w:rtl/>
        </w:rPr>
        <w:t xml:space="preserve"> ב</w:t>
      </w:r>
      <w:r w:rsidR="00BD0966">
        <w:rPr>
          <w:rFonts w:hint="cs"/>
          <w:rtl/>
        </w:rPr>
        <w:t xml:space="preserve">שנת </w:t>
      </w:r>
      <w:r w:rsidR="0064584E">
        <w:rPr>
          <w:rFonts w:hint="cs"/>
          <w:rtl/>
        </w:rPr>
        <w:t xml:space="preserve"> 2044, </w:t>
      </w:r>
      <w:r w:rsidR="00BD0966">
        <w:rPr>
          <w:rFonts w:hint="cs"/>
          <w:rtl/>
        </w:rPr>
        <w:t>ו</w:t>
      </w:r>
      <w:r w:rsidR="0064584E">
        <w:rPr>
          <w:rFonts w:hint="cs"/>
          <w:rtl/>
        </w:rPr>
        <w:t>שינויים כלכלי</w:t>
      </w:r>
      <w:r w:rsidR="00BD0966">
        <w:rPr>
          <w:rFonts w:hint="cs"/>
          <w:rtl/>
        </w:rPr>
        <w:t xml:space="preserve">ם ובחקיקה יכולים לשנות את המצב. </w:t>
      </w:r>
    </w:p>
    <w:p w:rsidR="006C323A" w:rsidRDefault="006C323A" w:rsidP="0064584E">
      <w:pPr>
        <w:jc w:val="both"/>
        <w:rPr>
          <w:b/>
          <w:bCs/>
          <w:rtl/>
        </w:rPr>
      </w:pPr>
    </w:p>
    <w:p w:rsidR="006C323A" w:rsidRDefault="00952925" w:rsidP="0064584E">
      <w:pPr>
        <w:jc w:val="both"/>
        <w:rPr>
          <w:b/>
          <w:bCs/>
          <w:rtl/>
        </w:rPr>
      </w:pPr>
      <w:r w:rsidRPr="006E3111">
        <w:rPr>
          <w:rFonts w:hint="cs"/>
          <w:u w:val="single"/>
          <w:rtl/>
        </w:rPr>
        <w:t>רפאל</w:t>
      </w:r>
      <w:r w:rsidR="006C323A" w:rsidRPr="006E3111">
        <w:rPr>
          <w:rFonts w:hint="cs"/>
          <w:u w:val="single"/>
          <w:rtl/>
        </w:rPr>
        <w:t>ה כהן</w:t>
      </w:r>
      <w:r w:rsidRPr="006E3111">
        <w:rPr>
          <w:rFonts w:hint="cs"/>
          <w:u w:val="single"/>
          <w:rtl/>
        </w:rPr>
        <w:t>-מנהלת אגף</w:t>
      </w:r>
      <w:r w:rsidR="006E3111" w:rsidRPr="006E3111">
        <w:rPr>
          <w:rFonts w:hint="cs"/>
          <w:u w:val="single"/>
          <w:rtl/>
        </w:rPr>
        <w:t xml:space="preserve"> מחקרי גביה ואיתנות</w:t>
      </w:r>
      <w:r>
        <w:rPr>
          <w:rFonts w:hint="cs"/>
          <w:b/>
          <w:bCs/>
          <w:rtl/>
        </w:rPr>
        <w:t xml:space="preserve"> </w:t>
      </w:r>
      <w:r w:rsidR="006C323A">
        <w:rPr>
          <w:rFonts w:hint="cs"/>
          <w:b/>
          <w:bCs/>
          <w:rtl/>
        </w:rPr>
        <w:t xml:space="preserve"> </w:t>
      </w:r>
      <w:r>
        <w:rPr>
          <w:b/>
          <w:bCs/>
          <w:rtl/>
        </w:rPr>
        <w:t>–</w:t>
      </w:r>
      <w:r w:rsidR="006C323A">
        <w:rPr>
          <w:rFonts w:hint="cs"/>
          <w:b/>
          <w:bCs/>
          <w:rtl/>
        </w:rPr>
        <w:t xml:space="preserve"> </w:t>
      </w:r>
      <w:r w:rsidRPr="00952925">
        <w:rPr>
          <w:rFonts w:hint="cs"/>
          <w:rtl/>
        </w:rPr>
        <w:t>20 שנה זה לא הרבה זמן, יש להתחיל לפ</w:t>
      </w:r>
      <w:r w:rsidR="006E3111">
        <w:rPr>
          <w:rFonts w:hint="cs"/>
          <w:rtl/>
        </w:rPr>
        <w:t>עול היום. יש צורך</w:t>
      </w:r>
      <w:r w:rsidR="00BD0966">
        <w:rPr>
          <w:rFonts w:hint="cs"/>
          <w:rtl/>
        </w:rPr>
        <w:t xml:space="preserve"> למצוא את האיזון</w:t>
      </w:r>
      <w:r w:rsidRPr="00952925">
        <w:rPr>
          <w:rFonts w:hint="cs"/>
          <w:rtl/>
        </w:rPr>
        <w:t>, אנו לא מצפים שכל הגביה תהיה מהאזרחים.</w:t>
      </w:r>
    </w:p>
    <w:p w:rsidR="00952925" w:rsidRDefault="00952925" w:rsidP="0064584E">
      <w:pPr>
        <w:jc w:val="both"/>
        <w:rPr>
          <w:b/>
          <w:bCs/>
          <w:rtl/>
        </w:rPr>
      </w:pPr>
    </w:p>
    <w:p w:rsidR="001C651F" w:rsidRDefault="00952925" w:rsidP="00952925">
      <w:pPr>
        <w:jc w:val="both"/>
        <w:rPr>
          <w:rtl/>
        </w:rPr>
      </w:pPr>
      <w:r w:rsidRPr="006E3111">
        <w:rPr>
          <w:rFonts w:hint="cs"/>
          <w:u w:val="single"/>
          <w:rtl/>
        </w:rPr>
        <w:t>רמי דניאל שלום</w:t>
      </w:r>
      <w:r w:rsidR="006E3111" w:rsidRPr="006E3111">
        <w:rPr>
          <w:rFonts w:hint="cs"/>
          <w:u w:val="single"/>
          <w:rtl/>
        </w:rPr>
        <w:t>-סגן האקטואר</w:t>
      </w:r>
      <w:r w:rsidR="006E3111">
        <w:rPr>
          <w:rFonts w:hint="cs"/>
          <w:b/>
          <w:bCs/>
          <w:rtl/>
        </w:rPr>
        <w:t xml:space="preserve"> </w:t>
      </w:r>
      <w:r>
        <w:rPr>
          <w:b/>
          <w:bCs/>
          <w:rtl/>
        </w:rPr>
        <w:t>–</w:t>
      </w:r>
      <w:r>
        <w:rPr>
          <w:rFonts w:hint="cs"/>
          <w:b/>
          <w:bCs/>
          <w:rtl/>
        </w:rPr>
        <w:t xml:space="preserve"> </w:t>
      </w:r>
      <w:r w:rsidRPr="00952925">
        <w:rPr>
          <w:rFonts w:hint="cs"/>
          <w:rtl/>
        </w:rPr>
        <w:t>המצב האקטוארי נובע</w:t>
      </w:r>
      <w:r>
        <w:rPr>
          <w:rFonts w:hint="cs"/>
          <w:rtl/>
        </w:rPr>
        <w:t xml:space="preserve"> משתי סיבות</w:t>
      </w:r>
      <w:r w:rsidRPr="00952925">
        <w:rPr>
          <w:rFonts w:hint="cs"/>
          <w:rtl/>
        </w:rPr>
        <w:t>: 1</w:t>
      </w:r>
      <w:r>
        <w:rPr>
          <w:rFonts w:hint="cs"/>
          <w:rtl/>
        </w:rPr>
        <w:t xml:space="preserve">. </w:t>
      </w:r>
      <w:r w:rsidRPr="00952925">
        <w:rPr>
          <w:rFonts w:hint="cs"/>
          <w:rtl/>
        </w:rPr>
        <w:t xml:space="preserve">דמוגרפיה </w:t>
      </w:r>
      <w:r w:rsidRPr="00952925">
        <w:rPr>
          <w:rtl/>
        </w:rPr>
        <w:t>–</w:t>
      </w:r>
      <w:r w:rsidRPr="00952925">
        <w:rPr>
          <w:rFonts w:hint="cs"/>
          <w:rtl/>
        </w:rPr>
        <w:t xml:space="preserve"> עליה </w:t>
      </w:r>
      <w:r w:rsidR="001C651F">
        <w:rPr>
          <w:rFonts w:hint="cs"/>
          <w:rtl/>
        </w:rPr>
        <w:t>בתוחלת החיים</w:t>
      </w:r>
    </w:p>
    <w:p w:rsidR="00952925" w:rsidRDefault="001C651F" w:rsidP="00952925">
      <w:pPr>
        <w:jc w:val="both"/>
        <w:rPr>
          <w:b/>
          <w:bCs/>
          <w:rtl/>
        </w:rPr>
      </w:pPr>
      <w:r>
        <w:rPr>
          <w:rFonts w:hint="cs"/>
          <w:rtl/>
        </w:rPr>
        <w:t xml:space="preserve"> 2</w:t>
      </w:r>
      <w:r w:rsidR="00952925" w:rsidRPr="00952925">
        <w:rPr>
          <w:rFonts w:hint="cs"/>
          <w:rtl/>
        </w:rPr>
        <w:t xml:space="preserve">. שינויי חקיקה </w:t>
      </w:r>
      <w:r w:rsidR="00952925" w:rsidRPr="00952925">
        <w:rPr>
          <w:rtl/>
        </w:rPr>
        <w:t>–</w:t>
      </w:r>
      <w:r w:rsidR="00952925" w:rsidRPr="00952925">
        <w:rPr>
          <w:rFonts w:hint="cs"/>
          <w:rtl/>
        </w:rPr>
        <w:t xml:space="preserve"> יש לשנות את אופן החקיקה, כל שינוי בחוק משפיע על הכנסות או התשלומים של הביטוח הלאומי. חשוב ששינויי חקיקה ישאירו לפחות את מצב האקטוארי של הביטוח הלאומי כמו שהוא, שלא ירעו את המצב. </w:t>
      </w:r>
    </w:p>
    <w:p w:rsidR="006C323A" w:rsidRDefault="006C323A" w:rsidP="0064584E">
      <w:pPr>
        <w:jc w:val="both"/>
        <w:rPr>
          <w:b/>
          <w:bCs/>
          <w:rtl/>
        </w:rPr>
      </w:pPr>
    </w:p>
    <w:p w:rsidR="00D90AF2" w:rsidRDefault="0064584E" w:rsidP="0064584E">
      <w:pPr>
        <w:jc w:val="both"/>
        <w:rPr>
          <w:rtl/>
        </w:rPr>
      </w:pPr>
      <w:r w:rsidRPr="0064584E">
        <w:rPr>
          <w:rFonts w:hint="cs"/>
          <w:b/>
          <w:bCs/>
          <w:rtl/>
        </w:rPr>
        <w:t>משרד האוצר</w:t>
      </w:r>
      <w:r>
        <w:rPr>
          <w:rFonts w:hint="cs"/>
          <w:rtl/>
        </w:rPr>
        <w:t xml:space="preserve"> - </w:t>
      </w:r>
      <w:r w:rsidR="00D90AF2" w:rsidRPr="0064584E">
        <w:rPr>
          <w:rFonts w:hint="cs"/>
          <w:u w:val="single"/>
          <w:rtl/>
        </w:rPr>
        <w:t xml:space="preserve">דניאל </w:t>
      </w:r>
      <w:r w:rsidRPr="0064584E">
        <w:rPr>
          <w:rFonts w:hint="cs"/>
          <w:u w:val="single"/>
          <w:rtl/>
        </w:rPr>
        <w:t>בלנגה-רפרנט באג"ת</w:t>
      </w:r>
      <w:r w:rsidR="00D90AF2">
        <w:rPr>
          <w:rtl/>
        </w:rPr>
        <w:t>–</w:t>
      </w:r>
      <w:r w:rsidR="00D90AF2">
        <w:rPr>
          <w:rFonts w:hint="cs"/>
          <w:rtl/>
        </w:rPr>
        <w:t xml:space="preserve"> אנו עוקבים באופן שוטף</w:t>
      </w:r>
      <w:r w:rsidR="006C323A">
        <w:rPr>
          <w:rFonts w:hint="cs"/>
          <w:rtl/>
        </w:rPr>
        <w:t xml:space="preserve"> אחר הנושא. משרד </w:t>
      </w:r>
      <w:r w:rsidR="00BD0966">
        <w:rPr>
          <w:rFonts w:hint="cs"/>
          <w:rtl/>
        </w:rPr>
        <w:t>אוצר מעביר</w:t>
      </w:r>
      <w:r w:rsidR="00D90AF2">
        <w:rPr>
          <w:rFonts w:hint="cs"/>
          <w:rtl/>
        </w:rPr>
        <w:t xml:space="preserve"> 70 מיליארד ש</w:t>
      </w:r>
      <w:r w:rsidR="006C323A">
        <w:rPr>
          <w:rFonts w:hint="cs"/>
          <w:rtl/>
        </w:rPr>
        <w:t>"</w:t>
      </w:r>
      <w:r w:rsidR="00D90AF2">
        <w:rPr>
          <w:rFonts w:hint="cs"/>
          <w:rtl/>
        </w:rPr>
        <w:t xml:space="preserve">ח כדי לכסות את ההכנסות האחרות. </w:t>
      </w:r>
      <w:r>
        <w:rPr>
          <w:rFonts w:hint="cs"/>
          <w:rtl/>
        </w:rPr>
        <w:t>עניין מע' ביטחון סוציאלי הוא נושא מורכב, ואין תשובה אחת נכונה. יש לנו 40 מיל</w:t>
      </w:r>
      <w:r w:rsidR="003C46AE">
        <w:rPr>
          <w:rFonts w:hint="cs"/>
          <w:rtl/>
        </w:rPr>
        <w:t>י</w:t>
      </w:r>
      <w:r>
        <w:rPr>
          <w:rFonts w:hint="cs"/>
          <w:rtl/>
        </w:rPr>
        <w:t>ארד שהם תשלום שוטף מכוח החוק ועוד כ- 20 מ</w:t>
      </w:r>
      <w:r w:rsidR="003C46AE">
        <w:rPr>
          <w:rFonts w:hint="cs"/>
          <w:rtl/>
        </w:rPr>
        <w:t>י</w:t>
      </w:r>
      <w:r>
        <w:rPr>
          <w:rFonts w:hint="cs"/>
          <w:rtl/>
        </w:rPr>
        <w:t xml:space="preserve">ליארד ריבית על הקרן. </w:t>
      </w:r>
      <w:r w:rsidR="00CF5C0A">
        <w:rPr>
          <w:rFonts w:hint="cs"/>
          <w:rtl/>
        </w:rPr>
        <w:t>הקרן</w:t>
      </w:r>
      <w:r>
        <w:rPr>
          <w:rFonts w:hint="cs"/>
          <w:rtl/>
        </w:rPr>
        <w:t xml:space="preserve"> היא</w:t>
      </w:r>
      <w:r w:rsidR="00CF5C0A">
        <w:rPr>
          <w:rFonts w:hint="cs"/>
          <w:rtl/>
        </w:rPr>
        <w:t xml:space="preserve"> בסך</w:t>
      </w:r>
      <w:r>
        <w:rPr>
          <w:rFonts w:hint="cs"/>
          <w:rtl/>
        </w:rPr>
        <w:t xml:space="preserve"> 240 מ</w:t>
      </w:r>
      <w:r w:rsidR="00CF5C0A">
        <w:rPr>
          <w:rFonts w:hint="cs"/>
          <w:rtl/>
        </w:rPr>
        <w:t>י</w:t>
      </w:r>
      <w:r>
        <w:rPr>
          <w:rFonts w:hint="cs"/>
          <w:rtl/>
        </w:rPr>
        <w:t xml:space="preserve">ליארד ₪. בחודשים הקרובים צפוי </w:t>
      </w:r>
      <w:r w:rsidR="003C46AE">
        <w:rPr>
          <w:rFonts w:hint="cs"/>
          <w:rtl/>
        </w:rPr>
        <w:t xml:space="preserve">להתפרסם </w:t>
      </w:r>
      <w:r>
        <w:rPr>
          <w:rFonts w:hint="cs"/>
          <w:rtl/>
        </w:rPr>
        <w:t>דו"ח אקטוארי מעודכן. גם ב</w:t>
      </w:r>
      <w:r w:rsidR="003C46AE">
        <w:rPr>
          <w:rFonts w:hint="cs"/>
          <w:rtl/>
        </w:rPr>
        <w:t>תקופת ה</w:t>
      </w:r>
      <w:r>
        <w:rPr>
          <w:rFonts w:hint="cs"/>
          <w:rtl/>
        </w:rPr>
        <w:t>קורונה כשהיה חשש שהקופה תתרוקן, המדינה התגייסה והקצתה כסף כדי שביטו</w:t>
      </w:r>
      <w:r w:rsidR="003C46AE">
        <w:rPr>
          <w:rFonts w:hint="cs"/>
          <w:rtl/>
        </w:rPr>
        <w:t>ח לאומי לא יהיה בגירעון.</w:t>
      </w:r>
      <w:r w:rsidR="006C323A">
        <w:rPr>
          <w:rFonts w:hint="cs"/>
          <w:rtl/>
        </w:rPr>
        <w:t xml:space="preserve"> ואכן בשנת</w:t>
      </w:r>
      <w:r>
        <w:rPr>
          <w:rFonts w:hint="cs"/>
          <w:rtl/>
        </w:rPr>
        <w:t xml:space="preserve"> 2020 הוא היה בעודף קל. מבחינתנו אנ</w:t>
      </w:r>
      <w:r w:rsidR="00CF5C0A">
        <w:rPr>
          <w:rFonts w:hint="cs"/>
          <w:rtl/>
        </w:rPr>
        <w:t>ו</w:t>
      </w:r>
      <w:r>
        <w:rPr>
          <w:rFonts w:hint="cs"/>
          <w:rtl/>
        </w:rPr>
        <w:t xml:space="preserve"> אחראים לשמור על איתנותו הפיננסית </w:t>
      </w:r>
      <w:r w:rsidR="003C46AE">
        <w:rPr>
          <w:rFonts w:hint="cs"/>
          <w:rtl/>
        </w:rPr>
        <w:t xml:space="preserve">של המוסד לביטוח לאומי </w:t>
      </w:r>
      <w:r>
        <w:rPr>
          <w:rFonts w:hint="cs"/>
          <w:rtl/>
        </w:rPr>
        <w:t xml:space="preserve">ואנו בוחנים האם צריך להיות שינוי במודל הקיים. </w:t>
      </w:r>
    </w:p>
    <w:p w:rsidR="00CF5C0A" w:rsidRDefault="00CF5C0A" w:rsidP="003C46AE">
      <w:pPr>
        <w:jc w:val="both"/>
      </w:pPr>
      <w:r>
        <w:rPr>
          <w:rFonts w:hint="cs"/>
          <w:rtl/>
        </w:rPr>
        <w:t>יש לנו תיקוני חקיקה במסגרת הביטוח הלאומי להעלאת קצבאות, משרד האוצר מ</w:t>
      </w:r>
      <w:r w:rsidR="00952925">
        <w:rPr>
          <w:rFonts w:hint="cs"/>
          <w:rtl/>
        </w:rPr>
        <w:t xml:space="preserve">שפה באופן מלא. </w:t>
      </w:r>
      <w:r w:rsidR="003C46AE">
        <w:rPr>
          <w:rFonts w:hint="cs"/>
          <w:rtl/>
        </w:rPr>
        <w:t>ה</w:t>
      </w:r>
      <w:r w:rsidR="00952925">
        <w:rPr>
          <w:rFonts w:hint="cs"/>
          <w:rtl/>
        </w:rPr>
        <w:t xml:space="preserve">משרד מוצא מקור תקציבי לכל שינוי בחקיקה כדי לא לפגוע במצב הכספי של הביטוח הלאומי. </w:t>
      </w:r>
    </w:p>
    <w:p w:rsidR="00BF56EC" w:rsidRPr="00EF6686" w:rsidRDefault="00BF56EC" w:rsidP="00BF56EC">
      <w:pPr>
        <w:pStyle w:val="af"/>
        <w:rPr>
          <w:rtl/>
        </w:rPr>
      </w:pPr>
    </w:p>
    <w:p w:rsidR="00BF56EC" w:rsidRDefault="00CF5C0A" w:rsidP="006B1335">
      <w:pPr>
        <w:jc w:val="both"/>
        <w:rPr>
          <w:rtl/>
        </w:rPr>
      </w:pPr>
      <w:r w:rsidRPr="00CF5C0A">
        <w:rPr>
          <w:rFonts w:hint="cs"/>
          <w:b/>
          <w:bCs/>
          <w:rtl/>
        </w:rPr>
        <w:t>משרד רה"מ</w:t>
      </w:r>
      <w:r>
        <w:rPr>
          <w:rFonts w:hint="cs"/>
          <w:rtl/>
        </w:rPr>
        <w:t xml:space="preserve"> </w:t>
      </w:r>
      <w:r>
        <w:rPr>
          <w:rtl/>
        </w:rPr>
        <w:t>–</w:t>
      </w:r>
      <w:r>
        <w:rPr>
          <w:rFonts w:hint="cs"/>
          <w:rtl/>
        </w:rPr>
        <w:t xml:space="preserve"> </w:t>
      </w:r>
      <w:r w:rsidRPr="00CF5C0A">
        <w:rPr>
          <w:rFonts w:hint="cs"/>
          <w:u w:val="single"/>
          <w:rtl/>
        </w:rPr>
        <w:t>דוד בדל-ר' אגף מחקר, המועצה הלאומית לכלכלה</w:t>
      </w:r>
      <w:r>
        <w:rPr>
          <w:rFonts w:hint="cs"/>
          <w:rtl/>
        </w:rPr>
        <w:t xml:space="preserve"> </w:t>
      </w:r>
      <w:r w:rsidR="000E00A5">
        <w:rPr>
          <w:rtl/>
        </w:rPr>
        <w:t>–</w:t>
      </w:r>
      <w:r>
        <w:rPr>
          <w:rFonts w:hint="cs"/>
          <w:rtl/>
        </w:rPr>
        <w:t xml:space="preserve"> </w:t>
      </w:r>
      <w:r w:rsidR="000E00A5">
        <w:rPr>
          <w:rFonts w:hint="cs"/>
          <w:rtl/>
        </w:rPr>
        <w:t xml:space="preserve">המועצה דנה בנושא הזה גם בשנים הקודמות, ראוי שיתקיים דיון מעמיק ונוקב. הדיון צריך ליסוב על עצמאות הביטוח הלאומי </w:t>
      </w:r>
      <w:r w:rsidR="000E00A5">
        <w:rPr>
          <w:rtl/>
        </w:rPr>
        <w:t>–</w:t>
      </w:r>
      <w:r w:rsidR="000E00A5">
        <w:rPr>
          <w:rFonts w:hint="cs"/>
          <w:rtl/>
        </w:rPr>
        <w:t xml:space="preserve"> האם צריך להיות מוסד של ביטוח שעומד בפני עצמו או זרוע ביצועית. </w:t>
      </w:r>
      <w:r w:rsidR="003C46AE">
        <w:rPr>
          <w:rFonts w:hint="cs"/>
          <w:rtl/>
        </w:rPr>
        <w:t>כרגע</w:t>
      </w:r>
      <w:r w:rsidR="000E00A5">
        <w:rPr>
          <w:rFonts w:hint="cs"/>
          <w:rtl/>
        </w:rPr>
        <w:t xml:space="preserve"> הדיון לא הוכרע, </w:t>
      </w:r>
      <w:r w:rsidR="003C46AE">
        <w:rPr>
          <w:rFonts w:hint="cs"/>
          <w:rtl/>
        </w:rPr>
        <w:t>ו</w:t>
      </w:r>
      <w:r w:rsidR="000E00A5">
        <w:rPr>
          <w:rFonts w:hint="cs"/>
          <w:rtl/>
        </w:rPr>
        <w:t>הוא מקבל העברות תקצי</w:t>
      </w:r>
      <w:r w:rsidR="003C46AE">
        <w:rPr>
          <w:rFonts w:hint="cs"/>
          <w:rtl/>
        </w:rPr>
        <w:t>ביות משמעותיות מהאוצר.</w:t>
      </w:r>
      <w:r w:rsidR="00952925">
        <w:rPr>
          <w:rFonts w:hint="cs"/>
          <w:rtl/>
        </w:rPr>
        <w:t xml:space="preserve"> מדובר בס</w:t>
      </w:r>
      <w:r w:rsidR="000E00A5">
        <w:rPr>
          <w:rFonts w:hint="cs"/>
          <w:rtl/>
        </w:rPr>
        <w:t xml:space="preserve">ופו של דבר </w:t>
      </w:r>
      <w:r w:rsidR="00952925">
        <w:rPr>
          <w:rFonts w:hint="cs"/>
          <w:rtl/>
        </w:rPr>
        <w:t xml:space="preserve">על </w:t>
      </w:r>
      <w:r w:rsidR="000E00A5">
        <w:rPr>
          <w:rFonts w:hint="cs"/>
          <w:rtl/>
        </w:rPr>
        <w:t xml:space="preserve">סבסוד משמעותי וזה לא יוצר עצמאות לביטוח לאומי. </w:t>
      </w:r>
      <w:r w:rsidR="003C46AE">
        <w:rPr>
          <w:rFonts w:hint="cs"/>
          <w:rtl/>
        </w:rPr>
        <w:t xml:space="preserve">בנק ישראל לא שותף לאקטואריה של ביטוח לאומי. </w:t>
      </w:r>
      <w:r w:rsidR="000E00A5">
        <w:rPr>
          <w:rFonts w:hint="cs"/>
          <w:rtl/>
        </w:rPr>
        <w:t xml:space="preserve">הקרן </w:t>
      </w:r>
      <w:r w:rsidR="003C46AE">
        <w:rPr>
          <w:rFonts w:hint="cs"/>
          <w:rtl/>
        </w:rPr>
        <w:t xml:space="preserve">כיום היא </w:t>
      </w:r>
      <w:r w:rsidR="000E00A5">
        <w:rPr>
          <w:rFonts w:hint="cs"/>
          <w:rtl/>
        </w:rPr>
        <w:t xml:space="preserve">בסך 240 מיליארד ₪ </w:t>
      </w:r>
      <w:r w:rsidR="003C46AE">
        <w:rPr>
          <w:rFonts w:hint="cs"/>
          <w:rtl/>
        </w:rPr>
        <w:t>ו</w:t>
      </w:r>
      <w:r w:rsidR="000E00A5">
        <w:rPr>
          <w:rFonts w:hint="cs"/>
          <w:rtl/>
        </w:rPr>
        <w:t xml:space="preserve">מספיקה לשנתיים של תשלום. </w:t>
      </w:r>
      <w:r w:rsidR="006B1335">
        <w:rPr>
          <w:rFonts w:hint="cs"/>
          <w:rtl/>
        </w:rPr>
        <w:t xml:space="preserve">לדעת פרופ' אבי שמחון - </w:t>
      </w:r>
      <w:r w:rsidR="000E00A5">
        <w:rPr>
          <w:rFonts w:hint="cs"/>
          <w:rtl/>
        </w:rPr>
        <w:t xml:space="preserve">יש לנו קצת זמן להכריע בשאלת </w:t>
      </w:r>
      <w:r w:rsidR="006B1335">
        <w:rPr>
          <w:rFonts w:hint="cs"/>
          <w:rtl/>
        </w:rPr>
        <w:t>ה</w:t>
      </w:r>
      <w:r w:rsidR="000E00A5">
        <w:rPr>
          <w:rFonts w:hint="cs"/>
          <w:rtl/>
        </w:rPr>
        <w:t xml:space="preserve">עצמאות והעברות ישירות מתקציב המדינה להזיז את המטולטלת. </w:t>
      </w:r>
      <w:r w:rsidR="006C323A">
        <w:rPr>
          <w:rFonts w:hint="cs"/>
          <w:rtl/>
        </w:rPr>
        <w:t xml:space="preserve">אנחנו נכנס דיון אצלנו בתום התהליכים התקציביים. המצב היום שיש העברות תקציביות היא דרך אמצע, חדלות הפירעון לא נתונה במחלוקת, המחלוקת היא מתי זה יקרה. המוסד לביטוח לאומי לא רשאי להשקיע כראות עיניו אלא משתמש באג"חים. </w:t>
      </w:r>
      <w:r w:rsidR="00952925">
        <w:rPr>
          <w:rFonts w:hint="cs"/>
          <w:rtl/>
        </w:rPr>
        <w:t xml:space="preserve">לדיון הבא של הוועדה אנחנו נוכל לגבש עקרונות כדי לקיים דיון מעמיק. </w:t>
      </w:r>
    </w:p>
    <w:p w:rsidR="00952925" w:rsidRDefault="00952925" w:rsidP="00BF56EC">
      <w:pPr>
        <w:jc w:val="both"/>
        <w:rPr>
          <w:b/>
          <w:bCs/>
          <w:rtl/>
        </w:rPr>
      </w:pPr>
    </w:p>
    <w:p w:rsidR="00952925" w:rsidRPr="00952925" w:rsidRDefault="00952925" w:rsidP="00BF56EC">
      <w:pPr>
        <w:jc w:val="both"/>
        <w:rPr>
          <w:b/>
          <w:bCs/>
          <w:rtl/>
        </w:rPr>
      </w:pPr>
    </w:p>
    <w:p w:rsidR="00BF56EC" w:rsidRPr="00EF6686" w:rsidRDefault="00BF56EC" w:rsidP="00BF56EC">
      <w:pPr>
        <w:jc w:val="both"/>
        <w:rPr>
          <w:b/>
          <w:bCs/>
          <w:rtl/>
        </w:rPr>
      </w:pPr>
      <w:r w:rsidRPr="00EF6686">
        <w:rPr>
          <w:rFonts w:hint="cs"/>
          <w:b/>
          <w:bCs/>
          <w:rtl/>
        </w:rPr>
        <w:t>בתום הישיבה הגיעה הועדה למסקנות הבאות:</w:t>
      </w:r>
    </w:p>
    <w:p w:rsidR="00BF56EC" w:rsidRPr="00EF6686" w:rsidRDefault="00BF56EC" w:rsidP="00BF56EC">
      <w:pPr>
        <w:pStyle w:val="af"/>
        <w:numPr>
          <w:ilvl w:val="0"/>
          <w:numId w:val="5"/>
        </w:numPr>
        <w:jc w:val="both"/>
      </w:pPr>
      <w:r w:rsidRPr="00EF6686">
        <w:rPr>
          <w:rFonts w:hint="cs"/>
          <w:rtl/>
        </w:rPr>
        <w:t>הוועדה מודה לכל המשתתפים בדיון.</w:t>
      </w:r>
    </w:p>
    <w:p w:rsidR="00BF56EC" w:rsidRDefault="0064584E" w:rsidP="0064584E">
      <w:pPr>
        <w:pStyle w:val="af"/>
        <w:numPr>
          <w:ilvl w:val="0"/>
          <w:numId w:val="5"/>
        </w:numPr>
        <w:jc w:val="both"/>
        <w:rPr>
          <w:b/>
          <w:bCs/>
        </w:rPr>
      </w:pPr>
      <w:r>
        <w:rPr>
          <w:rFonts w:hint="cs"/>
          <w:rtl/>
        </w:rPr>
        <w:t>הוועדה דורשת מרה"מ ושר העבודה</w:t>
      </w:r>
      <w:r w:rsidR="00CF5C0A">
        <w:rPr>
          <w:rFonts w:hint="cs"/>
          <w:rtl/>
        </w:rPr>
        <w:t xml:space="preserve"> ל</w:t>
      </w:r>
      <w:r>
        <w:rPr>
          <w:rFonts w:hint="cs"/>
          <w:rtl/>
        </w:rPr>
        <w:t>קיים דיון דחוף בנושא</w:t>
      </w:r>
      <w:r w:rsidR="00CF5C0A">
        <w:rPr>
          <w:rFonts w:hint="cs"/>
          <w:rtl/>
        </w:rPr>
        <w:t>.</w:t>
      </w:r>
      <w:r>
        <w:rPr>
          <w:rFonts w:hint="cs"/>
          <w:rtl/>
        </w:rPr>
        <w:t xml:space="preserve">  </w:t>
      </w:r>
    </w:p>
    <w:p w:rsidR="00952925" w:rsidRPr="00952925" w:rsidRDefault="00952925" w:rsidP="0064584E">
      <w:pPr>
        <w:pStyle w:val="af"/>
        <w:numPr>
          <w:ilvl w:val="0"/>
          <w:numId w:val="5"/>
        </w:numPr>
        <w:jc w:val="both"/>
        <w:rPr>
          <w:rtl/>
        </w:rPr>
      </w:pPr>
      <w:r w:rsidRPr="00952925">
        <w:rPr>
          <w:rFonts w:hint="cs"/>
          <w:rtl/>
        </w:rPr>
        <w:t>הוועדה תקיים ישיבת מעקב בעוד 3 חודשים.</w:t>
      </w:r>
    </w:p>
    <w:p w:rsidR="009F5720" w:rsidRDefault="009F5720" w:rsidP="009F5720">
      <w:pPr>
        <w:jc w:val="both"/>
        <w:rPr>
          <w:b/>
          <w:bCs/>
          <w:rtl/>
        </w:rPr>
      </w:pPr>
    </w:p>
    <w:p w:rsidR="009F5720" w:rsidRDefault="009F5720" w:rsidP="009F5720">
      <w:pPr>
        <w:jc w:val="both"/>
        <w:rPr>
          <w:b/>
          <w:bCs/>
          <w:rtl/>
        </w:rPr>
      </w:pPr>
    </w:p>
    <w:p w:rsidR="000827D1" w:rsidRDefault="000827D1" w:rsidP="000827D1">
      <w:pPr>
        <w:jc w:val="both"/>
        <w:rPr>
          <w:b/>
          <w:bCs/>
          <w:rtl/>
        </w:rPr>
      </w:pPr>
    </w:p>
    <w:p w:rsidR="009F5720" w:rsidRPr="009F5720" w:rsidRDefault="009F5720" w:rsidP="000827D1">
      <w:pPr>
        <w:jc w:val="both"/>
        <w:rPr>
          <w:noProof w:val="0"/>
          <w:rtl/>
        </w:rPr>
      </w:pPr>
    </w:p>
    <w:sectPr w:rsidR="009F5720" w:rsidRPr="009F5720" w:rsidSect="00BF56EC">
      <w:headerReference w:type="default" r:id="rId11"/>
      <w:footerReference w:type="default" r:id="rId12"/>
      <w:pgSz w:w="11906" w:h="16838"/>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465" w:rsidRDefault="00007465" w:rsidP="000D5AD3">
      <w:r>
        <w:separator/>
      </w:r>
    </w:p>
  </w:endnote>
  <w:endnote w:type="continuationSeparator" w:id="0">
    <w:p w:rsidR="00007465" w:rsidRDefault="00007465" w:rsidP="000D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20" w:rsidRDefault="009F5720" w:rsidP="009F5720">
    <w:pPr>
      <w:tabs>
        <w:tab w:val="center" w:pos="4153"/>
        <w:tab w:val="right" w:pos="8306"/>
      </w:tabs>
      <w:spacing w:line="276" w:lineRule="auto"/>
      <w:jc w:val="center"/>
      <w:rPr>
        <w:rtl/>
      </w:rPr>
    </w:pPr>
    <w:r>
      <w:rPr>
        <w:rFonts w:hint="cs"/>
        <w:rtl/>
      </w:rPr>
      <w:t>___________________________________________________________________</w:t>
    </w:r>
  </w:p>
  <w:p w:rsidR="009F5720" w:rsidRDefault="009F5720" w:rsidP="009F5720">
    <w:pPr>
      <w:tabs>
        <w:tab w:val="center" w:pos="4153"/>
        <w:tab w:val="right" w:pos="8306"/>
      </w:tabs>
      <w:spacing w:line="276" w:lineRule="auto"/>
      <w:jc w:val="center"/>
      <w:rPr>
        <w:rtl/>
      </w:rPr>
    </w:pPr>
    <w:r>
      <w:rPr>
        <w:rFonts w:hint="cs"/>
        <w:rtl/>
      </w:rPr>
      <w:t xml:space="preserve">משכן הכנסת, קריית בן-גוריון, ירושלים, מיקוד 9195016 </w:t>
    </w:r>
  </w:p>
  <w:p w:rsidR="009F5720" w:rsidRPr="009F5720" w:rsidRDefault="009F5720" w:rsidP="009F5720">
    <w:pPr>
      <w:tabs>
        <w:tab w:val="center" w:pos="4153"/>
        <w:tab w:val="right" w:pos="8306"/>
      </w:tabs>
      <w:jc w:val="center"/>
    </w:pPr>
    <w:r>
      <w:rPr>
        <w:rFonts w:hint="cs"/>
        <w:rtl/>
      </w:rPr>
      <w:t xml:space="preserve"> </w:t>
    </w:r>
    <w:r w:rsidRPr="00842332">
      <w:rPr>
        <w:rFonts w:hint="cs"/>
        <w:rtl/>
      </w:rPr>
      <w:t xml:space="preserve">טלפון: 02-6408526/269, פקס: 02-6753111 , דוא"ל: </w:t>
    </w:r>
    <w:hyperlink r:id="rId1" w:history="1">
      <w:r w:rsidRPr="00842332">
        <w:rPr>
          <w:rStyle w:val="Hyperlink"/>
        </w:rPr>
        <w:t>vbikoret@knesset.gov.il</w:t>
      </w:r>
    </w:hyperlink>
    <w:r w:rsidRPr="00842332">
      <w:rPr>
        <w:rFonts w:hint="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465" w:rsidRDefault="00007465" w:rsidP="000D5AD3">
      <w:r>
        <w:separator/>
      </w:r>
    </w:p>
  </w:footnote>
  <w:footnote w:type="continuationSeparator" w:id="0">
    <w:p w:rsidR="00007465" w:rsidRDefault="00007465" w:rsidP="000D5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20" w:rsidRDefault="009F5720" w:rsidP="009F5720">
    <w:pPr>
      <w:spacing w:line="360" w:lineRule="auto"/>
      <w:ind w:left="-1"/>
      <w:jc w:val="center"/>
      <w:rPr>
        <w:rtl/>
      </w:rPr>
    </w:pPr>
    <w:r>
      <w:rPr>
        <w:rFonts w:hint="cs"/>
        <w:rtl/>
        <w:lang w:eastAsia="en-US"/>
      </w:rPr>
      <w:drawing>
        <wp:inline distT="0" distB="0" distL="0" distR="0">
          <wp:extent cx="474345" cy="594995"/>
          <wp:effectExtent l="0" t="0" r="1905" b="0"/>
          <wp:docPr id="1" name="תמונה 1" descr="semelKnes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Kness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94995"/>
                  </a:xfrm>
                  <a:prstGeom prst="rect">
                    <a:avLst/>
                  </a:prstGeom>
                  <a:noFill/>
                  <a:ln>
                    <a:noFill/>
                  </a:ln>
                </pic:spPr>
              </pic:pic>
            </a:graphicData>
          </a:graphic>
        </wp:inline>
      </w:drawing>
    </w:r>
  </w:p>
  <w:p w:rsidR="009F5720" w:rsidRDefault="009F5720" w:rsidP="009F5720">
    <w:pPr>
      <w:pStyle w:val="af0"/>
      <w:spacing w:line="360" w:lineRule="auto"/>
      <w:ind w:left="-1133" w:right="-993"/>
      <w:jc w:val="center"/>
      <w:rPr>
        <w:rtl/>
      </w:rPr>
    </w:pPr>
    <w:r>
      <w:rPr>
        <w:rFonts w:hint="cs"/>
        <w:rtl/>
      </w:rPr>
      <w:t xml:space="preserve">  </w:t>
    </w:r>
    <w:r>
      <w:rPr>
        <w:rFonts w:hint="eastAsia"/>
        <w:rtl/>
      </w:rPr>
      <w:t>הכנסת</w:t>
    </w:r>
  </w:p>
  <w:p w:rsidR="009F5720" w:rsidRPr="009F5720" w:rsidRDefault="009F5720" w:rsidP="009F5720">
    <w:pPr>
      <w:spacing w:line="360" w:lineRule="auto"/>
      <w:ind w:left="-1133" w:right="-993"/>
      <w:jc w:val="center"/>
      <w:rPr>
        <w:b/>
        <w:bCs/>
        <w:color w:val="000080"/>
        <w:sz w:val="28"/>
        <w:szCs w:val="28"/>
      </w:rPr>
    </w:pPr>
    <w:r>
      <w:rPr>
        <w:rFonts w:hint="cs"/>
        <w:b/>
        <w:bCs/>
        <w:color w:val="000080"/>
        <w:sz w:val="28"/>
        <w:szCs w:val="28"/>
        <w:rtl/>
      </w:rPr>
      <w:t>הוועדה לענייני ביקורת המדינה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1FD8"/>
    <w:multiLevelType w:val="hybridMultilevel"/>
    <w:tmpl w:val="6910281A"/>
    <w:lvl w:ilvl="0" w:tplc="1DC2266C">
      <w:start w:val="2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A44DF"/>
    <w:multiLevelType w:val="hybridMultilevel"/>
    <w:tmpl w:val="C5C6F8BC"/>
    <w:lvl w:ilvl="0" w:tplc="D70210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F08A9"/>
    <w:multiLevelType w:val="hybridMultilevel"/>
    <w:tmpl w:val="1FCAF55A"/>
    <w:lvl w:ilvl="0" w:tplc="8EF003E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533BC0"/>
    <w:multiLevelType w:val="hybridMultilevel"/>
    <w:tmpl w:val="8092DC14"/>
    <w:lvl w:ilvl="0" w:tplc="2520971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C19C4"/>
    <w:multiLevelType w:val="hybridMultilevel"/>
    <w:tmpl w:val="DDEC5D52"/>
    <w:lvl w:ilvl="0" w:tplc="809C47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E2E55"/>
    <w:multiLevelType w:val="hybridMultilevel"/>
    <w:tmpl w:val="B566875C"/>
    <w:lvl w:ilvl="0" w:tplc="0B644190">
      <w:start w:val="1"/>
      <w:numFmt w:val="hebrew1"/>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D3"/>
    <w:rsid w:val="00007465"/>
    <w:rsid w:val="00046257"/>
    <w:rsid w:val="00057DE2"/>
    <w:rsid w:val="0006569C"/>
    <w:rsid w:val="000827D1"/>
    <w:rsid w:val="000903C1"/>
    <w:rsid w:val="000D2098"/>
    <w:rsid w:val="000D5AD3"/>
    <w:rsid w:val="000E00A5"/>
    <w:rsid w:val="000E54D4"/>
    <w:rsid w:val="001222F8"/>
    <w:rsid w:val="001269B8"/>
    <w:rsid w:val="00127E47"/>
    <w:rsid w:val="001325F0"/>
    <w:rsid w:val="00185669"/>
    <w:rsid w:val="001A4A31"/>
    <w:rsid w:val="001C651F"/>
    <w:rsid w:val="0021782B"/>
    <w:rsid w:val="002705E5"/>
    <w:rsid w:val="002B1AE7"/>
    <w:rsid w:val="002B626D"/>
    <w:rsid w:val="002D5B0A"/>
    <w:rsid w:val="002D79F1"/>
    <w:rsid w:val="002E15EE"/>
    <w:rsid w:val="00384463"/>
    <w:rsid w:val="003B13F5"/>
    <w:rsid w:val="003C46AE"/>
    <w:rsid w:val="003D1EA2"/>
    <w:rsid w:val="003E3518"/>
    <w:rsid w:val="00405276"/>
    <w:rsid w:val="004425AF"/>
    <w:rsid w:val="0044347D"/>
    <w:rsid w:val="00471653"/>
    <w:rsid w:val="00494A5D"/>
    <w:rsid w:val="004E40FE"/>
    <w:rsid w:val="004F4334"/>
    <w:rsid w:val="005153C4"/>
    <w:rsid w:val="0053034B"/>
    <w:rsid w:val="005548EA"/>
    <w:rsid w:val="0056659C"/>
    <w:rsid w:val="0058492F"/>
    <w:rsid w:val="005D143B"/>
    <w:rsid w:val="005F6B7B"/>
    <w:rsid w:val="005F7602"/>
    <w:rsid w:val="00624F4D"/>
    <w:rsid w:val="00632858"/>
    <w:rsid w:val="0064584E"/>
    <w:rsid w:val="00663192"/>
    <w:rsid w:val="006B1335"/>
    <w:rsid w:val="006C323A"/>
    <w:rsid w:val="006E3111"/>
    <w:rsid w:val="006F092A"/>
    <w:rsid w:val="006F48A2"/>
    <w:rsid w:val="00703554"/>
    <w:rsid w:val="00706508"/>
    <w:rsid w:val="00731B9C"/>
    <w:rsid w:val="00776275"/>
    <w:rsid w:val="00794502"/>
    <w:rsid w:val="007A1A4D"/>
    <w:rsid w:val="007A3208"/>
    <w:rsid w:val="007E539B"/>
    <w:rsid w:val="007F5D62"/>
    <w:rsid w:val="007F60F6"/>
    <w:rsid w:val="00815686"/>
    <w:rsid w:val="008411AA"/>
    <w:rsid w:val="00892E6B"/>
    <w:rsid w:val="008A37EA"/>
    <w:rsid w:val="008E212F"/>
    <w:rsid w:val="008E6B7A"/>
    <w:rsid w:val="0091757C"/>
    <w:rsid w:val="00952925"/>
    <w:rsid w:val="009C3CF8"/>
    <w:rsid w:val="009E6A22"/>
    <w:rsid w:val="009F5720"/>
    <w:rsid w:val="00A30CCC"/>
    <w:rsid w:val="00A443B7"/>
    <w:rsid w:val="00A56F26"/>
    <w:rsid w:val="00AD1A60"/>
    <w:rsid w:val="00B1039E"/>
    <w:rsid w:val="00B23E0E"/>
    <w:rsid w:val="00B42187"/>
    <w:rsid w:val="00B44674"/>
    <w:rsid w:val="00B63210"/>
    <w:rsid w:val="00B86253"/>
    <w:rsid w:val="00BD0367"/>
    <w:rsid w:val="00BD0966"/>
    <w:rsid w:val="00BF56EC"/>
    <w:rsid w:val="00C066E3"/>
    <w:rsid w:val="00C73419"/>
    <w:rsid w:val="00C80B07"/>
    <w:rsid w:val="00CB7A0C"/>
    <w:rsid w:val="00CF5C0A"/>
    <w:rsid w:val="00D32DE4"/>
    <w:rsid w:val="00D37B2D"/>
    <w:rsid w:val="00D47B27"/>
    <w:rsid w:val="00D745F6"/>
    <w:rsid w:val="00D90AF2"/>
    <w:rsid w:val="00DB1B44"/>
    <w:rsid w:val="00DC2CAE"/>
    <w:rsid w:val="00E01415"/>
    <w:rsid w:val="00E1066E"/>
    <w:rsid w:val="00E86083"/>
    <w:rsid w:val="00ED6CE6"/>
    <w:rsid w:val="00EE3675"/>
    <w:rsid w:val="00EF7098"/>
    <w:rsid w:val="00F7453C"/>
    <w:rsid w:val="00F76023"/>
    <w:rsid w:val="00FA5068"/>
    <w:rsid w:val="00FC1D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AD3"/>
    <w:pPr>
      <w:bidi/>
      <w:spacing w:after="0" w:line="240" w:lineRule="auto"/>
    </w:pPr>
    <w:rPr>
      <w:rFonts w:ascii="Times New Roman" w:eastAsia="Times New Roman" w:hAnsi="Times New Roman" w:cs="David"/>
      <w:noProof/>
      <w:sz w:val="24"/>
      <w:szCs w:val="24"/>
      <w:lang w:eastAsia="he-IL"/>
    </w:rPr>
  </w:style>
  <w:style w:type="paragraph" w:styleId="1">
    <w:name w:val="heading 1"/>
    <w:basedOn w:val="a"/>
    <w:next w:val="a"/>
    <w:link w:val="10"/>
    <w:uiPriority w:val="9"/>
    <w:qFormat/>
    <w:rsid w:val="007065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D5AD3"/>
    <w:pPr>
      <w:keepNext/>
      <w:jc w:val="both"/>
      <w:outlineLvl w:val="1"/>
    </w:pPr>
    <w:rPr>
      <w:b/>
      <w:bCs/>
      <w:noProof w:val="0"/>
      <w:sz w:val="28"/>
      <w:szCs w:val="28"/>
      <w:u w:val="double"/>
    </w:rPr>
  </w:style>
  <w:style w:type="paragraph" w:styleId="3">
    <w:name w:val="heading 3"/>
    <w:basedOn w:val="a"/>
    <w:next w:val="a"/>
    <w:link w:val="30"/>
    <w:qFormat/>
    <w:rsid w:val="000D5AD3"/>
    <w:pPr>
      <w:keepNext/>
      <w:spacing w:after="120"/>
      <w:jc w:val="center"/>
      <w:outlineLvl w:val="2"/>
    </w:pPr>
    <w:rPr>
      <w:b/>
      <w:bCs/>
      <w:noProof w:val="0"/>
    </w:rPr>
  </w:style>
  <w:style w:type="paragraph" w:styleId="4">
    <w:name w:val="heading 4"/>
    <w:basedOn w:val="a"/>
    <w:next w:val="a"/>
    <w:link w:val="40"/>
    <w:uiPriority w:val="9"/>
    <w:semiHidden/>
    <w:unhideWhenUsed/>
    <w:qFormat/>
    <w:rsid w:val="00706508"/>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0D5AD3"/>
    <w:pPr>
      <w:keepNext/>
      <w:jc w:val="both"/>
      <w:outlineLvl w:val="5"/>
    </w:pPr>
    <w:rPr>
      <w:b/>
      <w:bCs/>
      <w:noProof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0D5AD3"/>
    <w:rPr>
      <w:rFonts w:ascii="Times New Roman" w:eastAsia="Times New Roman" w:hAnsi="Times New Roman" w:cs="David"/>
      <w:b/>
      <w:bCs/>
      <w:sz w:val="28"/>
      <w:szCs w:val="28"/>
      <w:u w:val="double"/>
      <w:lang w:eastAsia="he-IL"/>
    </w:rPr>
  </w:style>
  <w:style w:type="character" w:customStyle="1" w:styleId="30">
    <w:name w:val="כותרת 3 תו"/>
    <w:basedOn w:val="a0"/>
    <w:link w:val="3"/>
    <w:rsid w:val="000D5AD3"/>
    <w:rPr>
      <w:rFonts w:ascii="Times New Roman" w:eastAsia="Times New Roman" w:hAnsi="Times New Roman" w:cs="David"/>
      <w:b/>
      <w:bCs/>
      <w:sz w:val="24"/>
      <w:szCs w:val="24"/>
      <w:lang w:eastAsia="he-IL"/>
    </w:rPr>
  </w:style>
  <w:style w:type="character" w:customStyle="1" w:styleId="60">
    <w:name w:val="כותרת 6 תו"/>
    <w:basedOn w:val="a0"/>
    <w:link w:val="6"/>
    <w:rsid w:val="000D5AD3"/>
    <w:rPr>
      <w:rFonts w:ascii="Times New Roman" w:eastAsia="Times New Roman" w:hAnsi="Times New Roman" w:cs="David"/>
      <w:b/>
      <w:bCs/>
      <w:lang w:eastAsia="he-IL"/>
    </w:rPr>
  </w:style>
  <w:style w:type="paragraph" w:styleId="a3">
    <w:name w:val="footnote text"/>
    <w:basedOn w:val="a"/>
    <w:link w:val="a4"/>
    <w:semiHidden/>
    <w:rsid w:val="000D5AD3"/>
    <w:pPr>
      <w:jc w:val="both"/>
    </w:pPr>
    <w:rPr>
      <w:rFonts w:ascii="Times New (W1)" w:hAnsi="Times New (W1)"/>
      <w:noProof w:val="0"/>
      <w:sz w:val="20"/>
      <w:szCs w:val="20"/>
    </w:rPr>
  </w:style>
  <w:style w:type="character" w:customStyle="1" w:styleId="a4">
    <w:name w:val="טקסט הערת שוליים תו"/>
    <w:basedOn w:val="a0"/>
    <w:link w:val="a3"/>
    <w:semiHidden/>
    <w:rsid w:val="000D5AD3"/>
    <w:rPr>
      <w:rFonts w:ascii="Times New (W1)" w:eastAsia="Times New Roman" w:hAnsi="Times New (W1)" w:cs="David"/>
      <w:sz w:val="20"/>
      <w:szCs w:val="20"/>
      <w:lang w:eastAsia="he-IL"/>
    </w:rPr>
  </w:style>
  <w:style w:type="character" w:styleId="a5">
    <w:name w:val="footnote reference"/>
    <w:aliases w:val="Footnote Reference"/>
    <w:semiHidden/>
    <w:rsid w:val="000D5AD3"/>
    <w:rPr>
      <w:rFonts w:cs="David"/>
      <w:vertAlign w:val="superscript"/>
    </w:rPr>
  </w:style>
  <w:style w:type="paragraph" w:styleId="a6">
    <w:name w:val="Body Text"/>
    <w:basedOn w:val="a"/>
    <w:link w:val="a7"/>
    <w:rsid w:val="000D5AD3"/>
    <w:pPr>
      <w:jc w:val="both"/>
    </w:pPr>
    <w:rPr>
      <w:noProof w:val="0"/>
      <w:sz w:val="22"/>
      <w:szCs w:val="22"/>
    </w:rPr>
  </w:style>
  <w:style w:type="character" w:customStyle="1" w:styleId="a7">
    <w:name w:val="גוף טקסט תו"/>
    <w:basedOn w:val="a0"/>
    <w:link w:val="a6"/>
    <w:rsid w:val="000D5AD3"/>
    <w:rPr>
      <w:rFonts w:ascii="Times New Roman" w:eastAsia="Times New Roman" w:hAnsi="Times New Roman" w:cs="David"/>
      <w:lang w:eastAsia="he-IL"/>
    </w:rPr>
  </w:style>
  <w:style w:type="table" w:styleId="a8">
    <w:name w:val="Table Grid"/>
    <w:basedOn w:val="a1"/>
    <w:uiPriority w:val="39"/>
    <w:rsid w:val="000D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nhideWhenUsed/>
    <w:rsid w:val="000D5AD3"/>
    <w:pPr>
      <w:tabs>
        <w:tab w:val="center" w:pos="4153"/>
        <w:tab w:val="right" w:pos="8306"/>
      </w:tabs>
    </w:pPr>
  </w:style>
  <w:style w:type="character" w:customStyle="1" w:styleId="aa">
    <w:name w:val="כותרת עליונה תו"/>
    <w:basedOn w:val="a0"/>
    <w:link w:val="a9"/>
    <w:rsid w:val="000D5AD3"/>
    <w:rPr>
      <w:rFonts w:ascii="Times New Roman" w:eastAsia="Times New Roman" w:hAnsi="Times New Roman" w:cs="David"/>
      <w:noProof/>
      <w:sz w:val="24"/>
      <w:szCs w:val="24"/>
      <w:lang w:eastAsia="he-IL"/>
    </w:rPr>
  </w:style>
  <w:style w:type="paragraph" w:styleId="ab">
    <w:name w:val="footer"/>
    <w:basedOn w:val="a"/>
    <w:link w:val="ac"/>
    <w:unhideWhenUsed/>
    <w:rsid w:val="000D5AD3"/>
    <w:pPr>
      <w:tabs>
        <w:tab w:val="center" w:pos="4153"/>
        <w:tab w:val="right" w:pos="8306"/>
      </w:tabs>
    </w:pPr>
  </w:style>
  <w:style w:type="character" w:customStyle="1" w:styleId="ac">
    <w:name w:val="כותרת תחתונה תו"/>
    <w:basedOn w:val="a0"/>
    <w:link w:val="ab"/>
    <w:uiPriority w:val="99"/>
    <w:rsid w:val="000D5AD3"/>
    <w:rPr>
      <w:rFonts w:ascii="Times New Roman" w:eastAsia="Times New Roman" w:hAnsi="Times New Roman" w:cs="David"/>
      <w:noProof/>
      <w:sz w:val="24"/>
      <w:szCs w:val="24"/>
      <w:lang w:eastAsia="he-IL"/>
    </w:rPr>
  </w:style>
  <w:style w:type="character" w:customStyle="1" w:styleId="10">
    <w:name w:val="כותרת 1 תו"/>
    <w:basedOn w:val="a0"/>
    <w:link w:val="1"/>
    <w:uiPriority w:val="9"/>
    <w:rsid w:val="00706508"/>
    <w:rPr>
      <w:rFonts w:asciiTheme="majorHAnsi" w:eastAsiaTheme="majorEastAsia" w:hAnsiTheme="majorHAnsi" w:cstheme="majorBidi"/>
      <w:noProof/>
      <w:color w:val="2E74B5" w:themeColor="accent1" w:themeShade="BF"/>
      <w:sz w:val="32"/>
      <w:szCs w:val="32"/>
      <w:lang w:eastAsia="he-IL"/>
    </w:rPr>
  </w:style>
  <w:style w:type="character" w:customStyle="1" w:styleId="40">
    <w:name w:val="כותרת 4 תו"/>
    <w:basedOn w:val="a0"/>
    <w:link w:val="4"/>
    <w:uiPriority w:val="9"/>
    <w:semiHidden/>
    <w:rsid w:val="00706508"/>
    <w:rPr>
      <w:rFonts w:asciiTheme="majorHAnsi" w:eastAsiaTheme="majorEastAsia" w:hAnsiTheme="majorHAnsi" w:cstheme="majorBidi"/>
      <w:i/>
      <w:iCs/>
      <w:noProof/>
      <w:color w:val="2E74B5" w:themeColor="accent1" w:themeShade="BF"/>
      <w:sz w:val="24"/>
      <w:szCs w:val="24"/>
      <w:lang w:eastAsia="he-IL"/>
    </w:rPr>
  </w:style>
  <w:style w:type="paragraph" w:styleId="ad">
    <w:name w:val="Balloon Text"/>
    <w:basedOn w:val="a"/>
    <w:link w:val="ae"/>
    <w:uiPriority w:val="99"/>
    <w:semiHidden/>
    <w:unhideWhenUsed/>
    <w:rsid w:val="003E3518"/>
    <w:rPr>
      <w:rFonts w:ascii="Tahoma" w:hAnsi="Tahoma" w:cs="Tahoma"/>
      <w:sz w:val="16"/>
      <w:szCs w:val="16"/>
    </w:rPr>
  </w:style>
  <w:style w:type="character" w:customStyle="1" w:styleId="ae">
    <w:name w:val="טקסט בלונים תו"/>
    <w:basedOn w:val="a0"/>
    <w:link w:val="ad"/>
    <w:uiPriority w:val="99"/>
    <w:semiHidden/>
    <w:rsid w:val="003E3518"/>
    <w:rPr>
      <w:rFonts w:ascii="Tahoma" w:eastAsia="Times New Roman" w:hAnsi="Tahoma" w:cs="Tahoma"/>
      <w:noProof/>
      <w:sz w:val="16"/>
      <w:szCs w:val="16"/>
      <w:lang w:eastAsia="he-IL"/>
    </w:rPr>
  </w:style>
  <w:style w:type="paragraph" w:styleId="af">
    <w:name w:val="List Paragraph"/>
    <w:basedOn w:val="a"/>
    <w:uiPriority w:val="34"/>
    <w:qFormat/>
    <w:rsid w:val="008E212F"/>
    <w:pPr>
      <w:ind w:left="720"/>
      <w:contextualSpacing/>
    </w:pPr>
  </w:style>
  <w:style w:type="paragraph" w:styleId="af0">
    <w:name w:val="caption"/>
    <w:basedOn w:val="a"/>
    <w:next w:val="a"/>
    <w:qFormat/>
    <w:rsid w:val="009F5720"/>
    <w:pPr>
      <w:ind w:left="-1054"/>
    </w:pPr>
    <w:rPr>
      <w:bCs/>
      <w:noProof w:val="0"/>
      <w:color w:val="000080"/>
      <w:szCs w:val="28"/>
    </w:rPr>
  </w:style>
  <w:style w:type="character" w:styleId="Hyperlink">
    <w:name w:val="Hyperlink"/>
    <w:uiPriority w:val="99"/>
    <w:unhideWhenUsed/>
    <w:rsid w:val="009F57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bikoret@knesse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523A-3278-4801-BFCF-E2CBD8D3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52E77-96BE-4A75-A521-A2D76BB64359}">
  <ds:schemaRefs>
    <ds:schemaRef ds:uri="http://schemas.microsoft.com/sharepoint/v3/contenttype/forms"/>
  </ds:schemaRefs>
</ds:datastoreItem>
</file>

<file path=customXml/itemProps3.xml><?xml version="1.0" encoding="utf-8"?>
<ds:datastoreItem xmlns:ds="http://schemas.openxmlformats.org/officeDocument/2006/customXml" ds:itemID="{DF541B92-4C3F-4F86-BB49-5ED2F80F21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DB5C8-A76F-4F99-9B6B-48E66C64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6652</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2024-11-11T08:13:00Z</dcterms:created>
  <dcterms:modified xsi:type="dcterms:W3CDTF">2024-11-11T08:13:00Z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22 בפברואר 2023</vt:lpwstr>
  </property>
  <property fmtid="{D5CDD505-2E9C-101B-9397-08002B2CF9AE}" pid="3" name="DocDateEng2">
    <vt:lpwstr>22.02.2023</vt:lpwstr>
  </property>
  <property fmtid="{D5CDD505-2E9C-101B-9397-08002B2CF9AE}" pid="4" name="DocDateHeb">
    <vt:lpwstr>א' באדר תשפ"ג</vt:lpwstr>
  </property>
  <property fmtid="{D5CDD505-2E9C-101B-9397-08002B2CF9AE}" pid="5" name="DocNumberYearNumber">
    <vt:lpwstr>2023-012734</vt:lpwstr>
  </property>
  <property fmtid="{D5CDD505-2E9C-101B-9397-08002B2CF9AE}" pid="6" name="DocNumber">
    <vt:lpwstr>0200-0001-2023-012734</vt:lpwstr>
  </property>
  <property fmtid="{D5CDD505-2E9C-101B-9397-08002B2CF9AE}" pid="7" name="DocTo">
    <vt:lpwstr/>
  </property>
  <property fmtid="{D5CDD505-2E9C-101B-9397-08002B2CF9AE}" pid="8" name="DocSenderName1">
    <vt:lpwstr>מיטל אליהו סגנית מנהלת הוועדה לענייני ביקורת המדינה _x000d_</vt:lpwstr>
  </property>
  <property fmtid="{D5CDD505-2E9C-101B-9397-08002B2CF9AE}" pid="9" name="DocObjectName">
    <vt:lpwstr>משבר הגרעון במוסד לביטוח לאומי - ניהול החוב הממשלתי והתחייבות הממשלה – דוח שנתי 66א</vt:lpwstr>
  </property>
  <property fmtid="{D5CDD505-2E9C-101B-9397-08002B2CF9AE}" pid="10" name="DocRecipients">
    <vt:lpwstr/>
  </property>
  <property fmtid="{D5CDD505-2E9C-101B-9397-08002B2CF9AE}" pid="11" name="DocRecipientsNameJobTitle">
    <vt:lpwstr/>
  </property>
  <property fmtid="{D5CDD505-2E9C-101B-9397-08002B2CF9AE}" pid="12" name="DocRecipientsName">
    <vt:lpwstr/>
  </property>
  <property fmtid="{D5CDD505-2E9C-101B-9397-08002B2CF9AE}" pid="13" name="DocDateHebFull">
    <vt:lpwstr>יום רביעי,א' באדר תשפ"ג</vt:lpwstr>
  </property>
  <property fmtid="{D5CDD505-2E9C-101B-9397-08002B2CF9AE}" pid="14" name="DocToJobTitle">
    <vt:lpwstr/>
  </property>
  <property fmtid="{D5CDD505-2E9C-101B-9397-08002B2CF9AE}" pid="15" name="DocToName">
    <vt:lpwstr/>
  </property>
  <property fmtid="{D5CDD505-2E9C-101B-9397-08002B2CF9AE}" pid="16" name="DocTo1">
    <vt:lpwstr/>
  </property>
  <property fmtid="{D5CDD505-2E9C-101B-9397-08002B2CF9AE}" pid="17" name="DocToAddress">
    <vt:lpwstr/>
  </property>
  <property fmtid="{D5CDD505-2E9C-101B-9397-08002B2CF9AE}" pid="18" name="ContentTypeId">
    <vt:lpwstr>0x010100B856E9E2AEA0894D88E3332703BC2B79</vt:lpwstr>
  </property>
  <property fmtid="{D5CDD505-2E9C-101B-9397-08002B2CF9AE}" pid="19" name="SanhedrinItemID">
    <vt:r8>2236433</vt:r8>
  </property>
  <property fmtid="{D5CDD505-2E9C-101B-9397-08002B2CF9AE}" pid="20" name="SanhedrinDocumentType">
    <vt:r8>88</vt:r8>
  </property>
</Properties>
</file>