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  <w:gridCol w:w="6"/>
        <w:gridCol w:w="6"/>
        <w:gridCol w:w="6"/>
      </w:tblGrid>
      <w:tr w:rsidR="00310830" w:rsidTr="009B3D8C">
        <w:trPr>
          <w:trHeight w:val="839"/>
          <w:jc w:val="center"/>
        </w:trPr>
        <w:tc>
          <w:tcPr>
            <w:tcW w:w="9080" w:type="dxa"/>
          </w:tcPr>
          <w:tbl>
            <w:tblPr>
              <w:tblpPr w:leftFromText="180" w:rightFromText="180" w:horzAnchor="margin" w:tblpY="516"/>
              <w:tblOverlap w:val="never"/>
              <w:tblW w:w="90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6"/>
              <w:gridCol w:w="6794"/>
            </w:tblGrid>
            <w:tr w:rsidR="00310830" w:rsidTr="009B3D8C">
              <w:trPr>
                <w:gridAfter w:val="1"/>
                <w:wAfter w:w="6794" w:type="dxa"/>
                <w:trHeight w:val="839"/>
              </w:trPr>
              <w:tc>
                <w:tcPr>
                  <w:tcW w:w="2286" w:type="dxa"/>
                  <w:hideMark/>
                </w:tcPr>
                <w:p w:rsidR="00310830" w:rsidRDefault="00310830" w:rsidP="009B3D8C">
                  <w:pPr>
                    <w:spacing w:line="256" w:lineRule="auto"/>
                    <w:rPr>
                      <w:color w:val="002060"/>
                    </w:rPr>
                  </w:pPr>
                </w:p>
              </w:tc>
            </w:tr>
            <w:tr w:rsidR="00310830" w:rsidTr="009B3D8C">
              <w:trPr>
                <w:gridAfter w:val="1"/>
                <w:wAfter w:w="6794" w:type="dxa"/>
                <w:trHeight w:val="17"/>
              </w:trPr>
              <w:tc>
                <w:tcPr>
                  <w:tcW w:w="2286" w:type="dxa"/>
                </w:tcPr>
                <w:p w:rsidR="00310830" w:rsidRDefault="00310830" w:rsidP="009B3D8C">
                  <w:pPr>
                    <w:pStyle w:val="EmptyCellLayoutStyle"/>
                    <w:spacing w:after="0" w:line="240" w:lineRule="auto"/>
                    <w:jc w:val="center"/>
                    <w:rPr>
                      <w:color w:val="002060"/>
                      <w:rtl/>
                    </w:rPr>
                  </w:pPr>
                </w:p>
              </w:tc>
            </w:tr>
            <w:tr w:rsidR="00310830" w:rsidTr="009B3D8C">
              <w:trPr>
                <w:trHeight w:val="1066"/>
              </w:trPr>
              <w:tc>
                <w:tcPr>
                  <w:tcW w:w="9080" w:type="dxa"/>
                  <w:gridSpan w:val="2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5"/>
                  </w:tblGrid>
                  <w:tr w:rsidR="00310830" w:rsidTr="001E2CE6">
                    <w:trPr>
                      <w:trHeight w:val="325"/>
                      <w:jc w:val="center"/>
                    </w:trPr>
                    <w:tc>
                      <w:tcPr>
                        <w:tcW w:w="538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10830" w:rsidRDefault="00310830" w:rsidP="009B3D8C">
                        <w:pPr>
                          <w:spacing w:line="256" w:lineRule="auto"/>
                          <w:jc w:val="center"/>
                          <w:rPr>
                            <w:color w:val="002060"/>
                            <w:rtl/>
                          </w:rPr>
                        </w:pPr>
                        <w:r>
                          <w:rPr>
                            <w:rFonts w:ascii="Assistant" w:eastAsia="Assistant" w:hAnsi="Assistant" w:cs="Assistant"/>
                            <w:b/>
                            <w:bCs/>
                            <w:color w:val="002060"/>
                            <w:rtl/>
                          </w:rPr>
                          <w:t>הכנסת</w:t>
                        </w:r>
                      </w:p>
                      <w:p w:rsidR="00310830" w:rsidRDefault="00310830" w:rsidP="009B3D8C">
                        <w:pPr>
                          <w:spacing w:line="256" w:lineRule="auto"/>
                          <w:jc w:val="center"/>
                          <w:rPr>
                            <w:rFonts w:ascii="Assistant" w:eastAsia="Assistant" w:hAnsi="Assistant" w:cs="Assistant"/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rFonts w:ascii="Assistant" w:eastAsia="Assistant" w:hAnsi="Assistant" w:cs="Assistant"/>
                            <w:b/>
                            <w:bCs/>
                            <w:color w:val="002060"/>
                            <w:rtl/>
                          </w:rPr>
                          <w:t>יו"ר הוועדה לענייני ביקורת המדינה</w:t>
                        </w:r>
                      </w:p>
                      <w:p w:rsidR="00310830" w:rsidRDefault="00310830" w:rsidP="009B3D8C">
                        <w:pPr>
                          <w:spacing w:line="256" w:lineRule="auto"/>
                          <w:jc w:val="center"/>
                          <w:rPr>
                            <w:rFonts w:ascii="Assistant" w:eastAsia="Assistant" w:hAnsi="Assistant" w:cs="Assistant"/>
                            <w:b/>
                            <w:bCs/>
                            <w:color w:val="002060"/>
                            <w:rtl/>
                          </w:rPr>
                        </w:pPr>
                        <w:r>
                          <w:rPr>
                            <w:rFonts w:ascii="Assistant" w:eastAsia="Assistant" w:hAnsi="Assistant" w:cs="Assistant"/>
                            <w:b/>
                            <w:bCs/>
                            <w:color w:val="002060"/>
                            <w:rtl/>
                          </w:rPr>
                          <w:t>חה"כ מיקי לוי</w:t>
                        </w:r>
                      </w:p>
                      <w:p w:rsidR="00310830" w:rsidRDefault="00310830" w:rsidP="009B3D8C">
                        <w:pPr>
                          <w:spacing w:line="256" w:lineRule="auto"/>
                          <w:jc w:val="center"/>
                          <w:rPr>
                            <w:color w:val="002060"/>
                            <w:rtl/>
                          </w:rPr>
                        </w:pPr>
                      </w:p>
                    </w:tc>
                  </w:tr>
                </w:tbl>
                <w:p w:rsidR="00310830" w:rsidRDefault="00310830" w:rsidP="009B3D8C">
                  <w:pPr>
                    <w:spacing w:line="256" w:lineRule="auto"/>
                    <w:jc w:val="center"/>
                    <w:rPr>
                      <w:color w:val="002060"/>
                      <w:rtl/>
                    </w:rPr>
                  </w:pPr>
                  <w:r>
                    <w:rPr>
                      <w:color w:val="002060"/>
                      <w:lang w:eastAsia="en-US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2605793</wp:posOffset>
                        </wp:positionH>
                        <wp:positionV relativeFrom="paragraph">
                          <wp:posOffset>-1516702</wp:posOffset>
                        </wp:positionV>
                        <wp:extent cx="464185" cy="573405"/>
                        <wp:effectExtent l="0" t="0" r="0" b="0"/>
                        <wp:wrapNone/>
                        <wp:docPr id="1" name="תמונה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185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310830" w:rsidRDefault="00310830" w:rsidP="009B3D8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310830" w:rsidRDefault="00310830" w:rsidP="009B3D8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830" w:rsidRDefault="00310830" w:rsidP="009B3D8C">
            <w:pPr>
              <w:ind w:left="436" w:firstLine="283"/>
              <w:rPr>
                <w:rtl/>
              </w:rPr>
            </w:pPr>
          </w:p>
        </w:tc>
        <w:tc>
          <w:tcPr>
            <w:tcW w:w="6" w:type="dxa"/>
          </w:tcPr>
          <w:p w:rsidR="00310830" w:rsidRDefault="00310830" w:rsidP="009B3D8C">
            <w:pPr>
              <w:pStyle w:val="EmptyCellLayoutStyle"/>
              <w:spacing w:after="0" w:line="240" w:lineRule="auto"/>
            </w:pPr>
          </w:p>
        </w:tc>
      </w:tr>
      <w:tr w:rsidR="00310830" w:rsidTr="009B3D8C">
        <w:trPr>
          <w:trHeight w:val="17"/>
          <w:jc w:val="center"/>
        </w:trPr>
        <w:tc>
          <w:tcPr>
            <w:tcW w:w="9080" w:type="dxa"/>
          </w:tcPr>
          <w:p w:rsidR="00310830" w:rsidRDefault="00310830" w:rsidP="009B3D8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310830" w:rsidRDefault="00310830" w:rsidP="009B3D8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310830" w:rsidRDefault="00310830" w:rsidP="009B3D8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310830" w:rsidRDefault="00310830" w:rsidP="009B3D8C">
            <w:pPr>
              <w:pStyle w:val="EmptyCellLayoutStyle"/>
              <w:spacing w:after="0" w:line="240" w:lineRule="auto"/>
            </w:pPr>
          </w:p>
        </w:tc>
      </w:tr>
    </w:tbl>
    <w:p w:rsidR="008A4D7D" w:rsidRDefault="008A4D7D" w:rsidP="008A4D7D">
      <w:pPr>
        <w:jc w:val="right"/>
        <w:rPr>
          <w:rFonts w:ascii="Assistant" w:eastAsia="Assistant" w:hAnsi="Assistant" w:cs="Assistant"/>
          <w:color w:val="000000"/>
          <w:sz w:val="22"/>
          <w:szCs w:val="22"/>
          <w:rtl/>
        </w:rPr>
      </w:pPr>
      <w:r>
        <w:rPr>
          <w:rFonts w:ascii="Assistant" w:eastAsia="Assistant" w:hAnsi="Assistant" w:cs="Assistant" w:hint="eastAsia"/>
          <w:color w:val="000000"/>
          <w:sz w:val="22"/>
          <w:szCs w:val="22"/>
          <w:rtl/>
        </w:rPr>
        <w:t>‏‏</w:t>
      </w:r>
      <w:r>
        <w:rPr>
          <w:rFonts w:ascii="Assistant" w:eastAsia="Assistant" w:hAnsi="Assistant" w:cs="Assistant" w:hint="cs"/>
          <w:color w:val="000000"/>
          <w:sz w:val="22"/>
          <w:szCs w:val="22"/>
          <w:rtl/>
        </w:rPr>
        <w:t xml:space="preserve">ירושלים, </w:t>
      </w:r>
      <w:r>
        <w:rPr>
          <w:rFonts w:ascii="Assistant" w:eastAsia="Assistant" w:hAnsi="Assistant" w:cs="Assistant" w:hint="eastAsia"/>
          <w:color w:val="000000"/>
          <w:sz w:val="22"/>
          <w:szCs w:val="22"/>
          <w:rtl/>
        </w:rPr>
        <w:t>כ</w:t>
      </w:r>
      <w:r>
        <w:rPr>
          <w:rFonts w:ascii="Assistant" w:eastAsia="Assistant" w:hAnsi="Assistant" w:cs="Assistant"/>
          <w:color w:val="000000"/>
          <w:sz w:val="22"/>
          <w:szCs w:val="22"/>
          <w:rtl/>
        </w:rPr>
        <w:t>"ג חשון</w:t>
      </w:r>
      <w:r>
        <w:rPr>
          <w:rFonts w:ascii="Assistant" w:eastAsia="Assistant" w:hAnsi="Assistant" w:cs="Assistant" w:hint="cs"/>
          <w:color w:val="000000"/>
          <w:sz w:val="22"/>
          <w:szCs w:val="22"/>
          <w:rtl/>
        </w:rPr>
        <w:t xml:space="preserve">, </w:t>
      </w:r>
      <w:r>
        <w:rPr>
          <w:rFonts w:ascii="Assistant" w:eastAsia="Assistant" w:hAnsi="Assistant" w:cs="Assistant"/>
          <w:color w:val="000000"/>
          <w:sz w:val="22"/>
          <w:szCs w:val="22"/>
          <w:rtl/>
        </w:rPr>
        <w:t>תשפ"ה</w:t>
      </w:r>
    </w:p>
    <w:p w:rsidR="001E2CE6" w:rsidRPr="001E2CE6" w:rsidRDefault="00310830" w:rsidP="001E2CE6">
      <w:pPr>
        <w:jc w:val="right"/>
        <w:rPr>
          <w:rFonts w:ascii="Assistant" w:eastAsia="Assistant" w:hAnsi="Assistant" w:cs="Assistant"/>
          <w:color w:val="000000"/>
          <w:sz w:val="22"/>
          <w:szCs w:val="22"/>
          <w:rtl/>
        </w:rPr>
      </w:pPr>
      <w:r>
        <w:rPr>
          <w:rFonts w:ascii="Assistant" w:eastAsia="Assistant" w:hAnsi="Assistant" w:cs="Assistant"/>
          <w:color w:val="000000"/>
          <w:sz w:val="22"/>
          <w:szCs w:val="22"/>
          <w:rtl/>
        </w:rPr>
        <w:fldChar w:fldCharType="begin"/>
      </w:r>
      <w:r>
        <w:rPr>
          <w:rFonts w:ascii="Assistant" w:eastAsia="Assistant" w:hAnsi="Assistant" w:cs="Assistant"/>
          <w:color w:val="000000"/>
          <w:sz w:val="22"/>
          <w:szCs w:val="22"/>
          <w:rtl/>
        </w:rPr>
        <w:instrText xml:space="preserve"> </w:instrText>
      </w:r>
      <w:r>
        <w:rPr>
          <w:rFonts w:ascii="Assistant" w:eastAsia="Assistant" w:hAnsi="Assistant" w:cs="Assistant" w:hint="cs"/>
          <w:color w:val="000000"/>
          <w:sz w:val="22"/>
          <w:szCs w:val="22"/>
        </w:rPr>
        <w:instrText>DOCPROPERTY  DocDateEng  \* MERGEFORMAT</w:instrText>
      </w:r>
      <w:r>
        <w:rPr>
          <w:rFonts w:ascii="Assistant" w:eastAsia="Assistant" w:hAnsi="Assistant" w:cs="Assistant"/>
          <w:color w:val="000000"/>
          <w:sz w:val="22"/>
          <w:szCs w:val="22"/>
          <w:rtl/>
        </w:rPr>
        <w:instrText xml:space="preserve"> </w:instrText>
      </w:r>
      <w:r>
        <w:rPr>
          <w:rFonts w:ascii="Assistant" w:eastAsia="Assistant" w:hAnsi="Assistant" w:cs="Assistant"/>
          <w:color w:val="000000"/>
          <w:sz w:val="22"/>
          <w:szCs w:val="22"/>
          <w:rtl/>
        </w:rPr>
        <w:fldChar w:fldCharType="separate"/>
      </w:r>
      <w:r w:rsidR="008A4D7D">
        <w:rPr>
          <w:rFonts w:ascii="Assistant" w:eastAsia="Assistant" w:hAnsi="Assistant" w:cs="Assistant" w:hint="cs"/>
          <w:color w:val="000000"/>
          <w:sz w:val="22"/>
          <w:szCs w:val="22"/>
          <w:rtl/>
        </w:rPr>
        <w:t>24</w:t>
      </w:r>
      <w:r>
        <w:rPr>
          <w:rFonts w:ascii="Assistant" w:eastAsia="Assistant" w:hAnsi="Assistant" w:cs="Assistant" w:hint="cs"/>
          <w:color w:val="000000"/>
          <w:sz w:val="22"/>
          <w:szCs w:val="22"/>
          <w:rtl/>
        </w:rPr>
        <w:t xml:space="preserve"> </w:t>
      </w:r>
      <w:r w:rsidR="008A4D7D">
        <w:rPr>
          <w:rFonts w:ascii="Assistant" w:eastAsia="Assistant" w:hAnsi="Assistant" w:cs="Assistant" w:hint="cs"/>
          <w:color w:val="000000"/>
          <w:sz w:val="22"/>
          <w:szCs w:val="22"/>
          <w:rtl/>
        </w:rPr>
        <w:t>בנובמבר</w:t>
      </w:r>
      <w:r>
        <w:rPr>
          <w:rFonts w:ascii="Assistant" w:eastAsia="Assistant" w:hAnsi="Assistant" w:cs="Assistant" w:hint="cs"/>
          <w:color w:val="000000"/>
          <w:sz w:val="22"/>
          <w:szCs w:val="22"/>
          <w:rtl/>
        </w:rPr>
        <w:t xml:space="preserve"> 2024</w:t>
      </w:r>
      <w:r>
        <w:rPr>
          <w:rFonts w:ascii="Assistant" w:eastAsia="Assistant" w:hAnsi="Assistant" w:cs="Assistant"/>
          <w:color w:val="000000"/>
          <w:sz w:val="22"/>
          <w:szCs w:val="22"/>
          <w:rtl/>
        </w:rPr>
        <w:fldChar w:fldCharType="end"/>
      </w:r>
    </w:p>
    <w:p w:rsidR="00310830" w:rsidRPr="004D6D28" w:rsidRDefault="00310830" w:rsidP="00310830">
      <w:pPr>
        <w:spacing w:line="276" w:lineRule="auto"/>
        <w:rPr>
          <w:b/>
          <w:bCs/>
          <w:rtl/>
        </w:rPr>
      </w:pPr>
      <w:r w:rsidRPr="004D6D28">
        <w:rPr>
          <w:rFonts w:hint="cs"/>
          <w:b/>
          <w:bCs/>
          <w:rtl/>
        </w:rPr>
        <w:t>לכבוד</w:t>
      </w:r>
    </w:p>
    <w:p w:rsidR="00310830" w:rsidRPr="004D6D28" w:rsidRDefault="00310830" w:rsidP="00310830">
      <w:pPr>
        <w:spacing w:line="276" w:lineRule="auto"/>
        <w:rPr>
          <w:b/>
          <w:bCs/>
          <w:rtl/>
        </w:rPr>
      </w:pPr>
      <w:r w:rsidRPr="004D6D28">
        <w:rPr>
          <w:rFonts w:hint="cs"/>
          <w:b/>
          <w:bCs/>
          <w:rtl/>
        </w:rPr>
        <w:t>בצלאל סמוטריץ</w:t>
      </w:r>
    </w:p>
    <w:p w:rsidR="00310830" w:rsidRDefault="00310830" w:rsidP="00310830">
      <w:pPr>
        <w:spacing w:line="276" w:lineRule="auto"/>
        <w:rPr>
          <w:b/>
          <w:bCs/>
          <w:u w:val="single"/>
          <w:rtl/>
        </w:rPr>
      </w:pPr>
      <w:r w:rsidRPr="004D6D28">
        <w:rPr>
          <w:rFonts w:hint="cs"/>
          <w:b/>
          <w:bCs/>
          <w:u w:val="single"/>
          <w:rtl/>
        </w:rPr>
        <w:t>שר האוצר</w:t>
      </w:r>
    </w:p>
    <w:p w:rsidR="001E2CE6" w:rsidRPr="004D6D28" w:rsidRDefault="001E2CE6" w:rsidP="00310830">
      <w:pPr>
        <w:spacing w:line="276" w:lineRule="auto"/>
        <w:rPr>
          <w:b/>
          <w:bCs/>
          <w:u w:val="single"/>
          <w:rtl/>
        </w:rPr>
      </w:pPr>
    </w:p>
    <w:p w:rsidR="00310830" w:rsidRPr="001E2CE6" w:rsidRDefault="001E2CE6" w:rsidP="001E2CE6">
      <w:pPr>
        <w:spacing w:line="276" w:lineRule="auto"/>
        <w:jc w:val="center"/>
        <w:rPr>
          <w:b/>
          <w:bCs/>
          <w:u w:val="single"/>
          <w:rtl/>
        </w:rPr>
      </w:pPr>
      <w:r w:rsidRPr="001E2CE6">
        <w:rPr>
          <w:rFonts w:hint="cs"/>
          <w:b/>
          <w:bCs/>
          <w:u w:val="single"/>
          <w:rtl/>
        </w:rPr>
        <w:t>הנדון: משבר הגירעון בקופת המוסד לביטוח לאומי</w:t>
      </w:r>
    </w:p>
    <w:p w:rsidR="00310830" w:rsidRPr="004D6D28" w:rsidRDefault="00310830" w:rsidP="00310830">
      <w:pPr>
        <w:spacing w:line="360" w:lineRule="auto"/>
        <w:jc w:val="both"/>
        <w:rPr>
          <w:b/>
          <w:bCs/>
          <w:rtl/>
        </w:rPr>
      </w:pPr>
      <w:r w:rsidRPr="004D6D28">
        <w:rPr>
          <w:rFonts w:hint="cs"/>
          <w:b/>
          <w:bCs/>
          <w:rtl/>
        </w:rPr>
        <w:t xml:space="preserve">אדוני השר, </w:t>
      </w:r>
    </w:p>
    <w:p w:rsidR="00310830" w:rsidRDefault="00310830" w:rsidP="00310830">
      <w:pPr>
        <w:spacing w:line="360" w:lineRule="auto"/>
        <w:jc w:val="both"/>
        <w:rPr>
          <w:rtl/>
        </w:rPr>
      </w:pPr>
    </w:p>
    <w:p w:rsidR="001B1D1F" w:rsidRPr="001B1D1F" w:rsidRDefault="001B1D1F" w:rsidP="001E2CE6">
      <w:pPr>
        <w:spacing w:line="276" w:lineRule="auto"/>
        <w:jc w:val="both"/>
        <w:rPr>
          <w:rtl/>
        </w:rPr>
      </w:pPr>
      <w:r w:rsidRPr="001B1D1F">
        <w:rPr>
          <w:rFonts w:hint="cs"/>
          <w:rtl/>
        </w:rPr>
        <w:t xml:space="preserve">חשיבותו של המוסד לביטוח הלאומי לאיתנות הסוציאלית של מדינת ישראל והדאגה לרווחת תושביו ידועה ומוכרת. </w:t>
      </w:r>
    </w:p>
    <w:p w:rsidR="001B1D1F" w:rsidRPr="001B1D1F" w:rsidRDefault="001B1D1F" w:rsidP="001E2CE6">
      <w:pPr>
        <w:spacing w:line="276" w:lineRule="auto"/>
        <w:jc w:val="both"/>
        <w:rPr>
          <w:rtl/>
        </w:rPr>
      </w:pPr>
      <w:r w:rsidRPr="001B1D1F">
        <w:rPr>
          <w:rFonts w:hint="cs"/>
          <w:rtl/>
        </w:rPr>
        <w:t>המוסד הוקם כתאגיד סטטוטורי ונפרד ממשרדי הממשלה, על מנת שישאר עצמאי בהיבטים של משאבים והכנס</w:t>
      </w:r>
      <w:r>
        <w:rPr>
          <w:rFonts w:hint="cs"/>
          <w:rtl/>
        </w:rPr>
        <w:t>ו</w:t>
      </w:r>
      <w:r w:rsidRPr="001B1D1F">
        <w:rPr>
          <w:rFonts w:hint="cs"/>
          <w:rtl/>
        </w:rPr>
        <w:t>ת</w:t>
      </w:r>
      <w:r w:rsidR="00287916">
        <w:rPr>
          <w:rFonts w:hint="cs"/>
          <w:rtl/>
        </w:rPr>
        <w:t>,</w:t>
      </w:r>
      <w:r w:rsidRPr="001B1D1F">
        <w:rPr>
          <w:rFonts w:hint="cs"/>
          <w:rtl/>
        </w:rPr>
        <w:t xml:space="preserve"> ואכן הוכיח את היכולת שלו בתקופת הקורונה ובתקופת המלחמה במתן מענים מהירים לאוכלוסיה. </w:t>
      </w:r>
    </w:p>
    <w:p w:rsidR="001B1D1F" w:rsidRPr="001B1D1F" w:rsidRDefault="001B1D1F" w:rsidP="001E2CE6">
      <w:pPr>
        <w:spacing w:line="276" w:lineRule="auto"/>
        <w:jc w:val="both"/>
        <w:rPr>
          <w:rtl/>
        </w:rPr>
      </w:pPr>
      <w:r w:rsidRPr="001B1D1F">
        <w:rPr>
          <w:rFonts w:hint="cs"/>
          <w:rtl/>
        </w:rPr>
        <w:t xml:space="preserve">המאזן האקטוארי של הביטוח הלאומי אינו סוד ופורסם באמצעות דוח, נוכח חשיבות האיתנות הפיננסית של הארגון. </w:t>
      </w:r>
    </w:p>
    <w:p w:rsidR="001E2CE6" w:rsidRDefault="001E2CE6" w:rsidP="001E2CE6">
      <w:pPr>
        <w:spacing w:line="276" w:lineRule="auto"/>
        <w:jc w:val="both"/>
        <w:rPr>
          <w:rtl/>
        </w:rPr>
      </w:pPr>
    </w:p>
    <w:p w:rsidR="001B1D1F" w:rsidRPr="001B1D1F" w:rsidRDefault="001B1D1F" w:rsidP="001E2CE6">
      <w:pPr>
        <w:spacing w:line="276" w:lineRule="auto"/>
        <w:jc w:val="both"/>
        <w:rPr>
          <w:rtl/>
        </w:rPr>
      </w:pPr>
      <w:r w:rsidRPr="001B1D1F">
        <w:rPr>
          <w:rFonts w:hint="cs"/>
          <w:rtl/>
        </w:rPr>
        <w:t xml:space="preserve">מבקר המדינה </w:t>
      </w:r>
      <w:r w:rsidR="002D1308">
        <w:rPr>
          <w:rFonts w:hint="cs"/>
          <w:rtl/>
        </w:rPr>
        <w:t>פרסם</w:t>
      </w:r>
      <w:r w:rsidRPr="001B1D1F">
        <w:rPr>
          <w:rFonts w:hint="cs"/>
          <w:rtl/>
        </w:rPr>
        <w:t xml:space="preserve"> 3 דוחות בעשור האחרון הנוגעים לגרעון הביטוח הלאומי. הראשון ב</w:t>
      </w:r>
      <w:r w:rsidR="009969E7">
        <w:rPr>
          <w:rFonts w:hint="cs"/>
          <w:rtl/>
        </w:rPr>
        <w:t>שנת</w:t>
      </w:r>
      <w:r w:rsidRPr="001B1D1F">
        <w:rPr>
          <w:rFonts w:hint="cs"/>
          <w:rtl/>
        </w:rPr>
        <w:t xml:space="preserve"> 2015 בנוגע לחוב, השני בנושא הסדרי הפנסיה במדינה והשלישי ב</w:t>
      </w:r>
      <w:r w:rsidR="009969E7">
        <w:rPr>
          <w:rFonts w:hint="cs"/>
          <w:rtl/>
        </w:rPr>
        <w:t>-</w:t>
      </w:r>
      <w:r w:rsidRPr="001B1D1F">
        <w:rPr>
          <w:rFonts w:hint="cs"/>
          <w:rtl/>
        </w:rPr>
        <w:t xml:space="preserve">2021 שבדק את סעיף ההתחייבויות ארוכות הטווח של המדינה. </w:t>
      </w:r>
    </w:p>
    <w:p w:rsidR="00520B53" w:rsidRDefault="005E5243" w:rsidP="001E2CE6">
      <w:pPr>
        <w:spacing w:line="276" w:lineRule="auto"/>
        <w:jc w:val="both"/>
        <w:rPr>
          <w:rtl/>
        </w:rPr>
      </w:pPr>
      <w:r w:rsidRPr="001B1D1F">
        <w:rPr>
          <w:rFonts w:hint="cs"/>
          <w:rtl/>
        </w:rPr>
        <w:t>בעשור האחרון</w:t>
      </w:r>
      <w:r>
        <w:rPr>
          <w:rFonts w:hint="cs"/>
          <w:rtl/>
        </w:rPr>
        <w:t xml:space="preserve">, </w:t>
      </w:r>
      <w:r w:rsidRPr="001B1D1F">
        <w:rPr>
          <w:rFonts w:hint="cs"/>
          <w:rtl/>
        </w:rPr>
        <w:t>מאז פרס</w:t>
      </w:r>
      <w:r>
        <w:rPr>
          <w:rFonts w:hint="cs"/>
          <w:rtl/>
        </w:rPr>
        <w:t xml:space="preserve">ום הדוח הראשון, קיימה </w:t>
      </w:r>
      <w:r w:rsidR="001B1D1F" w:rsidRPr="001B1D1F">
        <w:rPr>
          <w:rFonts w:hint="cs"/>
          <w:rtl/>
        </w:rPr>
        <w:t>הוועדה ל</w:t>
      </w:r>
      <w:r w:rsidR="002D1308">
        <w:rPr>
          <w:rFonts w:hint="cs"/>
          <w:rtl/>
        </w:rPr>
        <w:t xml:space="preserve">ענייני </w:t>
      </w:r>
      <w:r w:rsidR="001B1D1F" w:rsidRPr="001B1D1F">
        <w:rPr>
          <w:rFonts w:hint="cs"/>
          <w:rtl/>
        </w:rPr>
        <w:t xml:space="preserve">ביקורת המדינה </w:t>
      </w:r>
      <w:r w:rsidR="005711D9">
        <w:rPr>
          <w:rFonts w:hint="cs"/>
          <w:rtl/>
        </w:rPr>
        <w:t>דיונים בנושא, ו</w:t>
      </w:r>
      <w:r w:rsidR="002D1308">
        <w:rPr>
          <w:rFonts w:hint="cs"/>
          <w:rtl/>
        </w:rPr>
        <w:t xml:space="preserve">רק </w:t>
      </w:r>
      <w:r w:rsidR="001B1D1F" w:rsidRPr="001B1D1F">
        <w:rPr>
          <w:rFonts w:hint="cs"/>
          <w:rtl/>
        </w:rPr>
        <w:t>בכנסת הנוכחית</w:t>
      </w:r>
      <w:r w:rsidR="001B1D1F">
        <w:rPr>
          <w:rFonts w:hint="cs"/>
          <w:rtl/>
        </w:rPr>
        <w:t xml:space="preserve"> </w:t>
      </w:r>
      <w:r w:rsidR="005711D9">
        <w:rPr>
          <w:rFonts w:hint="cs"/>
          <w:rtl/>
        </w:rPr>
        <w:t xml:space="preserve">התקיים </w:t>
      </w:r>
      <w:r w:rsidR="001B1D1F">
        <w:rPr>
          <w:rFonts w:hint="cs"/>
          <w:rtl/>
        </w:rPr>
        <w:t>השבוע הדיון ה-4</w:t>
      </w:r>
      <w:r w:rsidR="001B1D1F" w:rsidRPr="001B1D1F">
        <w:rPr>
          <w:rFonts w:hint="cs"/>
          <w:rtl/>
        </w:rPr>
        <w:t xml:space="preserve">. </w:t>
      </w:r>
    </w:p>
    <w:p w:rsidR="001E2CE6" w:rsidRDefault="001E2CE6" w:rsidP="001E2CE6">
      <w:pPr>
        <w:spacing w:line="276" w:lineRule="auto"/>
        <w:jc w:val="both"/>
        <w:rPr>
          <w:rtl/>
        </w:rPr>
      </w:pPr>
    </w:p>
    <w:p w:rsidR="00520B53" w:rsidRDefault="001B1D1F" w:rsidP="001E2CE6">
      <w:pPr>
        <w:spacing w:line="276" w:lineRule="auto"/>
        <w:jc w:val="both"/>
        <w:rPr>
          <w:rtl/>
        </w:rPr>
      </w:pPr>
      <w:r w:rsidRPr="001B1D1F">
        <w:rPr>
          <w:rFonts w:hint="cs"/>
          <w:rtl/>
        </w:rPr>
        <w:t>בדיונים הקודמים סימנו את שנת 2027 כשנה שבה התשלומים יהיו גבוהים מהת</w:t>
      </w:r>
      <w:r w:rsidR="002D1308">
        <w:rPr>
          <w:rFonts w:hint="cs"/>
          <w:rtl/>
        </w:rPr>
        <w:t>קבולים, ואכן</w:t>
      </w:r>
      <w:r w:rsidR="000F3253">
        <w:rPr>
          <w:rFonts w:hint="cs"/>
          <w:rtl/>
        </w:rPr>
        <w:t xml:space="preserve"> הגענו</w:t>
      </w:r>
      <w:r w:rsidR="009969E7">
        <w:rPr>
          <w:rFonts w:hint="cs"/>
          <w:rtl/>
        </w:rPr>
        <w:t xml:space="preserve"> לנקודת זמן קריטית. </w:t>
      </w:r>
      <w:r w:rsidR="000F3253">
        <w:rPr>
          <w:rFonts w:hint="cs"/>
          <w:rtl/>
        </w:rPr>
        <w:t xml:space="preserve">לראשונה, </w:t>
      </w:r>
      <w:r w:rsidR="000F3253" w:rsidRPr="001B1D1F">
        <w:rPr>
          <w:rFonts w:hint="cs"/>
          <w:rtl/>
        </w:rPr>
        <w:t>בשנה הנוכחית</w:t>
      </w:r>
      <w:r w:rsidR="000F3253">
        <w:rPr>
          <w:rFonts w:hint="cs"/>
          <w:rtl/>
        </w:rPr>
        <w:t>,</w:t>
      </w:r>
      <w:r w:rsidR="000F3253" w:rsidRPr="001B1D1F">
        <w:rPr>
          <w:rFonts w:hint="cs"/>
          <w:rtl/>
        </w:rPr>
        <w:t xml:space="preserve"> ההוצאות מתחילות לעלות על ההכנסות והביטוח הלאומי נוגס בחסכונותיו. </w:t>
      </w:r>
      <w:r w:rsidRPr="001B1D1F">
        <w:rPr>
          <w:rFonts w:hint="cs"/>
          <w:rtl/>
        </w:rPr>
        <w:t xml:space="preserve">אם בשנים קודמות התחזיות דיברו על שנת 2044 כשנה </w:t>
      </w:r>
      <w:r w:rsidR="002D1308">
        <w:rPr>
          <w:rFonts w:hint="cs"/>
          <w:rtl/>
        </w:rPr>
        <w:t>ש</w:t>
      </w:r>
      <w:r w:rsidRPr="001B1D1F">
        <w:rPr>
          <w:rFonts w:hint="cs"/>
          <w:rtl/>
        </w:rPr>
        <w:t xml:space="preserve">בה </w:t>
      </w:r>
      <w:r w:rsidR="000F3253" w:rsidRPr="002D1308">
        <w:rPr>
          <w:rFonts w:hint="cs"/>
          <w:rtl/>
        </w:rPr>
        <w:t>שקופת הביטוח הלאומי תתרוקן</w:t>
      </w:r>
      <w:r w:rsidR="002D1308">
        <w:rPr>
          <w:rFonts w:hint="cs"/>
          <w:rtl/>
        </w:rPr>
        <w:t>,</w:t>
      </w:r>
      <w:r w:rsidR="000F3253">
        <w:rPr>
          <w:rFonts w:hint="cs"/>
          <w:rtl/>
        </w:rPr>
        <w:t xml:space="preserve"> </w:t>
      </w:r>
      <w:r w:rsidRPr="001B1D1F">
        <w:rPr>
          <w:rFonts w:hint="cs"/>
          <w:rtl/>
        </w:rPr>
        <w:t xml:space="preserve">הרי שכיום התחזית הוקדמה לשנת 2036. </w:t>
      </w:r>
    </w:p>
    <w:p w:rsidR="001E2CE6" w:rsidRDefault="001E2CE6" w:rsidP="001E2CE6">
      <w:pPr>
        <w:spacing w:line="276" w:lineRule="auto"/>
        <w:jc w:val="both"/>
        <w:rPr>
          <w:rtl/>
        </w:rPr>
      </w:pPr>
    </w:p>
    <w:p w:rsidR="001B1D1F" w:rsidRPr="001B1D1F" w:rsidRDefault="009969E7" w:rsidP="001E2CE6">
      <w:pPr>
        <w:spacing w:line="276" w:lineRule="auto"/>
        <w:jc w:val="both"/>
        <w:rPr>
          <w:rtl/>
        </w:rPr>
      </w:pPr>
      <w:r>
        <w:rPr>
          <w:rFonts w:hint="cs"/>
          <w:rtl/>
        </w:rPr>
        <w:t>אדוני שר האוצר</w:t>
      </w:r>
      <w:r w:rsidR="000F3253">
        <w:rPr>
          <w:rFonts w:hint="cs"/>
          <w:rtl/>
        </w:rPr>
        <w:t xml:space="preserve">, </w:t>
      </w:r>
      <w:r w:rsidR="001B1D1F" w:rsidRPr="001B1D1F">
        <w:rPr>
          <w:rFonts w:hint="cs"/>
          <w:rtl/>
        </w:rPr>
        <w:t>דובר לא מעט על הק</w:t>
      </w:r>
      <w:r w:rsidR="00520B53">
        <w:rPr>
          <w:rFonts w:hint="cs"/>
          <w:rtl/>
        </w:rPr>
        <w:t>מת ועדה ציבורית בהשתתפות מומחים</w:t>
      </w:r>
      <w:r w:rsidR="001B1D1F" w:rsidRPr="001B1D1F">
        <w:rPr>
          <w:rFonts w:hint="cs"/>
          <w:rtl/>
        </w:rPr>
        <w:t xml:space="preserve">, </w:t>
      </w:r>
      <w:r>
        <w:rPr>
          <w:rFonts w:hint="cs"/>
          <w:rtl/>
        </w:rPr>
        <w:t>ש</w:t>
      </w:r>
      <w:r w:rsidR="001B1D1F" w:rsidRPr="001B1D1F">
        <w:rPr>
          <w:rFonts w:hint="cs"/>
          <w:rtl/>
        </w:rPr>
        <w:t>יש לה השלכות ארוכות טווח שנמצאות בגזרות פעולה של משרדי ממשלה ורשויו</w:t>
      </w:r>
      <w:r>
        <w:rPr>
          <w:rFonts w:hint="cs"/>
          <w:rtl/>
        </w:rPr>
        <w:t xml:space="preserve">ת אחרות. </w:t>
      </w:r>
      <w:r w:rsidR="001B1D1F" w:rsidRPr="001B1D1F">
        <w:rPr>
          <w:rFonts w:hint="cs"/>
          <w:rtl/>
        </w:rPr>
        <w:t>אנ</w:t>
      </w:r>
      <w:r w:rsidR="009C692B">
        <w:rPr>
          <w:rFonts w:hint="cs"/>
          <w:rtl/>
        </w:rPr>
        <w:t xml:space="preserve">י קורא לך להקים ועדה זו בדחיפות </w:t>
      </w:r>
      <w:r w:rsidR="001B1D1F" w:rsidRPr="001B1D1F">
        <w:rPr>
          <w:rFonts w:hint="cs"/>
          <w:rtl/>
        </w:rPr>
        <w:t>על מנת שתדון בהבטחת מצבו</w:t>
      </w:r>
      <w:r>
        <w:rPr>
          <w:rFonts w:hint="cs"/>
          <w:rtl/>
        </w:rPr>
        <w:t xml:space="preserve"> האקטוארי של המוסד. כלל הגורמים ש</w:t>
      </w:r>
      <w:r w:rsidR="001B1D1F" w:rsidRPr="001B1D1F">
        <w:rPr>
          <w:rFonts w:hint="cs"/>
          <w:rtl/>
        </w:rPr>
        <w:t>השתתפו בדיון לרבות נציגי משרד האוצר, המשפטים, המועצה הלאומית לכלכלה, המוסד לביטוח הלאומי וכמובן משרד מבקר המדינה תומכים בהקמת הו</w:t>
      </w:r>
      <w:r>
        <w:rPr>
          <w:rFonts w:hint="cs"/>
          <w:rtl/>
        </w:rPr>
        <w:t>ו</w:t>
      </w:r>
      <w:r w:rsidR="001B1D1F" w:rsidRPr="001B1D1F">
        <w:rPr>
          <w:rFonts w:hint="cs"/>
          <w:rtl/>
        </w:rPr>
        <w:t>עדה באופן מיד</w:t>
      </w:r>
      <w:r>
        <w:rPr>
          <w:rFonts w:hint="cs"/>
          <w:rtl/>
        </w:rPr>
        <w:t>י</w:t>
      </w:r>
      <w:r w:rsidR="001B1D1F" w:rsidRPr="001B1D1F">
        <w:rPr>
          <w:rFonts w:hint="cs"/>
          <w:rtl/>
        </w:rPr>
        <w:t xml:space="preserve">. </w:t>
      </w:r>
    </w:p>
    <w:p w:rsidR="001E2CE6" w:rsidRDefault="001E2CE6" w:rsidP="001E2CE6">
      <w:pPr>
        <w:spacing w:line="276" w:lineRule="auto"/>
        <w:jc w:val="both"/>
        <w:rPr>
          <w:rtl/>
        </w:rPr>
      </w:pPr>
    </w:p>
    <w:p w:rsidR="00520B53" w:rsidRPr="001E2CE6" w:rsidRDefault="001B1D1F" w:rsidP="001E2CE6">
      <w:pPr>
        <w:spacing w:line="276" w:lineRule="auto"/>
        <w:jc w:val="both"/>
        <w:rPr>
          <w:rtl/>
        </w:rPr>
      </w:pPr>
      <w:r w:rsidRPr="001B1D1F">
        <w:rPr>
          <w:rFonts w:hint="cs"/>
          <w:rtl/>
        </w:rPr>
        <w:t xml:space="preserve">כמו כן, בעת הזו בה דנים בתקציב המדינה לשנת 2025, אני מבקש כי תדאג להבטיח את עצמאותו של הביטוח הלאומי בניהול כספו ובגביית דמי הביטוח. </w:t>
      </w:r>
      <w:r w:rsidRPr="001B1D1F">
        <w:rPr>
          <w:rFonts w:hint="cs"/>
        </w:rPr>
        <w:t xml:space="preserve"> </w:t>
      </w:r>
    </w:p>
    <w:p w:rsidR="00310830" w:rsidRDefault="00310830" w:rsidP="00310830">
      <w:pPr>
        <w:spacing w:line="360" w:lineRule="auto"/>
        <w:jc w:val="both"/>
        <w:rPr>
          <w:rFonts w:ascii="David" w:hAnsi="David"/>
          <w:rtl/>
        </w:rPr>
      </w:pPr>
      <w:r>
        <w:rPr>
          <w:rtl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848801</wp:posOffset>
            </wp:positionH>
            <wp:positionV relativeFrom="paragraph">
              <wp:posOffset>25400</wp:posOffset>
            </wp:positionV>
            <wp:extent cx="1301529" cy="986848"/>
            <wp:effectExtent l="0" t="0" r="0" b="381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362" cy="9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830" w:rsidRDefault="00310830" w:rsidP="00310830">
      <w:pPr>
        <w:spacing w:line="276" w:lineRule="auto"/>
        <w:ind w:left="5760" w:firstLine="720"/>
        <w:jc w:val="both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t xml:space="preserve">      בברכה,</w:t>
      </w:r>
    </w:p>
    <w:p w:rsidR="00310830" w:rsidRDefault="00310830" w:rsidP="00310830">
      <w:pPr>
        <w:ind w:left="5040"/>
        <w:jc w:val="both"/>
        <w:rPr>
          <w:rFonts w:ascii="David" w:hAnsi="David"/>
          <w:b/>
          <w:bCs/>
          <w:rtl/>
        </w:rPr>
      </w:pPr>
    </w:p>
    <w:p w:rsidR="00310830" w:rsidRDefault="00310830" w:rsidP="00310830">
      <w:pPr>
        <w:ind w:left="5760" w:firstLine="720"/>
        <w:jc w:val="both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t>חה"כ מיקי לוי</w:t>
      </w:r>
    </w:p>
    <w:p w:rsidR="00310830" w:rsidRDefault="00310830" w:rsidP="001E2CE6">
      <w:pPr>
        <w:ind w:left="5040"/>
        <w:rPr>
          <w:rtl/>
        </w:rPr>
      </w:pPr>
      <w:r>
        <w:rPr>
          <w:rFonts w:ascii="David" w:hAnsi="David" w:hint="cs"/>
          <w:b/>
          <w:bCs/>
          <w:rtl/>
        </w:rPr>
        <w:t xml:space="preserve">     </w:t>
      </w:r>
      <w:r>
        <w:rPr>
          <w:rFonts w:ascii="David" w:hAnsi="David"/>
          <w:b/>
          <w:bCs/>
          <w:rtl/>
        </w:rPr>
        <w:tab/>
      </w:r>
      <w:r>
        <w:rPr>
          <w:rFonts w:ascii="David" w:hAnsi="David" w:hint="cs"/>
          <w:b/>
          <w:bCs/>
          <w:rtl/>
        </w:rPr>
        <w:t xml:space="preserve">          </w:t>
      </w:r>
      <w:r w:rsidR="001E2CE6">
        <w:rPr>
          <w:rFonts w:ascii="David" w:hAnsi="David" w:hint="cs"/>
          <w:b/>
          <w:bCs/>
          <w:rtl/>
        </w:rPr>
        <w:t>יושב-ראש הוועדה</w:t>
      </w:r>
    </w:p>
    <w:p w:rsidR="00310830" w:rsidRDefault="00310830" w:rsidP="001B1D1F">
      <w:r>
        <w:rPr>
          <w:rFonts w:hint="cs"/>
          <w:rtl/>
        </w:rPr>
        <w:t xml:space="preserve">העתק:  </w:t>
      </w:r>
      <w:r w:rsidR="001B1D1F">
        <w:rPr>
          <w:rFonts w:hint="cs"/>
          <w:rtl/>
        </w:rPr>
        <w:t>ראש הממשלה</w:t>
      </w:r>
      <w:r>
        <w:rPr>
          <w:rFonts w:hint="cs"/>
          <w:rtl/>
        </w:rPr>
        <w:t xml:space="preserve">, </w:t>
      </w:r>
      <w:r w:rsidR="001B1D1F">
        <w:rPr>
          <w:rFonts w:hint="cs"/>
          <w:rtl/>
        </w:rPr>
        <w:t>חה"כ</w:t>
      </w:r>
      <w:r>
        <w:rPr>
          <w:rFonts w:hint="cs"/>
          <w:rtl/>
        </w:rPr>
        <w:t xml:space="preserve"> </w:t>
      </w:r>
      <w:r w:rsidR="001B1D1F">
        <w:rPr>
          <w:rFonts w:hint="cs"/>
          <w:rtl/>
        </w:rPr>
        <w:t xml:space="preserve">בנימין נתניהו. </w:t>
      </w:r>
    </w:p>
    <w:p w:rsidR="003A3E87" w:rsidRDefault="003A3E87" w:rsidP="001B1D1F">
      <w:pPr>
        <w:pStyle w:val="a3"/>
        <w:spacing w:after="160" w:line="259" w:lineRule="auto"/>
      </w:pPr>
      <w:r>
        <w:rPr>
          <w:rFonts w:hint="cs"/>
          <w:rtl/>
        </w:rPr>
        <w:t xml:space="preserve">שר העבודה, מר יואב בן-צור. </w:t>
      </w:r>
    </w:p>
    <w:p w:rsidR="001B1D1F" w:rsidRDefault="001B1D1F" w:rsidP="001B1D1F">
      <w:pPr>
        <w:pStyle w:val="a3"/>
        <w:spacing w:after="160" w:line="259" w:lineRule="auto"/>
        <w:rPr>
          <w:rtl/>
        </w:rPr>
      </w:pPr>
      <w:r>
        <w:rPr>
          <w:rFonts w:hint="cs"/>
          <w:rtl/>
        </w:rPr>
        <w:t>היועצת המשפטית לממשלה</w:t>
      </w:r>
      <w:r w:rsidR="00310830">
        <w:rPr>
          <w:rFonts w:hint="cs"/>
          <w:rtl/>
        </w:rPr>
        <w:t xml:space="preserve">, </w:t>
      </w:r>
      <w:r>
        <w:rPr>
          <w:rFonts w:hint="cs"/>
          <w:rtl/>
        </w:rPr>
        <w:t xml:space="preserve">הגב' </w:t>
      </w:r>
      <w:r w:rsidRPr="001B1D1F">
        <w:rPr>
          <w:rtl/>
        </w:rPr>
        <w:t>גלי בהרב-מיארה</w:t>
      </w:r>
      <w:r w:rsidR="002570CC">
        <w:rPr>
          <w:rFonts w:hint="cs"/>
          <w:rtl/>
        </w:rPr>
        <w:t>.</w:t>
      </w:r>
    </w:p>
    <w:p w:rsidR="001B1D1F" w:rsidRDefault="001B1D1F" w:rsidP="001B1D1F">
      <w:pPr>
        <w:pStyle w:val="a3"/>
        <w:spacing w:after="160" w:line="259" w:lineRule="auto"/>
        <w:rPr>
          <w:rtl/>
        </w:rPr>
      </w:pPr>
      <w:r w:rsidRPr="001B1D1F">
        <w:rPr>
          <w:rFonts w:hint="cs"/>
          <w:rtl/>
        </w:rPr>
        <w:t>ראש המועצה הלאומית לכלכלה</w:t>
      </w:r>
      <w:r>
        <w:rPr>
          <w:rFonts w:hint="cs"/>
          <w:rtl/>
        </w:rPr>
        <w:t xml:space="preserve">, מר אבי שמחון. </w:t>
      </w:r>
    </w:p>
    <w:p w:rsidR="004D6D28" w:rsidRPr="00310830" w:rsidRDefault="001B1D1F" w:rsidP="001E2CE6">
      <w:pPr>
        <w:pStyle w:val="a3"/>
        <w:spacing w:after="160" w:line="259" w:lineRule="auto"/>
        <w:rPr>
          <w:rtl/>
        </w:rPr>
      </w:pPr>
      <w:r w:rsidRPr="001B1D1F">
        <w:rPr>
          <w:rFonts w:hint="cs"/>
          <w:rtl/>
        </w:rPr>
        <w:t>מ</w:t>
      </w:r>
      <w:r>
        <w:rPr>
          <w:rFonts w:hint="cs"/>
          <w:rtl/>
        </w:rPr>
        <w:t>"</w:t>
      </w:r>
      <w:r w:rsidRPr="001B1D1F">
        <w:rPr>
          <w:rFonts w:hint="cs"/>
          <w:rtl/>
        </w:rPr>
        <w:t>מ מנכ</w:t>
      </w:r>
      <w:r w:rsidR="00D544F0">
        <w:rPr>
          <w:rFonts w:hint="cs"/>
          <w:rtl/>
        </w:rPr>
        <w:t>"</w:t>
      </w:r>
      <w:r w:rsidRPr="001B1D1F">
        <w:rPr>
          <w:rFonts w:hint="cs"/>
          <w:rtl/>
        </w:rPr>
        <w:t>ל ה</w:t>
      </w:r>
      <w:r w:rsidR="00D544F0">
        <w:rPr>
          <w:rFonts w:hint="cs"/>
          <w:rtl/>
        </w:rPr>
        <w:t>מוסד ל</w:t>
      </w:r>
      <w:bookmarkStart w:id="0" w:name="_GoBack"/>
      <w:bookmarkEnd w:id="0"/>
      <w:r w:rsidRPr="001B1D1F">
        <w:rPr>
          <w:rFonts w:hint="cs"/>
          <w:rtl/>
        </w:rPr>
        <w:t>ביטוח הלאומי</w:t>
      </w:r>
      <w:r>
        <w:rPr>
          <w:rFonts w:hint="cs"/>
          <w:rtl/>
        </w:rPr>
        <w:t xml:space="preserve">, מר צביקה כהן. </w:t>
      </w:r>
    </w:p>
    <w:sectPr w:rsidR="004D6D28" w:rsidRPr="00310830" w:rsidSect="007E476E">
      <w:footerReference w:type="default" r:id="rId10"/>
      <w:pgSz w:w="11906" w:h="16838"/>
      <w:pgMar w:top="284" w:right="1080" w:bottom="1440" w:left="1080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72" w:rsidRDefault="00603872">
      <w:r>
        <w:separator/>
      </w:r>
    </w:p>
  </w:endnote>
  <w:endnote w:type="continuationSeparator" w:id="0">
    <w:p w:rsidR="00603872" w:rsidRDefault="0060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7"/>
    </w:tblGrid>
    <w:tr w:rsidR="00E45478" w:rsidTr="00925011">
      <w:tc>
        <w:tcPr>
          <w:tcW w:w="963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695"/>
          </w:tblGrid>
          <w:tr w:rsidR="00E45478" w:rsidTr="005A01BF">
            <w:trPr>
              <w:trHeight w:val="299"/>
            </w:trPr>
            <w:tc>
              <w:tcPr>
                <w:tcW w:w="869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45478" w:rsidRDefault="00E45478" w:rsidP="00E45478">
                <w:pPr>
                  <w:jc w:val="center"/>
                  <w:rPr>
                    <w:rtl/>
                  </w:rPr>
                </w:pPr>
              </w:p>
            </w:tc>
          </w:tr>
        </w:tbl>
        <w:p w:rsidR="00E45478" w:rsidRDefault="00E45478" w:rsidP="00E45478"/>
      </w:tc>
    </w:tr>
    <w:tr w:rsidR="00E45478" w:rsidTr="00925011">
      <w:tc>
        <w:tcPr>
          <w:tcW w:w="9637" w:type="dxa"/>
        </w:tcPr>
        <w:p w:rsidR="00E45478" w:rsidRDefault="00E45478" w:rsidP="00E45478">
          <w:pPr>
            <w:pStyle w:val="EmptyCellLayoutStyle"/>
            <w:spacing w:after="0" w:line="240" w:lineRule="auto"/>
          </w:pPr>
        </w:p>
      </w:tc>
    </w:tr>
    <w:tr w:rsidR="00E45478" w:rsidTr="00925011">
      <w:tc>
        <w:tcPr>
          <w:tcW w:w="9637" w:type="dxa"/>
          <w:tcBorders>
            <w:top w:val="single" w:sz="7" w:space="0" w:color="24408E"/>
          </w:tcBorders>
        </w:tcPr>
        <w:p w:rsidR="00E45478" w:rsidRDefault="00E45478" w:rsidP="00E45478">
          <w:pPr>
            <w:pStyle w:val="EmptyCellLayoutStyle"/>
            <w:spacing w:after="0" w:line="240" w:lineRule="auto"/>
          </w:pPr>
        </w:p>
      </w:tc>
    </w:tr>
    <w:tr w:rsidR="00E45478" w:rsidTr="00925011">
      <w:tc>
        <w:tcPr>
          <w:tcW w:w="9637" w:type="dxa"/>
        </w:tcPr>
        <w:tbl>
          <w:tblPr>
            <w:tblW w:w="0" w:type="auto"/>
            <w:tblInd w:w="851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06"/>
          </w:tblGrid>
          <w:tr w:rsidR="00E45478" w:rsidTr="005A01BF">
            <w:trPr>
              <w:trHeight w:val="296"/>
            </w:trPr>
            <w:tc>
              <w:tcPr>
                <w:tcW w:w="830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45478" w:rsidRDefault="00E45478" w:rsidP="005A01BF">
                <w:pPr>
                  <w:jc w:val="center"/>
                </w:pPr>
                <w:r>
                  <w:rPr>
                    <w:rFonts w:ascii="Arial" w:eastAsia="Arial" w:hAnsi="Arial" w:cs="Arial"/>
                    <w:color w:val="A9A9A9"/>
                    <w:sz w:val="22"/>
                    <w:szCs w:val="22"/>
                    <w:rtl/>
                  </w:rPr>
                  <w:t>משכן הכנסת, ירושלים | טלפון: 02-6408</w:t>
                </w:r>
                <w:r w:rsidR="00F50A2D">
                  <w:rPr>
                    <w:rFonts w:ascii="Arial" w:eastAsia="Arial" w:hAnsi="Arial" w:cs="Arial" w:hint="cs"/>
                    <w:color w:val="A9A9A9"/>
                    <w:sz w:val="22"/>
                    <w:szCs w:val="22"/>
                    <w:rtl/>
                  </w:rPr>
                  <w:t>350/692</w:t>
                </w:r>
                <w:r>
                  <w:rPr>
                    <w:rFonts w:ascii="Arial" w:eastAsia="Arial" w:hAnsi="Arial" w:cs="Arial"/>
                    <w:color w:val="A9A9A9"/>
                    <w:sz w:val="22"/>
                    <w:szCs w:val="22"/>
                    <w:rtl/>
                  </w:rPr>
                  <w:t xml:space="preserve"> | דוא"ל: vbikoret@knesset.gov.il</w:t>
                </w:r>
              </w:p>
            </w:tc>
          </w:tr>
        </w:tbl>
        <w:p w:rsidR="00E45478" w:rsidRDefault="00E45478" w:rsidP="00E45478"/>
      </w:tc>
    </w:tr>
  </w:tbl>
  <w:p w:rsidR="005706DB" w:rsidRPr="00E45478" w:rsidRDefault="005706DB" w:rsidP="00E454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72" w:rsidRDefault="00603872">
      <w:r>
        <w:separator/>
      </w:r>
    </w:p>
  </w:footnote>
  <w:footnote w:type="continuationSeparator" w:id="0">
    <w:p w:rsidR="00603872" w:rsidRDefault="0060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816D0"/>
    <w:multiLevelType w:val="hybridMultilevel"/>
    <w:tmpl w:val="9DBE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234B"/>
    <w:multiLevelType w:val="hybridMultilevel"/>
    <w:tmpl w:val="61F2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3704"/>
    <w:multiLevelType w:val="hybridMultilevel"/>
    <w:tmpl w:val="3718F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E3290"/>
    <w:multiLevelType w:val="hybridMultilevel"/>
    <w:tmpl w:val="9B80F4F0"/>
    <w:lvl w:ilvl="0" w:tplc="466AE4E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David"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A82592"/>
    <w:multiLevelType w:val="hybridMultilevel"/>
    <w:tmpl w:val="215E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559DF"/>
    <w:multiLevelType w:val="hybridMultilevel"/>
    <w:tmpl w:val="82B8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F2FEE"/>
    <w:multiLevelType w:val="hybridMultilevel"/>
    <w:tmpl w:val="F002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3C"/>
    <w:rsid w:val="00000E13"/>
    <w:rsid w:val="000013ED"/>
    <w:rsid w:val="000747E7"/>
    <w:rsid w:val="00086266"/>
    <w:rsid w:val="000C4677"/>
    <w:rsid w:val="000F3253"/>
    <w:rsid w:val="0016067B"/>
    <w:rsid w:val="001B1D1F"/>
    <w:rsid w:val="001B4A91"/>
    <w:rsid w:val="001E2CE6"/>
    <w:rsid w:val="002070F8"/>
    <w:rsid w:val="002570CC"/>
    <w:rsid w:val="00287916"/>
    <w:rsid w:val="0029193A"/>
    <w:rsid w:val="00296642"/>
    <w:rsid w:val="002A4CC8"/>
    <w:rsid w:val="002B18EA"/>
    <w:rsid w:val="002D1308"/>
    <w:rsid w:val="002F337F"/>
    <w:rsid w:val="00310830"/>
    <w:rsid w:val="0031517A"/>
    <w:rsid w:val="003951F3"/>
    <w:rsid w:val="003A3E87"/>
    <w:rsid w:val="003B14C9"/>
    <w:rsid w:val="00435B37"/>
    <w:rsid w:val="00494101"/>
    <w:rsid w:val="004D6D28"/>
    <w:rsid w:val="00520B53"/>
    <w:rsid w:val="00560EB3"/>
    <w:rsid w:val="005706DB"/>
    <w:rsid w:val="005711D9"/>
    <w:rsid w:val="00574C9C"/>
    <w:rsid w:val="0057621E"/>
    <w:rsid w:val="0058716C"/>
    <w:rsid w:val="005872A4"/>
    <w:rsid w:val="005A01BF"/>
    <w:rsid w:val="005C6C3E"/>
    <w:rsid w:val="005E5243"/>
    <w:rsid w:val="005F2F3C"/>
    <w:rsid w:val="00603872"/>
    <w:rsid w:val="00643A76"/>
    <w:rsid w:val="006450B8"/>
    <w:rsid w:val="00657309"/>
    <w:rsid w:val="00686D74"/>
    <w:rsid w:val="0068732F"/>
    <w:rsid w:val="006C4B1C"/>
    <w:rsid w:val="006E5A8D"/>
    <w:rsid w:val="0071726E"/>
    <w:rsid w:val="007267AB"/>
    <w:rsid w:val="00735708"/>
    <w:rsid w:val="00756EA8"/>
    <w:rsid w:val="007D72E9"/>
    <w:rsid w:val="007E476E"/>
    <w:rsid w:val="007E53AF"/>
    <w:rsid w:val="00813F87"/>
    <w:rsid w:val="008635EF"/>
    <w:rsid w:val="00875442"/>
    <w:rsid w:val="008913E2"/>
    <w:rsid w:val="008A4D7D"/>
    <w:rsid w:val="008B4187"/>
    <w:rsid w:val="008C6D22"/>
    <w:rsid w:val="00907F3A"/>
    <w:rsid w:val="00923EFC"/>
    <w:rsid w:val="009514A2"/>
    <w:rsid w:val="00992A47"/>
    <w:rsid w:val="009969E7"/>
    <w:rsid w:val="009C692B"/>
    <w:rsid w:val="00A65052"/>
    <w:rsid w:val="00A9132E"/>
    <w:rsid w:val="00AB5921"/>
    <w:rsid w:val="00AC4330"/>
    <w:rsid w:val="00AD0F74"/>
    <w:rsid w:val="00AF4208"/>
    <w:rsid w:val="00B13112"/>
    <w:rsid w:val="00B21BD3"/>
    <w:rsid w:val="00B411AE"/>
    <w:rsid w:val="00B45CA3"/>
    <w:rsid w:val="00B847B4"/>
    <w:rsid w:val="00BC436D"/>
    <w:rsid w:val="00BD00F0"/>
    <w:rsid w:val="00BE006A"/>
    <w:rsid w:val="00C04FC4"/>
    <w:rsid w:val="00C13E38"/>
    <w:rsid w:val="00C2255C"/>
    <w:rsid w:val="00C402E4"/>
    <w:rsid w:val="00D367A4"/>
    <w:rsid w:val="00D5021D"/>
    <w:rsid w:val="00D544F0"/>
    <w:rsid w:val="00DF7B8E"/>
    <w:rsid w:val="00E40BC6"/>
    <w:rsid w:val="00E4213C"/>
    <w:rsid w:val="00E45478"/>
    <w:rsid w:val="00E5307E"/>
    <w:rsid w:val="00E65533"/>
    <w:rsid w:val="00E84F54"/>
    <w:rsid w:val="00EE38AB"/>
    <w:rsid w:val="00F1478A"/>
    <w:rsid w:val="00F307A8"/>
    <w:rsid w:val="00F35AB1"/>
    <w:rsid w:val="00F50A2D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76446-A230-4001-8C49-82CC5CBA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3C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A65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F3C"/>
    <w:pPr>
      <w:ind w:left="720"/>
      <w:contextualSpacing/>
    </w:pPr>
  </w:style>
  <w:style w:type="paragraph" w:styleId="a4">
    <w:name w:val="caption"/>
    <w:basedOn w:val="a"/>
    <w:next w:val="a"/>
    <w:qFormat/>
    <w:rsid w:val="005F2F3C"/>
    <w:pPr>
      <w:ind w:left="-1054"/>
    </w:pPr>
    <w:rPr>
      <w:bCs/>
      <w:noProof w:val="0"/>
      <w:color w:val="000080"/>
      <w:szCs w:val="28"/>
    </w:rPr>
  </w:style>
  <w:style w:type="character" w:styleId="Hyperlink">
    <w:name w:val="Hyperlink"/>
    <w:uiPriority w:val="99"/>
    <w:unhideWhenUsed/>
    <w:rsid w:val="005F2F3C"/>
    <w:rPr>
      <w:color w:val="0563C1"/>
      <w:u w:val="single"/>
    </w:rPr>
  </w:style>
  <w:style w:type="paragraph" w:styleId="a5">
    <w:name w:val="Block Text"/>
    <w:basedOn w:val="a"/>
    <w:rsid w:val="005F2F3C"/>
    <w:pPr>
      <w:ind w:left="791" w:right="981" w:firstLine="654"/>
    </w:pPr>
  </w:style>
  <w:style w:type="character" w:styleId="FollowedHyperlink">
    <w:name w:val="FollowedHyperlink"/>
    <w:basedOn w:val="a0"/>
    <w:uiPriority w:val="99"/>
    <w:semiHidden/>
    <w:unhideWhenUsed/>
    <w:rsid w:val="00AC4330"/>
    <w:rPr>
      <w:color w:val="954F72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A6505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he-IL"/>
    </w:rPr>
  </w:style>
  <w:style w:type="paragraph" w:customStyle="1" w:styleId="EmptyCellLayoutStyle">
    <w:name w:val="EmptyCellLayoutStyle"/>
    <w:rsid w:val="00E45478"/>
    <w:rPr>
      <w:rFonts w:ascii="Times New Roman" w:eastAsia="Times New Roman" w:hAnsi="Times New Roman" w:cs="Times New Roman"/>
      <w:sz w:val="2"/>
      <w:szCs w:val="20"/>
    </w:rPr>
  </w:style>
  <w:style w:type="paragraph" w:styleId="a6">
    <w:name w:val="header"/>
    <w:basedOn w:val="a"/>
    <w:link w:val="a7"/>
    <w:uiPriority w:val="99"/>
    <w:unhideWhenUsed/>
    <w:rsid w:val="00E45478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E45478"/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a8">
    <w:name w:val="footer"/>
    <w:basedOn w:val="a"/>
    <w:link w:val="a9"/>
    <w:uiPriority w:val="99"/>
    <w:unhideWhenUsed/>
    <w:rsid w:val="00E4547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E45478"/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aa">
    <w:name w:val="Title"/>
    <w:basedOn w:val="a"/>
    <w:link w:val="ab"/>
    <w:qFormat/>
    <w:rsid w:val="00435B37"/>
    <w:pPr>
      <w:jc w:val="center"/>
    </w:pPr>
    <w:rPr>
      <w:b/>
      <w:bCs/>
      <w:noProof w:val="0"/>
    </w:rPr>
  </w:style>
  <w:style w:type="character" w:customStyle="1" w:styleId="ab">
    <w:name w:val="כותרת טקסט תו"/>
    <w:basedOn w:val="a0"/>
    <w:link w:val="aa"/>
    <w:rsid w:val="00435B37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ac">
    <w:name w:val="Balloon Text"/>
    <w:basedOn w:val="a"/>
    <w:link w:val="ad"/>
    <w:uiPriority w:val="99"/>
    <w:semiHidden/>
    <w:unhideWhenUsed/>
    <w:rsid w:val="00875442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875442"/>
    <w:rPr>
      <w:rFonts w:ascii="Tahoma" w:eastAsia="Times New Roman" w:hAnsi="Tahoma" w:cs="Tahoma"/>
      <w:noProof/>
      <w:sz w:val="18"/>
      <w:szCs w:val="18"/>
      <w:lang w:eastAsia="he-IL"/>
    </w:rPr>
  </w:style>
  <w:style w:type="table" w:styleId="ae">
    <w:name w:val="Table Grid"/>
    <w:basedOn w:val="a1"/>
    <w:uiPriority w:val="39"/>
    <w:rsid w:val="007E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41CC1-AA42-4979-8532-94FFBD1F791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64ECDD49-2A8E-45FC-A6E2-16A34F87735D}"/>
</file>

<file path=customXml/itemProps3.xml><?xml version="1.0" encoding="utf-8"?>
<ds:datastoreItem xmlns:ds="http://schemas.openxmlformats.org/officeDocument/2006/customXml" ds:itemID="{A15FB4D8-29D1-4BD3-BF0D-19BF3D1FD80A}"/>
</file>

<file path=customXml/itemProps4.xml><?xml version="1.0" encoding="utf-8"?>
<ds:datastoreItem xmlns:ds="http://schemas.openxmlformats.org/officeDocument/2006/customXml" ds:itemID="{31EC3B31-BBEA-4AE7-A905-F5F60AA4F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יפעת בן שטרית</dc:creator>
  <cp:keywords/>
  <dc:description/>
  <cp:lastModifiedBy>ליאת מאירי</cp:lastModifiedBy>
  <cp:revision>3</cp:revision>
  <cp:lastPrinted>2024-11-24T07:52:00Z</cp:lastPrinted>
  <dcterms:created xsi:type="dcterms:W3CDTF">2024-11-24T08:23:00Z</dcterms:created>
  <dcterms:modified xsi:type="dcterms:W3CDTF">2024-11-24T08:25:00Z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16 בינואר 2024</vt:lpwstr>
  </property>
  <property fmtid="{D5CDD505-2E9C-101B-9397-08002B2CF9AE}" pid="3" name="DocDateEng2">
    <vt:lpwstr>16.01.2024</vt:lpwstr>
  </property>
  <property fmtid="{D5CDD505-2E9C-101B-9397-08002B2CF9AE}" pid="4" name="DocDateHeb">
    <vt:lpwstr>ו' בשבט תשפ"ד</vt:lpwstr>
  </property>
  <property fmtid="{D5CDD505-2E9C-101B-9397-08002B2CF9AE}" pid="5" name="DocNumberYearNumber">
    <vt:lpwstr>2024-044322</vt:lpwstr>
  </property>
  <property fmtid="{D5CDD505-2E9C-101B-9397-08002B2CF9AE}" pid="6" name="DocNumber">
    <vt:lpwstr>0200-0001-2024-044322</vt:lpwstr>
  </property>
  <property fmtid="{D5CDD505-2E9C-101B-9397-08002B2CF9AE}" pid="7" name="DocTo">
    <vt:lpwstr/>
  </property>
  <property fmtid="{D5CDD505-2E9C-101B-9397-08002B2CF9AE}" pid="8" name="DocSenderName1">
    <vt:lpwstr>מיטל אליהו _x000d_</vt:lpwstr>
  </property>
  <property fmtid="{D5CDD505-2E9C-101B-9397-08002B2CF9AE}" pid="9" name="DocObjectName">
    <vt:lpwstr>מכתב לשר האוצר - משבר הגרעון במוסד לביטוח לאומי</vt:lpwstr>
  </property>
  <property fmtid="{D5CDD505-2E9C-101B-9397-08002B2CF9AE}" pid="10" name="DocRecipients">
    <vt:lpwstr/>
  </property>
  <property fmtid="{D5CDD505-2E9C-101B-9397-08002B2CF9AE}" pid="11" name="DocRecipientsNameJobTitle">
    <vt:lpwstr/>
  </property>
  <property fmtid="{D5CDD505-2E9C-101B-9397-08002B2CF9AE}" pid="12" name="DocRecipientsJobTitle">
    <vt:lpwstr/>
  </property>
  <property fmtid="{D5CDD505-2E9C-101B-9397-08002B2CF9AE}" pid="13" name="DocDateHebFull">
    <vt:lpwstr>יום שלישי,ו' בשבט תשפ"ד</vt:lpwstr>
  </property>
  <property fmtid="{D5CDD505-2E9C-101B-9397-08002B2CF9AE}" pid="14" name="DocToJobTitle">
    <vt:lpwstr/>
  </property>
  <property fmtid="{D5CDD505-2E9C-101B-9397-08002B2CF9AE}" pid="15" name="DocToName">
    <vt:lpwstr/>
  </property>
  <property fmtid="{D5CDD505-2E9C-101B-9397-08002B2CF9AE}" pid="16" name="DocTo1">
    <vt:lpwstr/>
  </property>
  <property fmtid="{D5CDD505-2E9C-101B-9397-08002B2CF9AE}" pid="17" name="DocToAddress">
    <vt:lpwstr/>
  </property>
  <property fmtid="{D5CDD505-2E9C-101B-9397-08002B2CF9AE}" pid="18" name="ContentTypeId">
    <vt:lpwstr>0x010100B856E9E2AEA0894D88E3332703BC2B79</vt:lpwstr>
  </property>
  <property fmtid="{D5CDD505-2E9C-101B-9397-08002B2CF9AE}" pid="19" name="SanhedrinItemID">
    <vt:r8>2236433</vt:r8>
  </property>
  <property fmtid="{D5CDD505-2E9C-101B-9397-08002B2CF9AE}" pid="20" name="SanhedrinDocumentType">
    <vt:r8>88</vt:r8>
  </property>
</Properties>
</file>