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2639B8" w14:textId="1E50E5FD" w:rsidR="00130716" w:rsidRPr="002B78E3" w:rsidRDefault="00D9471A" w:rsidP="0011629C">
      <w:pPr>
        <w:spacing w:before="160" w:line="360" w:lineRule="auto"/>
        <w:jc w:val="both"/>
        <w:rPr>
          <w:rFonts w:ascii="David" w:hAnsi="David" w:cs="David"/>
          <w:b/>
          <w:bCs/>
          <w:u w:val="single"/>
          <w:rtl/>
        </w:rPr>
      </w:pPr>
      <w:r w:rsidRPr="002B78E3">
        <w:rPr>
          <w:rFonts w:ascii="David" w:hAnsi="David" w:cs="David" w:hint="cs"/>
          <w:u w:val="single"/>
          <w:rtl/>
        </w:rPr>
        <w:t>דברי הסבר ל</w:t>
      </w:r>
      <w:r w:rsidR="00130716" w:rsidRPr="002B78E3">
        <w:rPr>
          <w:rFonts w:ascii="David" w:hAnsi="David" w:cs="David" w:hint="cs"/>
          <w:u w:val="single"/>
          <w:rtl/>
        </w:rPr>
        <w:t xml:space="preserve">תיקון </w:t>
      </w:r>
      <w:r w:rsidRPr="002B78E3">
        <w:rPr>
          <w:rFonts w:ascii="David" w:hAnsi="David" w:cs="David" w:hint="cs"/>
          <w:u w:val="single"/>
          <w:rtl/>
        </w:rPr>
        <w:t xml:space="preserve">סעיף </w:t>
      </w:r>
      <w:r w:rsidR="00130716" w:rsidRPr="002B78E3">
        <w:rPr>
          <w:rFonts w:ascii="David" w:hAnsi="David" w:cs="David" w:hint="cs"/>
          <w:u w:val="single"/>
          <w:rtl/>
        </w:rPr>
        <w:t xml:space="preserve">17 </w:t>
      </w:r>
      <w:r w:rsidR="00130716" w:rsidRPr="002B78E3">
        <w:rPr>
          <w:rFonts w:ascii="David" w:hAnsi="David" w:cs="David" w:hint="cs"/>
          <w:b/>
          <w:bCs/>
          <w:u w:val="single"/>
          <w:rtl/>
        </w:rPr>
        <w:t xml:space="preserve">בהצעת חוק התקנים (תיקון מס' 21), </w:t>
      </w:r>
      <w:proofErr w:type="spellStart"/>
      <w:r w:rsidR="00130716" w:rsidRPr="002B78E3">
        <w:rPr>
          <w:rFonts w:ascii="David" w:hAnsi="David" w:cs="David" w:hint="cs"/>
          <w:b/>
          <w:bCs/>
          <w:u w:val="single"/>
          <w:rtl/>
        </w:rPr>
        <w:t>התשפ"ו</w:t>
      </w:r>
      <w:proofErr w:type="spellEnd"/>
      <w:r w:rsidR="00130716" w:rsidRPr="002B78E3">
        <w:rPr>
          <w:rFonts w:ascii="David" w:hAnsi="David" w:cs="David" w:hint="eastAsia"/>
          <w:b/>
          <w:bCs/>
          <w:u w:val="single"/>
          <w:rtl/>
        </w:rPr>
        <w:t>–</w:t>
      </w:r>
      <w:r w:rsidR="00130716" w:rsidRPr="002B78E3">
        <w:rPr>
          <w:rFonts w:ascii="David" w:hAnsi="David" w:cs="David" w:hint="cs"/>
          <w:b/>
          <w:bCs/>
          <w:u w:val="single"/>
          <w:rtl/>
        </w:rPr>
        <w:t>2026</w:t>
      </w:r>
      <w:r w:rsidR="00130716" w:rsidRPr="002B78E3">
        <w:rPr>
          <w:rFonts w:ascii="David" w:hAnsi="David" w:cs="David" w:hint="cs"/>
          <w:u w:val="single"/>
          <w:rtl/>
        </w:rPr>
        <w:t xml:space="preserve">, לעניין תיקון סעיף 12(ה) בחוק התקנים, תשי"ג-1953.  </w:t>
      </w:r>
    </w:p>
    <w:p w14:paraId="4A5DCF89" w14:textId="77777777" w:rsidR="00162E32" w:rsidRDefault="00162E32" w:rsidP="002B78E3">
      <w:pPr>
        <w:spacing w:before="160" w:line="360" w:lineRule="auto"/>
        <w:jc w:val="both"/>
        <w:rPr>
          <w:rFonts w:ascii="David" w:hAnsi="David" w:cs="David" w:hint="cs"/>
          <w:rtl/>
        </w:rPr>
      </w:pPr>
      <w:r w:rsidRPr="0008156D">
        <w:rPr>
          <w:rFonts w:ascii="David" w:hAnsi="David" w:cs="David" w:hint="eastAsia"/>
          <w:b/>
          <w:bCs/>
          <w:rtl/>
        </w:rPr>
        <w:t>האתגר</w:t>
      </w:r>
      <w:r w:rsidRPr="0008156D">
        <w:rPr>
          <w:rFonts w:ascii="David" w:hAnsi="David" w:cs="David"/>
          <w:b/>
          <w:bCs/>
          <w:rtl/>
        </w:rPr>
        <w:t xml:space="preserve"> </w:t>
      </w:r>
      <w:proofErr w:type="spellStart"/>
      <w:r w:rsidRPr="0008156D">
        <w:rPr>
          <w:rFonts w:ascii="David" w:hAnsi="David" w:cs="David" w:hint="eastAsia"/>
          <w:b/>
          <w:bCs/>
          <w:rtl/>
        </w:rPr>
        <w:t>עימו</w:t>
      </w:r>
      <w:proofErr w:type="spellEnd"/>
      <w:r w:rsidRPr="0008156D">
        <w:rPr>
          <w:rFonts w:ascii="David" w:hAnsi="David" w:cs="David"/>
          <w:b/>
          <w:bCs/>
          <w:rtl/>
        </w:rPr>
        <w:t xml:space="preserve"> </w:t>
      </w:r>
      <w:r w:rsidRPr="0008156D">
        <w:rPr>
          <w:rFonts w:ascii="David" w:hAnsi="David" w:cs="David" w:hint="eastAsia"/>
          <w:b/>
          <w:bCs/>
          <w:rtl/>
        </w:rPr>
        <w:t>מתמודד</w:t>
      </w:r>
      <w:r w:rsidRPr="0008156D">
        <w:rPr>
          <w:rFonts w:ascii="David" w:hAnsi="David" w:cs="David"/>
          <w:b/>
          <w:bCs/>
          <w:rtl/>
        </w:rPr>
        <w:t xml:space="preserve"> </w:t>
      </w:r>
      <w:r w:rsidRPr="0008156D">
        <w:rPr>
          <w:rFonts w:ascii="David" w:hAnsi="David" w:cs="David" w:hint="eastAsia"/>
          <w:b/>
          <w:bCs/>
          <w:rtl/>
        </w:rPr>
        <w:t>הסעיף</w:t>
      </w:r>
      <w:r w:rsidRPr="0008156D">
        <w:rPr>
          <w:rFonts w:ascii="David" w:hAnsi="David" w:cs="David"/>
          <w:b/>
          <w:bCs/>
          <w:rtl/>
        </w:rPr>
        <w:t xml:space="preserve"> </w:t>
      </w:r>
      <w:r w:rsidRPr="0008156D">
        <w:rPr>
          <w:rFonts w:ascii="David" w:hAnsi="David" w:cs="David" w:hint="eastAsia"/>
          <w:b/>
          <w:bCs/>
          <w:rtl/>
        </w:rPr>
        <w:t>המוצע</w:t>
      </w:r>
      <w:r>
        <w:rPr>
          <w:rFonts w:ascii="David" w:hAnsi="David" w:cs="David" w:hint="cs"/>
          <w:rtl/>
        </w:rPr>
        <w:t xml:space="preserve"> - </w:t>
      </w:r>
    </w:p>
    <w:p w14:paraId="0BEF924A" w14:textId="77777777" w:rsidR="00D9471A" w:rsidRDefault="00D9471A" w:rsidP="002B78E3">
      <w:pPr>
        <w:spacing w:before="160" w:line="360" w:lineRule="auto"/>
        <w:jc w:val="both"/>
        <w:rPr>
          <w:rFonts w:ascii="David" w:hAnsi="David" w:cs="David"/>
          <w:rtl/>
        </w:rPr>
      </w:pPr>
      <w:r>
        <w:rPr>
          <w:rFonts w:ascii="David" w:hAnsi="David" w:cs="David" w:hint="cs"/>
          <w:rtl/>
        </w:rPr>
        <w:t>עם כניסת הרפורמה "מה שטוב באירופה" נמצא כי ישנם מקרים בהם למעבדות מאושרות בישראל אין יכולת בדיקה של תקינה אירופית. בעיה זו הוחמרה עם הדיונים על הרפורמה של "מה שטוב בארצות הברית", שכן לגבי התקינה האמריקאית יש פחות היכרות ומומחיות בישראל, לאור העובדה כי מרבית התקינה מבוססת על תקינה ואסדרה אירופית ולא</w:t>
      </w:r>
      <w:bookmarkStart w:id="0" w:name="_GoBack"/>
      <w:bookmarkEnd w:id="0"/>
      <w:r>
        <w:rPr>
          <w:rFonts w:ascii="David" w:hAnsi="David" w:cs="David" w:hint="cs"/>
          <w:rtl/>
        </w:rPr>
        <w:t xml:space="preserve"> על זו האמריקאית. </w:t>
      </w:r>
    </w:p>
    <w:p w14:paraId="00CBDA5B" w14:textId="77777777" w:rsidR="00D9471A" w:rsidRDefault="00D9471A" w:rsidP="002B78E3">
      <w:pPr>
        <w:spacing w:before="160" w:line="360" w:lineRule="auto"/>
        <w:jc w:val="both"/>
        <w:rPr>
          <w:rFonts w:ascii="David" w:hAnsi="David" w:cs="David"/>
          <w:rtl/>
        </w:rPr>
      </w:pPr>
      <w:r>
        <w:rPr>
          <w:rFonts w:ascii="David" w:hAnsi="David" w:cs="David" w:hint="cs"/>
          <w:rtl/>
        </w:rPr>
        <w:t xml:space="preserve">לכן, עלה צורך לחפש פתרון ליכולות הבדיקה, בעיקר במסגרת הפיקוח והאסדרה הנדרשים. ואכן, במסגרת החלטת ממשלה 3386 מיום 3.10.2025 הוחלט </w:t>
      </w:r>
      <w:r w:rsidRPr="00D9471A">
        <w:rPr>
          <w:rFonts w:ascii="David" w:hAnsi="David" w:cs="David"/>
          <w:rtl/>
        </w:rPr>
        <w:t>להקים צוות בראשות מנכ"ל משרד הכלכלה והתעשייה לבחינת חלופות להוכחת עמידת מוצרים בדרישות אסדרה זרה</w:t>
      </w:r>
      <w:r>
        <w:rPr>
          <w:rFonts w:ascii="David" w:hAnsi="David" w:cs="David" w:hint="cs"/>
          <w:rtl/>
        </w:rPr>
        <w:t xml:space="preserve">. </w:t>
      </w:r>
    </w:p>
    <w:p w14:paraId="278494C0" w14:textId="77777777" w:rsidR="00162E32" w:rsidRDefault="00162E32" w:rsidP="002B78E3">
      <w:pPr>
        <w:spacing w:before="160" w:line="360" w:lineRule="auto"/>
        <w:jc w:val="both"/>
        <w:rPr>
          <w:rFonts w:ascii="David" w:hAnsi="David" w:cs="David"/>
          <w:rtl/>
        </w:rPr>
      </w:pPr>
      <w:r w:rsidRPr="0008156D">
        <w:rPr>
          <w:rFonts w:ascii="David" w:hAnsi="David" w:cs="David" w:hint="eastAsia"/>
          <w:b/>
          <w:bCs/>
          <w:rtl/>
        </w:rPr>
        <w:t>עיקרי</w:t>
      </w:r>
      <w:r w:rsidRPr="0008156D">
        <w:rPr>
          <w:rFonts w:ascii="David" w:hAnsi="David" w:cs="David"/>
          <w:b/>
          <w:bCs/>
          <w:rtl/>
        </w:rPr>
        <w:t xml:space="preserve"> </w:t>
      </w:r>
      <w:r w:rsidRPr="0008156D">
        <w:rPr>
          <w:rFonts w:ascii="David" w:hAnsi="David" w:cs="David" w:hint="eastAsia"/>
          <w:b/>
          <w:bCs/>
          <w:rtl/>
        </w:rPr>
        <w:t>הפתרון</w:t>
      </w:r>
      <w:r w:rsidRPr="0008156D">
        <w:rPr>
          <w:rFonts w:ascii="David" w:hAnsi="David" w:cs="David"/>
          <w:b/>
          <w:bCs/>
          <w:rtl/>
        </w:rPr>
        <w:t xml:space="preserve"> </w:t>
      </w:r>
      <w:r w:rsidRPr="0008156D">
        <w:rPr>
          <w:rFonts w:ascii="David" w:hAnsi="David" w:cs="David" w:hint="eastAsia"/>
          <w:b/>
          <w:bCs/>
          <w:rtl/>
        </w:rPr>
        <w:t>המוצע</w:t>
      </w:r>
      <w:r>
        <w:rPr>
          <w:rFonts w:ascii="David" w:hAnsi="David" w:cs="David" w:hint="cs"/>
          <w:rtl/>
        </w:rPr>
        <w:t xml:space="preserve"> - </w:t>
      </w:r>
    </w:p>
    <w:p w14:paraId="244B4C5D" w14:textId="77777777" w:rsidR="00D9471A" w:rsidRDefault="00D9471A" w:rsidP="002B78E3">
      <w:pPr>
        <w:spacing w:before="160" w:line="360" w:lineRule="auto"/>
        <w:jc w:val="both"/>
        <w:rPr>
          <w:rFonts w:ascii="David" w:hAnsi="David" w:cs="David"/>
          <w:rtl/>
        </w:rPr>
      </w:pPr>
      <w:r>
        <w:rPr>
          <w:rFonts w:ascii="David" w:hAnsi="David" w:cs="David" w:hint="cs"/>
          <w:rtl/>
        </w:rPr>
        <w:t xml:space="preserve">הוועדה בחנה חלופות שונות ומצאה כי המתווה שלהלן הוא המתווה הנכון ביותר, לעת הזו, להתמודד הן עם הצורך בפיקוח ואכיפה והן עם הצורך בעריכת בדיקות במעבדות מוסמכות, אשר הן בעלות הידע והכישורים הנדרשים לבדיקות עמידה בתקינה אירופית או אמריקאית כנדרש. </w:t>
      </w:r>
    </w:p>
    <w:p w14:paraId="77BD5D1E" w14:textId="2C1054AC" w:rsidR="00162E32" w:rsidRDefault="00162E32" w:rsidP="002B78E3">
      <w:pPr>
        <w:spacing w:before="160" w:line="360" w:lineRule="auto"/>
        <w:jc w:val="both"/>
        <w:rPr>
          <w:rFonts w:ascii="David" w:hAnsi="David" w:cs="David"/>
          <w:rtl/>
        </w:rPr>
      </w:pPr>
      <w:r>
        <w:rPr>
          <w:rFonts w:ascii="David" w:hAnsi="David" w:cs="David" w:hint="cs"/>
          <w:rtl/>
        </w:rPr>
        <w:t xml:space="preserve">הפתרון מורכב ממספר שלבים, כפי שיפורט בהרחבה להלן: בדיקת המצרך לפי תקן רשמי ישראלי החל עליו -&gt; במקרה של מציאת אי התאמה, עריכת מיפוי הפערים בין התקינה הישראלית לתקינה הזרה הרלוונטית + העברה לבדיקה של מעבדה מוסמכת </w:t>
      </w:r>
      <w:proofErr w:type="spellStart"/>
      <w:r>
        <w:rPr>
          <w:rFonts w:ascii="David" w:hAnsi="David" w:cs="David" w:hint="cs"/>
          <w:rtl/>
        </w:rPr>
        <w:t>איתה</w:t>
      </w:r>
      <w:proofErr w:type="spellEnd"/>
      <w:r>
        <w:rPr>
          <w:rFonts w:ascii="David" w:hAnsi="David" w:cs="David" w:hint="cs"/>
          <w:rtl/>
        </w:rPr>
        <w:t xml:space="preserve"> יש למעבדה המאושרת הסכם התקשרות (להלן: "המעבדה הזרה") &gt; קבלת תוצאות הבדיקה של המעבדה </w:t>
      </w:r>
      <w:r w:rsidR="00180E37">
        <w:rPr>
          <w:rFonts w:ascii="David" w:hAnsi="David" w:cs="David" w:hint="cs"/>
          <w:rtl/>
        </w:rPr>
        <w:t>המוסמכת</w:t>
      </w:r>
      <w:r>
        <w:rPr>
          <w:rFonts w:ascii="David" w:hAnsi="David" w:cs="David" w:hint="cs"/>
          <w:rtl/>
        </w:rPr>
        <w:t xml:space="preserve"> וככל שהתוצאה היא של אי עמידה גם בתקינה הזרה, הרי שיתחיל הליך של שימוש בכלי הפיקוח המנהליים, אכיפה מנהלית או אכיפה פלילית. </w:t>
      </w:r>
    </w:p>
    <w:p w14:paraId="3BB88506" w14:textId="563309F9" w:rsidR="00162E32" w:rsidRDefault="00162E32" w:rsidP="002B78E3">
      <w:pPr>
        <w:spacing w:before="160" w:line="360" w:lineRule="auto"/>
        <w:jc w:val="both"/>
        <w:rPr>
          <w:rFonts w:ascii="David" w:hAnsi="David" w:cs="David"/>
          <w:rtl/>
        </w:rPr>
      </w:pPr>
      <w:r>
        <w:rPr>
          <w:rFonts w:ascii="David" w:hAnsi="David" w:cs="David" w:hint="cs"/>
          <w:rtl/>
        </w:rPr>
        <w:t xml:space="preserve">כחלק ממתווה זה, נדרש לתקן את סעיף </w:t>
      </w:r>
      <w:r w:rsidR="00180E37">
        <w:rPr>
          <w:rFonts w:ascii="David" w:hAnsi="David" w:cs="David" w:hint="cs"/>
          <w:rtl/>
        </w:rPr>
        <w:t xml:space="preserve">12 לחוק, </w:t>
      </w:r>
      <w:r>
        <w:rPr>
          <w:rFonts w:ascii="David" w:hAnsi="David" w:cs="David" w:hint="cs"/>
          <w:rtl/>
        </w:rPr>
        <w:t xml:space="preserve"> באופן המאפשר</w:t>
      </w:r>
      <w:r w:rsidR="00180E37">
        <w:rPr>
          <w:rFonts w:ascii="David" w:hAnsi="David" w:cs="David" w:hint="cs"/>
          <w:rtl/>
        </w:rPr>
        <w:t xml:space="preserve"> </w:t>
      </w:r>
      <w:r w:rsidR="00673D6D">
        <w:rPr>
          <w:rFonts w:ascii="David" w:hAnsi="David" w:cs="David" w:hint="cs"/>
          <w:rtl/>
        </w:rPr>
        <w:t>שימוש</w:t>
      </w:r>
      <w:r w:rsidR="002B78E3">
        <w:rPr>
          <w:rFonts w:ascii="David" w:hAnsi="David" w:cs="David" w:hint="cs"/>
          <w:rtl/>
        </w:rPr>
        <w:t xml:space="preserve"> </w:t>
      </w:r>
      <w:r w:rsidR="00180E37">
        <w:rPr>
          <w:rFonts w:ascii="David" w:hAnsi="David" w:cs="David" w:hint="cs"/>
          <w:rtl/>
        </w:rPr>
        <w:t>ב</w:t>
      </w:r>
      <w:r>
        <w:rPr>
          <w:rFonts w:ascii="David" w:hAnsi="David" w:cs="David" w:hint="cs"/>
          <w:rtl/>
        </w:rPr>
        <w:t xml:space="preserve">מסמכים האמורים </w:t>
      </w:r>
      <w:r w:rsidR="00180E37">
        <w:rPr>
          <w:rFonts w:ascii="David" w:hAnsi="David" w:cs="David" w:hint="cs"/>
          <w:rtl/>
        </w:rPr>
        <w:t xml:space="preserve">כראיה </w:t>
      </w:r>
      <w:r>
        <w:rPr>
          <w:rFonts w:ascii="David" w:hAnsi="David" w:cs="David" w:hint="cs"/>
          <w:rtl/>
        </w:rPr>
        <w:t>ולקבוע</w:t>
      </w:r>
      <w:r w:rsidR="00A34388">
        <w:rPr>
          <w:rFonts w:ascii="David" w:hAnsi="David" w:cs="David" w:hint="cs"/>
          <w:rtl/>
        </w:rPr>
        <w:t xml:space="preserve"> כי במקרה שבו התעודה ניתנה ע"</w:t>
      </w:r>
      <w:r w:rsidR="001818B1">
        <w:rPr>
          <w:rFonts w:ascii="David" w:hAnsi="David" w:cs="David" w:hint="cs"/>
          <w:rtl/>
        </w:rPr>
        <w:t>י</w:t>
      </w:r>
      <w:r w:rsidR="00A34388">
        <w:rPr>
          <w:rFonts w:ascii="David" w:hAnsi="David" w:cs="David" w:hint="cs"/>
          <w:rtl/>
        </w:rPr>
        <w:t xml:space="preserve"> מעבדה מוסמכת זרה </w:t>
      </w:r>
      <w:r w:rsidR="00673D6D">
        <w:rPr>
          <w:rFonts w:ascii="David" w:hAnsi="David" w:cs="David" w:hint="cs"/>
          <w:rtl/>
        </w:rPr>
        <w:t>העוסק</w:t>
      </w:r>
      <w:r>
        <w:rPr>
          <w:rFonts w:ascii="David" w:hAnsi="David" w:cs="David" w:hint="cs"/>
          <w:rtl/>
        </w:rPr>
        <w:t xml:space="preserve"> יוכל להפריך את אמיתות תכנ</w:t>
      </w:r>
      <w:r w:rsidR="001818B1">
        <w:rPr>
          <w:rFonts w:ascii="David" w:hAnsi="David" w:cs="David" w:hint="cs"/>
          <w:rtl/>
        </w:rPr>
        <w:t>ה</w:t>
      </w:r>
      <w:r>
        <w:rPr>
          <w:rFonts w:ascii="David" w:hAnsi="David" w:cs="David" w:hint="cs"/>
          <w:rtl/>
        </w:rPr>
        <w:t xml:space="preserve"> באחת מ-</w:t>
      </w:r>
      <w:r w:rsidR="00BC7986">
        <w:rPr>
          <w:rFonts w:ascii="David" w:hAnsi="David" w:cs="David" w:hint="cs"/>
          <w:rtl/>
        </w:rPr>
        <w:t>4</w:t>
      </w:r>
      <w:r>
        <w:rPr>
          <w:rFonts w:ascii="David" w:hAnsi="David" w:cs="David" w:hint="cs"/>
          <w:rtl/>
        </w:rPr>
        <w:t xml:space="preserve"> דרכים: תעודת בדיקה </w:t>
      </w:r>
      <w:bookmarkStart w:id="1" w:name="_Hlk232682752"/>
      <w:r>
        <w:rPr>
          <w:rFonts w:ascii="David" w:hAnsi="David" w:cs="David" w:hint="cs"/>
          <w:rtl/>
        </w:rPr>
        <w:t xml:space="preserve">של המצרך מאותו משלוח </w:t>
      </w:r>
      <w:r w:rsidR="00861761">
        <w:rPr>
          <w:rFonts w:ascii="David" w:hAnsi="David" w:cs="David" w:hint="cs"/>
          <w:rtl/>
        </w:rPr>
        <w:t xml:space="preserve">ואותה </w:t>
      </w:r>
      <w:r>
        <w:rPr>
          <w:rFonts w:ascii="David" w:hAnsi="David" w:cs="David" w:hint="cs"/>
          <w:rtl/>
        </w:rPr>
        <w:t>מנת יצור, שניתנה על ידי מעבדה מאושרת, המראה עמידה בתקן הרשמי הישראלי הרלוונטי</w:t>
      </w:r>
      <w:bookmarkEnd w:id="1"/>
      <w:r>
        <w:rPr>
          <w:rFonts w:ascii="David" w:hAnsi="David" w:cs="David" w:hint="cs"/>
          <w:rtl/>
        </w:rPr>
        <w:t xml:space="preserve">; תעודת בדיקה של </w:t>
      </w:r>
      <w:r w:rsidRPr="00162E32">
        <w:rPr>
          <w:rFonts w:ascii="David" w:hAnsi="David" w:cs="David" w:hint="cs"/>
          <w:rtl/>
        </w:rPr>
        <w:t xml:space="preserve">המצרך </w:t>
      </w:r>
      <w:r w:rsidR="005F48FC">
        <w:rPr>
          <w:rFonts w:ascii="David" w:hAnsi="David" w:cs="David" w:hint="cs"/>
          <w:rtl/>
        </w:rPr>
        <w:t xml:space="preserve">מאותו משלוח </w:t>
      </w:r>
      <w:r w:rsidR="00861761">
        <w:rPr>
          <w:rFonts w:ascii="David" w:hAnsi="David" w:cs="David" w:hint="cs"/>
          <w:rtl/>
        </w:rPr>
        <w:t>ו</w:t>
      </w:r>
      <w:r w:rsidRPr="00162E32">
        <w:rPr>
          <w:rFonts w:ascii="David" w:hAnsi="David" w:cs="David" w:hint="cs"/>
          <w:rtl/>
        </w:rPr>
        <w:t>מאות</w:t>
      </w:r>
      <w:r>
        <w:rPr>
          <w:rFonts w:ascii="David" w:hAnsi="David" w:cs="David" w:hint="cs"/>
          <w:rtl/>
        </w:rPr>
        <w:t>ה</w:t>
      </w:r>
      <w:r w:rsidRPr="00162E32">
        <w:rPr>
          <w:rFonts w:ascii="David" w:hAnsi="David" w:cs="David" w:hint="cs"/>
          <w:rtl/>
        </w:rPr>
        <w:t xml:space="preserve"> </w:t>
      </w:r>
      <w:r>
        <w:rPr>
          <w:rFonts w:ascii="David" w:hAnsi="David" w:cs="David" w:hint="cs"/>
          <w:rtl/>
        </w:rPr>
        <w:t>מ</w:t>
      </w:r>
      <w:r w:rsidRPr="00162E32">
        <w:rPr>
          <w:rFonts w:ascii="David" w:hAnsi="David" w:cs="David" w:hint="cs"/>
          <w:rtl/>
        </w:rPr>
        <w:t xml:space="preserve">נת יצור, שניתנה על ידי מעבדה </w:t>
      </w:r>
      <w:r>
        <w:rPr>
          <w:rFonts w:ascii="David" w:hAnsi="David" w:cs="David" w:hint="cs"/>
          <w:rtl/>
        </w:rPr>
        <w:t>מוסמכת זרה</w:t>
      </w:r>
      <w:r w:rsidRPr="00162E32">
        <w:rPr>
          <w:rFonts w:ascii="David" w:hAnsi="David" w:cs="David" w:hint="cs"/>
          <w:rtl/>
        </w:rPr>
        <w:t xml:space="preserve">, המראה עמידה בתקן </w:t>
      </w:r>
      <w:r>
        <w:rPr>
          <w:rFonts w:ascii="David" w:hAnsi="David" w:cs="David" w:hint="cs"/>
          <w:rtl/>
        </w:rPr>
        <w:t>הזר</w:t>
      </w:r>
      <w:r w:rsidRPr="00162E32">
        <w:rPr>
          <w:rFonts w:ascii="David" w:hAnsi="David" w:cs="David" w:hint="cs"/>
          <w:rtl/>
        </w:rPr>
        <w:t xml:space="preserve"> הרלוונטי</w:t>
      </w:r>
      <w:r>
        <w:rPr>
          <w:rFonts w:ascii="David" w:hAnsi="David" w:cs="David" w:hint="cs"/>
          <w:rtl/>
        </w:rPr>
        <w:t>; הוכחת טעות או פגם</w:t>
      </w:r>
      <w:r w:rsidR="001818B1">
        <w:rPr>
          <w:rFonts w:ascii="David" w:hAnsi="David" w:cs="David" w:hint="cs"/>
          <w:rtl/>
        </w:rPr>
        <w:t xml:space="preserve"> ברור וגלוי</w:t>
      </w:r>
      <w:r>
        <w:rPr>
          <w:rFonts w:ascii="David" w:hAnsi="David" w:cs="David" w:hint="cs"/>
          <w:rtl/>
        </w:rPr>
        <w:t xml:space="preserve"> העולה מהתעודה עצמה</w:t>
      </w:r>
      <w:r w:rsidR="001818B1">
        <w:rPr>
          <w:rFonts w:ascii="David" w:hAnsi="David" w:cs="David" w:hint="cs"/>
          <w:rtl/>
        </w:rPr>
        <w:t xml:space="preserve"> או מהמסמכים הנלווים לה</w:t>
      </w:r>
      <w:r w:rsidR="00BC7986">
        <w:rPr>
          <w:rFonts w:ascii="David" w:hAnsi="David" w:cs="David" w:hint="cs"/>
          <w:rtl/>
        </w:rPr>
        <w:t>;</w:t>
      </w:r>
      <w:r w:rsidR="002B78E3">
        <w:rPr>
          <w:rFonts w:ascii="David" w:hAnsi="David" w:cs="David" w:hint="cs"/>
          <w:rtl/>
        </w:rPr>
        <w:t xml:space="preserve"> </w:t>
      </w:r>
      <w:r>
        <w:rPr>
          <w:rFonts w:ascii="David" w:hAnsi="David" w:cs="David" w:hint="cs"/>
          <w:rtl/>
        </w:rPr>
        <w:t xml:space="preserve">בנוסף, נקבע כי במקרים חריגים במיוחד, </w:t>
      </w:r>
      <w:r w:rsidR="00BC7986">
        <w:rPr>
          <w:rFonts w:ascii="David" w:hAnsi="David" w:cs="David" w:hint="cs"/>
        </w:rPr>
        <w:t xml:space="preserve"> </w:t>
      </w:r>
      <w:r>
        <w:rPr>
          <w:rFonts w:ascii="David" w:hAnsi="David" w:cs="David" w:hint="cs"/>
          <w:rtl/>
        </w:rPr>
        <w:t>כפי שיפורט להלן, יוכל בית המשפט להורות גם על העדת הגורם במעבדה הזרה שנת</w:t>
      </w:r>
      <w:r w:rsidR="001818B1">
        <w:rPr>
          <w:rFonts w:ascii="David" w:hAnsi="David" w:cs="David" w:hint="cs"/>
          <w:rtl/>
        </w:rPr>
        <w:t>ן</w:t>
      </w:r>
      <w:r>
        <w:rPr>
          <w:rFonts w:ascii="David" w:hAnsi="David" w:cs="David" w:hint="cs"/>
          <w:rtl/>
        </w:rPr>
        <w:t xml:space="preserve"> את תעודת הבדיקה שמכוחה התחיל הליך האכיפה.</w:t>
      </w:r>
      <w:r w:rsidR="001818B1" w:rsidRPr="001818B1">
        <w:rPr>
          <w:rtl/>
        </w:rPr>
        <w:t xml:space="preserve"> </w:t>
      </w:r>
    </w:p>
    <w:p w14:paraId="30D3F885" w14:textId="77777777" w:rsidR="00162E32" w:rsidRDefault="00162E32" w:rsidP="002B78E3">
      <w:pPr>
        <w:spacing w:before="160" w:line="360" w:lineRule="auto"/>
        <w:jc w:val="both"/>
        <w:rPr>
          <w:rFonts w:ascii="David" w:hAnsi="David" w:cs="David"/>
          <w:rtl/>
        </w:rPr>
      </w:pPr>
      <w:r w:rsidRPr="003627E4">
        <w:rPr>
          <w:rFonts w:ascii="David" w:hAnsi="David" w:cs="David" w:hint="eastAsia"/>
          <w:b/>
          <w:bCs/>
          <w:rtl/>
        </w:rPr>
        <w:t>פירוט</w:t>
      </w:r>
      <w:r w:rsidRPr="003627E4">
        <w:rPr>
          <w:rFonts w:ascii="David" w:hAnsi="David" w:cs="David"/>
          <w:b/>
          <w:bCs/>
          <w:rtl/>
        </w:rPr>
        <w:t xml:space="preserve"> </w:t>
      </w:r>
      <w:r w:rsidRPr="003627E4">
        <w:rPr>
          <w:rFonts w:ascii="David" w:hAnsi="David" w:cs="David" w:hint="eastAsia"/>
          <w:b/>
          <w:bCs/>
          <w:rtl/>
        </w:rPr>
        <w:t>והרחבת</w:t>
      </w:r>
      <w:r w:rsidRPr="003627E4">
        <w:rPr>
          <w:rFonts w:ascii="David" w:hAnsi="David" w:cs="David"/>
          <w:b/>
          <w:bCs/>
          <w:rtl/>
        </w:rPr>
        <w:t xml:space="preserve"> </w:t>
      </w:r>
      <w:r w:rsidRPr="003627E4">
        <w:rPr>
          <w:rFonts w:ascii="David" w:hAnsi="David" w:cs="David" w:hint="eastAsia"/>
          <w:b/>
          <w:bCs/>
          <w:rtl/>
        </w:rPr>
        <w:t>מתווה</w:t>
      </w:r>
      <w:r w:rsidRPr="003627E4">
        <w:rPr>
          <w:rFonts w:ascii="David" w:hAnsi="David" w:cs="David"/>
          <w:b/>
          <w:bCs/>
          <w:rtl/>
        </w:rPr>
        <w:t xml:space="preserve"> </w:t>
      </w:r>
      <w:r w:rsidRPr="003627E4">
        <w:rPr>
          <w:rFonts w:ascii="David" w:hAnsi="David" w:cs="David" w:hint="eastAsia"/>
          <w:b/>
          <w:bCs/>
          <w:rtl/>
        </w:rPr>
        <w:t>הפתרון</w:t>
      </w:r>
      <w:r w:rsidRPr="003627E4">
        <w:rPr>
          <w:rFonts w:ascii="David" w:hAnsi="David" w:cs="David"/>
          <w:b/>
          <w:bCs/>
          <w:rtl/>
        </w:rPr>
        <w:t xml:space="preserve"> </w:t>
      </w:r>
      <w:r w:rsidRPr="003627E4">
        <w:rPr>
          <w:rFonts w:ascii="David" w:hAnsi="David" w:cs="David" w:hint="eastAsia"/>
          <w:b/>
          <w:bCs/>
          <w:rtl/>
        </w:rPr>
        <w:t>המוצע</w:t>
      </w:r>
      <w:r>
        <w:rPr>
          <w:rFonts w:ascii="David" w:hAnsi="David" w:cs="David" w:hint="cs"/>
          <w:rtl/>
        </w:rPr>
        <w:t>:</w:t>
      </w:r>
      <w:r>
        <w:rPr>
          <w:rFonts w:ascii="David" w:hAnsi="David" w:cs="David" w:hint="cs"/>
        </w:rPr>
        <w:t xml:space="preserve"> </w:t>
      </w:r>
    </w:p>
    <w:p w14:paraId="4EF1C8C7" w14:textId="77777777" w:rsidR="00956AFA" w:rsidRDefault="00956AFA" w:rsidP="002B78E3">
      <w:pPr>
        <w:spacing w:before="160" w:line="360" w:lineRule="auto"/>
        <w:jc w:val="both"/>
        <w:rPr>
          <w:rFonts w:ascii="David" w:hAnsi="David" w:cs="David"/>
          <w:rtl/>
        </w:rPr>
      </w:pPr>
      <w:r w:rsidRPr="00956AFA">
        <w:rPr>
          <w:rFonts w:ascii="David" w:hAnsi="David" w:cs="David"/>
          <w:rtl/>
        </w:rPr>
        <w:t>כיום חוק התקנים</w:t>
      </w:r>
      <w:r>
        <w:rPr>
          <w:rFonts w:ascii="David" w:hAnsi="David" w:cs="David" w:hint="cs"/>
          <w:rtl/>
        </w:rPr>
        <w:t xml:space="preserve"> </w:t>
      </w:r>
      <w:r w:rsidRPr="00956AFA">
        <w:rPr>
          <w:rFonts w:ascii="David" w:hAnsi="David" w:cs="David"/>
          <w:rtl/>
        </w:rPr>
        <w:t>מסדיר בסעיף 12(א) לחוק את מעמדן וסמכויותיהן של מעבדות מאושרות בישראל</w:t>
      </w:r>
      <w:r>
        <w:rPr>
          <w:rFonts w:ascii="David" w:hAnsi="David" w:cs="David" w:hint="cs"/>
          <w:rtl/>
        </w:rPr>
        <w:t xml:space="preserve"> לבדיקת</w:t>
      </w:r>
      <w:r w:rsidRPr="00956AFA">
        <w:rPr>
          <w:rFonts w:ascii="David" w:hAnsi="David" w:cs="David"/>
          <w:rtl/>
        </w:rPr>
        <w:t xml:space="preserve"> מידת התאמתו של מצרך לתקן, לתקן רשמי, לתקן בין-לאומי שאומץ בתקן רשמי או לתקן אירופי מתואם, לפי העניין ,ולתת תעודה על כך. </w:t>
      </w:r>
      <w:r>
        <w:rPr>
          <w:rFonts w:ascii="David" w:hAnsi="David" w:cs="David" w:hint="cs"/>
          <w:rtl/>
        </w:rPr>
        <w:t xml:space="preserve">  </w:t>
      </w:r>
    </w:p>
    <w:p w14:paraId="2CB0588E" w14:textId="77777777" w:rsidR="00956AFA" w:rsidRDefault="00956AFA" w:rsidP="002B78E3">
      <w:pPr>
        <w:spacing w:before="160" w:line="360" w:lineRule="auto"/>
        <w:jc w:val="both"/>
        <w:rPr>
          <w:rFonts w:ascii="David" w:hAnsi="David" w:cs="David"/>
          <w:rtl/>
        </w:rPr>
      </w:pPr>
      <w:r>
        <w:rPr>
          <w:rFonts w:ascii="David" w:hAnsi="David" w:cs="David" w:hint="cs"/>
          <w:rtl/>
        </w:rPr>
        <w:lastRenderedPageBreak/>
        <w:t>בהתאם לסעיף 12(ב) לחוק, תעודות הבדיקה או אישורי התאמה שניתנו ע"י המעבדות מאושרות  ישמשו כראיה לתכנן כל עוד לא הוכח היפוכו של דבר.</w:t>
      </w:r>
      <w:r w:rsidRPr="00956AFA">
        <w:rPr>
          <w:rFonts w:ascii="David" w:hAnsi="David" w:cs="David"/>
          <w:rtl/>
        </w:rPr>
        <w:t xml:space="preserve">  </w:t>
      </w:r>
    </w:p>
    <w:p w14:paraId="04420666" w14:textId="77777777" w:rsidR="00956AFA" w:rsidRDefault="00956AFA" w:rsidP="002B78E3">
      <w:pPr>
        <w:spacing w:before="160" w:line="360" w:lineRule="auto"/>
        <w:jc w:val="both"/>
        <w:rPr>
          <w:rFonts w:ascii="David" w:hAnsi="David" w:cs="David"/>
          <w:rtl/>
        </w:rPr>
      </w:pPr>
      <w:r w:rsidRPr="00956AFA">
        <w:rPr>
          <w:rFonts w:ascii="David" w:hAnsi="David" w:cs="David"/>
          <w:rtl/>
        </w:rPr>
        <w:t xml:space="preserve">בנוסף </w:t>
      </w:r>
      <w:r>
        <w:rPr>
          <w:rFonts w:ascii="David" w:hAnsi="David" w:cs="David" w:hint="cs"/>
          <w:rtl/>
        </w:rPr>
        <w:t>בהתאם לסעיפים</w:t>
      </w:r>
      <w:r w:rsidRPr="00956AFA">
        <w:rPr>
          <w:rFonts w:ascii="David" w:hAnsi="David" w:cs="David"/>
          <w:rtl/>
        </w:rPr>
        <w:t xml:space="preserve">12(ג) </w:t>
      </w:r>
      <w:r>
        <w:rPr>
          <w:rFonts w:ascii="David" w:hAnsi="David" w:cs="David" w:hint="cs"/>
          <w:rtl/>
        </w:rPr>
        <w:t xml:space="preserve"> ו</w:t>
      </w:r>
      <w:r w:rsidR="00864BC0">
        <w:rPr>
          <w:rFonts w:ascii="David" w:hAnsi="David" w:cs="David" w:hint="cs"/>
          <w:rtl/>
        </w:rPr>
        <w:t>-</w:t>
      </w:r>
      <w:r>
        <w:rPr>
          <w:rFonts w:ascii="David" w:hAnsi="David" w:cs="David" w:hint="cs"/>
          <w:rtl/>
        </w:rPr>
        <w:t>12(ד) לחוק ,</w:t>
      </w:r>
      <w:r w:rsidRPr="00956AFA">
        <w:rPr>
          <w:rFonts w:ascii="David" w:hAnsi="David" w:cs="David"/>
          <w:rtl/>
        </w:rPr>
        <w:t xml:space="preserve"> מקום שלעניין חיקוק נדרשת ראיה כי נתמלאו תנאי תקן, תקן בינלאומי שאומץ בתקן רשמי או תקן אירופי, </w:t>
      </w:r>
      <w:r>
        <w:rPr>
          <w:rFonts w:ascii="David" w:hAnsi="David" w:cs="David" w:hint="cs"/>
          <w:rtl/>
        </w:rPr>
        <w:t xml:space="preserve">תנאי אסדרה זרה על סוגיה, לא </w:t>
      </w:r>
      <w:r w:rsidR="00961E49">
        <w:rPr>
          <w:rFonts w:ascii="David" w:hAnsi="David" w:cs="David" w:hint="cs"/>
          <w:rtl/>
        </w:rPr>
        <w:t>יתקבלו</w:t>
      </w:r>
      <w:r>
        <w:rPr>
          <w:rFonts w:ascii="David" w:hAnsi="David" w:cs="David" w:hint="cs"/>
          <w:rtl/>
        </w:rPr>
        <w:t xml:space="preserve"> כראיה תעודת בדיקה או אישור התאמה אלא אם ניתנו ע"י מעבדות מאושרות כמצוין בחוק.</w:t>
      </w:r>
    </w:p>
    <w:p w14:paraId="73FC1D1E" w14:textId="4905A5C3" w:rsidR="00956AFA" w:rsidRDefault="0009085F" w:rsidP="002B78E3">
      <w:pPr>
        <w:spacing w:before="160" w:line="360" w:lineRule="auto"/>
        <w:jc w:val="both"/>
        <w:rPr>
          <w:rFonts w:ascii="David" w:hAnsi="David" w:cs="David"/>
          <w:rtl/>
        </w:rPr>
      </w:pPr>
      <w:r>
        <w:rPr>
          <w:rFonts w:ascii="David" w:hAnsi="David" w:cs="David" w:hint="cs"/>
          <w:rtl/>
        </w:rPr>
        <w:t>לנוכח</w:t>
      </w:r>
      <w:r w:rsidR="00961E49">
        <w:rPr>
          <w:rFonts w:hint="cs"/>
          <w:rtl/>
        </w:rPr>
        <w:t xml:space="preserve"> </w:t>
      </w:r>
      <w:r w:rsidR="00864BC0">
        <w:rPr>
          <w:rFonts w:ascii="David" w:hAnsi="David" w:cs="David" w:hint="cs"/>
          <w:rtl/>
        </w:rPr>
        <w:t>היעדר היצע נדרש של מעבדות מאושרות</w:t>
      </w:r>
      <w:r w:rsidRPr="0009085F">
        <w:rPr>
          <w:rFonts w:ascii="David" w:hAnsi="David" w:cs="David"/>
          <w:rtl/>
        </w:rPr>
        <w:t xml:space="preserve"> </w:t>
      </w:r>
      <w:r w:rsidR="005F48FC">
        <w:rPr>
          <w:rFonts w:ascii="David" w:hAnsi="David" w:cs="David" w:hint="cs"/>
          <w:rtl/>
        </w:rPr>
        <w:t>ל</w:t>
      </w:r>
      <w:r w:rsidR="00864BC0">
        <w:rPr>
          <w:rFonts w:ascii="David" w:hAnsi="David" w:cs="David" w:hint="cs"/>
          <w:rtl/>
        </w:rPr>
        <w:t>בדיקת</w:t>
      </w:r>
      <w:r w:rsidR="00864BC0" w:rsidRPr="00864BC0">
        <w:rPr>
          <w:rFonts w:ascii="David" w:hAnsi="David" w:cs="David"/>
          <w:rtl/>
        </w:rPr>
        <w:t xml:space="preserve"> תקנים אירופיים מתואמים, תקנים </w:t>
      </w:r>
      <w:proofErr w:type="spellStart"/>
      <w:r w:rsidR="00864BC0" w:rsidRPr="00864BC0">
        <w:rPr>
          <w:rFonts w:ascii="David" w:hAnsi="David" w:cs="David"/>
          <w:rtl/>
        </w:rPr>
        <w:t>אמריקאיים</w:t>
      </w:r>
      <w:proofErr w:type="spellEnd"/>
      <w:r w:rsidR="00864BC0" w:rsidRPr="00864BC0">
        <w:rPr>
          <w:rFonts w:ascii="David" w:hAnsi="David" w:cs="David"/>
          <w:rtl/>
        </w:rPr>
        <w:t xml:space="preserve"> או דרישות טכניות (להלן : "התקן הזר")</w:t>
      </w:r>
      <w:r w:rsidR="00864BC0">
        <w:rPr>
          <w:rFonts w:ascii="David" w:hAnsi="David" w:cs="David" w:hint="cs"/>
          <w:rtl/>
        </w:rPr>
        <w:t xml:space="preserve">, </w:t>
      </w:r>
      <w:r>
        <w:rPr>
          <w:rFonts w:ascii="David" w:hAnsi="David" w:cs="David" w:hint="cs"/>
          <w:rtl/>
        </w:rPr>
        <w:t>נדרש היה למצוא חלופ</w:t>
      </w:r>
      <w:r w:rsidR="00DC71DC">
        <w:rPr>
          <w:rFonts w:ascii="David" w:hAnsi="David" w:cs="David" w:hint="cs"/>
          <w:rtl/>
        </w:rPr>
        <w:t>ה</w:t>
      </w:r>
      <w:r>
        <w:rPr>
          <w:rFonts w:ascii="David" w:hAnsi="David" w:cs="David" w:hint="cs"/>
          <w:rtl/>
        </w:rPr>
        <w:t xml:space="preserve"> לביצוע </w:t>
      </w:r>
      <w:r w:rsidR="00864BC0">
        <w:rPr>
          <w:rFonts w:ascii="David" w:hAnsi="David" w:cs="David" w:hint="cs"/>
          <w:rtl/>
        </w:rPr>
        <w:t>בדיקות ההתאמה לתקן הזר.</w:t>
      </w:r>
    </w:p>
    <w:p w14:paraId="29F5EC3B" w14:textId="5432922F" w:rsidR="0009085F" w:rsidRDefault="0009085F" w:rsidP="002B78E3">
      <w:pPr>
        <w:spacing w:before="160" w:line="360" w:lineRule="auto"/>
        <w:jc w:val="both"/>
        <w:rPr>
          <w:rFonts w:ascii="David" w:hAnsi="David" w:cs="David"/>
          <w:rtl/>
        </w:rPr>
      </w:pPr>
      <w:r>
        <w:rPr>
          <w:rFonts w:ascii="David" w:hAnsi="David" w:cs="David" w:hint="cs"/>
          <w:rtl/>
        </w:rPr>
        <w:t xml:space="preserve">צוות מקצועי שהוקם מכוח </w:t>
      </w:r>
      <w:r w:rsidRPr="0009085F">
        <w:rPr>
          <w:rFonts w:ascii="David" w:hAnsi="David" w:cs="David"/>
          <w:rtl/>
        </w:rPr>
        <w:t xml:space="preserve">החלטת ממשלה 3386 (יקר/21), בחן את </w:t>
      </w:r>
      <w:r w:rsidR="00DC71DC">
        <w:rPr>
          <w:rFonts w:ascii="David" w:hAnsi="David" w:cs="David" w:hint="cs"/>
          <w:rtl/>
        </w:rPr>
        <w:t>הנושא ולאור המלצותיו, גובש המתווה שמופיע בהצעת חוק זו.</w:t>
      </w:r>
    </w:p>
    <w:p w14:paraId="5A744F4D" w14:textId="331EEC5E" w:rsidR="00956AFA" w:rsidRDefault="00DC71DC" w:rsidP="002B78E3">
      <w:pPr>
        <w:spacing w:before="160" w:line="360" w:lineRule="auto"/>
        <w:jc w:val="both"/>
        <w:rPr>
          <w:rFonts w:ascii="David" w:hAnsi="David" w:cs="David"/>
          <w:rtl/>
        </w:rPr>
      </w:pPr>
      <w:r>
        <w:rPr>
          <w:rFonts w:ascii="David" w:hAnsi="David" w:cs="David" w:hint="cs"/>
          <w:rtl/>
        </w:rPr>
        <w:t>במסגרת המתווה המוצע , ניתן יהיה</w:t>
      </w:r>
      <w:r w:rsidRPr="00DC71DC">
        <w:rPr>
          <w:rFonts w:ascii="David" w:hAnsi="David" w:cs="David"/>
          <w:rtl/>
        </w:rPr>
        <w:t xml:space="preserve"> להשתמש במעבדות מאושרות לבחינת התאמה </w:t>
      </w:r>
      <w:r w:rsidR="005E1BF4">
        <w:rPr>
          <w:rFonts w:ascii="David" w:hAnsi="David" w:cs="David" w:hint="cs"/>
          <w:rtl/>
        </w:rPr>
        <w:t>לתקן הזר</w:t>
      </w:r>
      <w:r w:rsidRPr="00DC71DC">
        <w:rPr>
          <w:rFonts w:ascii="David" w:hAnsi="David" w:cs="David"/>
          <w:rtl/>
        </w:rPr>
        <w:t>, באמצעות התקשרות של מעבדה מאושרת עם מעבדה מוסמכת</w:t>
      </w:r>
      <w:r w:rsidR="005972FD">
        <w:rPr>
          <w:rFonts w:ascii="David" w:hAnsi="David" w:cs="David" w:hint="cs"/>
          <w:rtl/>
        </w:rPr>
        <w:t xml:space="preserve"> לתקן זר</w:t>
      </w:r>
      <w:r w:rsidRPr="00DC71DC">
        <w:rPr>
          <w:rFonts w:ascii="David" w:hAnsi="David" w:cs="David"/>
          <w:rtl/>
        </w:rPr>
        <w:t>. פעולה זאת תתאפשר רק כאשר למעבדה המאושרת אין יכולות בדיקה לתקינה זרה כאמור</w:t>
      </w:r>
      <w:r>
        <w:rPr>
          <w:rFonts w:ascii="David" w:hAnsi="David" w:cs="David" w:hint="cs"/>
          <w:rtl/>
        </w:rPr>
        <w:t>.</w:t>
      </w:r>
    </w:p>
    <w:p w14:paraId="3B131BD5" w14:textId="07F7762E" w:rsidR="005E1BF4" w:rsidRDefault="005E1BF4" w:rsidP="002B78E3">
      <w:pPr>
        <w:spacing w:before="160" w:line="360" w:lineRule="auto"/>
        <w:jc w:val="both"/>
        <w:rPr>
          <w:rFonts w:ascii="David" w:hAnsi="David" w:cs="David"/>
          <w:rtl/>
        </w:rPr>
      </w:pPr>
      <w:r>
        <w:rPr>
          <w:rFonts w:ascii="David" w:hAnsi="David" w:cs="David" w:hint="cs"/>
          <w:rtl/>
        </w:rPr>
        <w:t>מאחר ו</w:t>
      </w:r>
      <w:r w:rsidR="00DC71DC" w:rsidRPr="00DC71DC">
        <w:rPr>
          <w:rFonts w:ascii="David" w:hAnsi="David" w:cs="David"/>
          <w:rtl/>
        </w:rPr>
        <w:t>מעמד</w:t>
      </w:r>
      <w:r w:rsidR="00961E49">
        <w:rPr>
          <w:rFonts w:ascii="David" w:hAnsi="David" w:cs="David" w:hint="cs"/>
          <w:rtl/>
        </w:rPr>
        <w:t xml:space="preserve">ן </w:t>
      </w:r>
      <w:r w:rsidR="00DC71DC" w:rsidRPr="00DC71DC">
        <w:rPr>
          <w:rFonts w:ascii="David" w:hAnsi="David" w:cs="David"/>
          <w:rtl/>
        </w:rPr>
        <w:t>של תעוד</w:t>
      </w:r>
      <w:r w:rsidR="00961E49">
        <w:rPr>
          <w:rFonts w:ascii="David" w:hAnsi="David" w:cs="David" w:hint="cs"/>
          <w:rtl/>
        </w:rPr>
        <w:t>ו</w:t>
      </w:r>
      <w:r w:rsidR="00DC71DC" w:rsidRPr="00DC71DC">
        <w:rPr>
          <w:rFonts w:ascii="David" w:hAnsi="David" w:cs="David"/>
          <w:rtl/>
        </w:rPr>
        <w:t>ת בדיקה שניתנ</w:t>
      </w:r>
      <w:r w:rsidR="00961E49">
        <w:rPr>
          <w:rFonts w:ascii="David" w:hAnsi="David" w:cs="David" w:hint="cs"/>
          <w:rtl/>
        </w:rPr>
        <w:t>ו</w:t>
      </w:r>
      <w:r w:rsidR="00DC71DC" w:rsidRPr="00DC71DC">
        <w:rPr>
          <w:rFonts w:ascii="David" w:hAnsi="David" w:cs="David"/>
          <w:rtl/>
        </w:rPr>
        <w:t xml:space="preserve"> על ידי מעבדה מוסמכת אינו מוסדר</w:t>
      </w:r>
      <w:r>
        <w:rPr>
          <w:rFonts w:ascii="David" w:hAnsi="David" w:cs="David" w:hint="cs"/>
          <w:rtl/>
        </w:rPr>
        <w:t xml:space="preserve"> כיום</w:t>
      </w:r>
      <w:r w:rsidR="00DC71DC" w:rsidRPr="00DC71DC">
        <w:rPr>
          <w:rFonts w:ascii="David" w:hAnsi="David" w:cs="David"/>
          <w:rtl/>
        </w:rPr>
        <w:t xml:space="preserve"> בחוק </w:t>
      </w:r>
      <w:r>
        <w:rPr>
          <w:rFonts w:ascii="David" w:hAnsi="David" w:cs="David" w:hint="cs"/>
          <w:rtl/>
        </w:rPr>
        <w:t>ואף חסר מעמד ראייתי נדרש</w:t>
      </w:r>
      <w:r w:rsidR="00D34F58">
        <w:rPr>
          <w:rFonts w:ascii="David" w:hAnsi="David" w:cs="David" w:hint="cs"/>
          <w:rtl/>
        </w:rPr>
        <w:t xml:space="preserve"> עלה הצורך בתיקון החוק. בהתאם למתווה, </w:t>
      </w:r>
      <w:r w:rsidR="002D080C">
        <w:rPr>
          <w:rFonts w:ascii="David" w:hAnsi="David" w:cs="David" w:hint="cs"/>
          <w:rtl/>
        </w:rPr>
        <w:t>הבדיקות יעשו באופן הבא:</w:t>
      </w:r>
    </w:p>
    <w:p w14:paraId="671F9291" w14:textId="38443411" w:rsidR="002D080C" w:rsidRDefault="00DC71DC" w:rsidP="002B78E3">
      <w:pPr>
        <w:spacing w:before="160" w:line="360" w:lineRule="auto"/>
        <w:jc w:val="both"/>
        <w:rPr>
          <w:rFonts w:ascii="David" w:hAnsi="David" w:cs="David"/>
          <w:rtl/>
        </w:rPr>
      </w:pPr>
      <w:r>
        <w:rPr>
          <w:rFonts w:ascii="David" w:hAnsi="David" w:cs="David" w:hint="cs"/>
          <w:rtl/>
        </w:rPr>
        <w:t>תחילה ת</w:t>
      </w:r>
      <w:r w:rsidR="002D080C">
        <w:rPr>
          <w:rFonts w:ascii="David" w:hAnsi="David" w:cs="David" w:hint="cs"/>
          <w:rtl/>
        </w:rPr>
        <w:t>י</w:t>
      </w:r>
      <w:r>
        <w:rPr>
          <w:rFonts w:ascii="David" w:hAnsi="David" w:cs="David" w:hint="cs"/>
          <w:rtl/>
        </w:rPr>
        <w:t>בדק התאמת המצרך לדרישות התקן הרשמי בישראל</w:t>
      </w:r>
      <w:r w:rsidR="002D080C">
        <w:rPr>
          <w:rFonts w:ascii="David" w:hAnsi="David" w:cs="David" w:hint="cs"/>
          <w:rtl/>
        </w:rPr>
        <w:t xml:space="preserve"> ע"י מעבדה מאושרת </w:t>
      </w:r>
      <w:r>
        <w:rPr>
          <w:rFonts w:ascii="David" w:hAnsi="David" w:cs="David" w:hint="cs"/>
          <w:rtl/>
        </w:rPr>
        <w:t xml:space="preserve">. </w:t>
      </w:r>
      <w:r w:rsidR="002D080C">
        <w:rPr>
          <w:rFonts w:ascii="David" w:hAnsi="David" w:cs="David" w:hint="cs"/>
          <w:rtl/>
        </w:rPr>
        <w:t xml:space="preserve"> ככל שהמצרך עומד בדרישות התקן הרשמי,  מעבדה מאושרת </w:t>
      </w:r>
      <w:r w:rsidR="00E23D0E">
        <w:rPr>
          <w:rFonts w:ascii="David" w:hAnsi="David" w:cs="David" w:hint="cs"/>
          <w:rtl/>
        </w:rPr>
        <w:t xml:space="preserve">תוציא </w:t>
      </w:r>
      <w:r w:rsidR="002D080C">
        <w:rPr>
          <w:rFonts w:ascii="David" w:hAnsi="David" w:cs="David" w:hint="cs"/>
          <w:rtl/>
        </w:rPr>
        <w:t>על כך תעודת בדיקה שתהווה ראיה לאמיתות תוכנה בהתאם לסעיף 12(ב) לחוק.</w:t>
      </w:r>
    </w:p>
    <w:p w14:paraId="4146BCDC" w14:textId="6C3A5368" w:rsidR="002D080C" w:rsidRDefault="00DC71DC" w:rsidP="002B78E3">
      <w:pPr>
        <w:spacing w:before="160" w:line="360" w:lineRule="auto"/>
        <w:jc w:val="both"/>
        <w:rPr>
          <w:rFonts w:ascii="David" w:hAnsi="David" w:cs="David"/>
          <w:rtl/>
        </w:rPr>
      </w:pPr>
      <w:r>
        <w:rPr>
          <w:rFonts w:ascii="David" w:hAnsi="David" w:cs="David" w:hint="cs"/>
          <w:rtl/>
        </w:rPr>
        <w:t xml:space="preserve">ככל </w:t>
      </w:r>
      <w:r w:rsidR="005E1BF4">
        <w:rPr>
          <w:rFonts w:ascii="David" w:hAnsi="David" w:cs="David" w:hint="cs"/>
          <w:rtl/>
        </w:rPr>
        <w:t>שימצא כי המצרך</w:t>
      </w:r>
      <w:r>
        <w:rPr>
          <w:rFonts w:ascii="David" w:hAnsi="David" w:cs="David" w:hint="cs"/>
          <w:rtl/>
        </w:rPr>
        <w:t xml:space="preserve"> אינו מתאים לדרישות התקן הרשמי, הרי שמעבדה מאושרת</w:t>
      </w:r>
      <w:r w:rsidR="002D080C">
        <w:rPr>
          <w:rFonts w:ascii="David" w:hAnsi="David" w:cs="David" w:hint="cs"/>
          <w:rtl/>
        </w:rPr>
        <w:t xml:space="preserve"> </w:t>
      </w:r>
      <w:r w:rsidR="00656AED">
        <w:rPr>
          <w:rFonts w:ascii="David" w:hAnsi="David" w:cs="David" w:hint="cs"/>
          <w:rtl/>
        </w:rPr>
        <w:t>ת</w:t>
      </w:r>
      <w:r w:rsidR="00961E49">
        <w:rPr>
          <w:rFonts w:ascii="David" w:hAnsi="David" w:cs="David" w:hint="cs"/>
          <w:rtl/>
        </w:rPr>
        <w:t xml:space="preserve">בצעו </w:t>
      </w:r>
      <w:r>
        <w:rPr>
          <w:rFonts w:ascii="David" w:hAnsi="David" w:cs="David" w:hint="cs"/>
          <w:rtl/>
        </w:rPr>
        <w:t xml:space="preserve">בדיקת </w:t>
      </w:r>
      <w:r w:rsidR="005E1BF4">
        <w:rPr>
          <w:rFonts w:ascii="David" w:hAnsi="David" w:cs="David" w:hint="cs"/>
          <w:rtl/>
        </w:rPr>
        <w:t>מיפוי הפערים בין התקן הרשמי לתקן הזר, בין היתר בהיבטי פערי הדרישות המופיעות בתקנים ביחס למצרך הנבדק, פערי יכולת הבדיקה</w:t>
      </w:r>
      <w:r w:rsidR="002B78E3">
        <w:rPr>
          <w:rFonts w:ascii="David" w:hAnsi="David" w:cs="David" w:hint="cs"/>
          <w:rtl/>
        </w:rPr>
        <w:t xml:space="preserve"> </w:t>
      </w:r>
      <w:r w:rsidR="0008156D">
        <w:rPr>
          <w:rFonts w:ascii="David" w:hAnsi="David" w:cs="David" w:hint="cs"/>
          <w:rtl/>
        </w:rPr>
        <w:t>ו</w:t>
      </w:r>
      <w:r w:rsidR="005E1BF4">
        <w:rPr>
          <w:rFonts w:ascii="David" w:hAnsi="David" w:cs="David" w:hint="cs"/>
          <w:rtl/>
        </w:rPr>
        <w:t>פערי</w:t>
      </w:r>
      <w:r w:rsidR="00656AED">
        <w:rPr>
          <w:rFonts w:ascii="David" w:hAnsi="David" w:cs="David" w:hint="cs"/>
          <w:rtl/>
        </w:rPr>
        <w:t>ם בדרישות</w:t>
      </w:r>
      <w:r w:rsidR="005E1BF4">
        <w:rPr>
          <w:rFonts w:ascii="David" w:hAnsi="David" w:cs="David" w:hint="cs"/>
          <w:rtl/>
        </w:rPr>
        <w:t xml:space="preserve"> </w:t>
      </w:r>
      <w:r w:rsidR="0008156D">
        <w:rPr>
          <w:rFonts w:ascii="David" w:hAnsi="David" w:cs="David" w:hint="cs"/>
          <w:rtl/>
        </w:rPr>
        <w:t>הסמכה</w:t>
      </w:r>
      <w:r w:rsidR="005E1BF4">
        <w:rPr>
          <w:rFonts w:ascii="David" w:hAnsi="David" w:cs="David" w:hint="cs"/>
          <w:rtl/>
        </w:rPr>
        <w:t>.</w:t>
      </w:r>
      <w:r w:rsidR="00774561">
        <w:rPr>
          <w:rFonts w:ascii="David" w:hAnsi="David" w:cs="David" w:hint="cs"/>
          <w:rtl/>
        </w:rPr>
        <w:t xml:space="preserve"> </w:t>
      </w:r>
    </w:p>
    <w:p w14:paraId="51C82B3F" w14:textId="7AB9E17C" w:rsidR="00AD60ED" w:rsidRDefault="0085598E" w:rsidP="0011629C">
      <w:pPr>
        <w:spacing w:before="160" w:line="360" w:lineRule="auto"/>
        <w:jc w:val="both"/>
        <w:rPr>
          <w:rFonts w:ascii="David" w:hAnsi="David" w:cs="David"/>
          <w:rtl/>
        </w:rPr>
      </w:pPr>
      <w:r>
        <w:rPr>
          <w:rFonts w:ascii="David" w:hAnsi="David" w:cs="David" w:hint="cs"/>
          <w:rtl/>
        </w:rPr>
        <w:t xml:space="preserve">יובהר כי, </w:t>
      </w:r>
      <w:r w:rsidR="00375A97">
        <w:rPr>
          <w:rFonts w:ascii="David" w:hAnsi="David" w:cs="David" w:hint="cs"/>
          <w:rtl/>
        </w:rPr>
        <w:t>אם מכון התקנים</w:t>
      </w:r>
      <w:r w:rsidR="00390520">
        <w:rPr>
          <w:rFonts w:ascii="David" w:hAnsi="David" w:cs="David" w:hint="cs"/>
          <w:rtl/>
        </w:rPr>
        <w:t xml:space="preserve"> ביצע את הבדיקה</w:t>
      </w:r>
      <w:r w:rsidR="00375A97">
        <w:rPr>
          <w:rFonts w:ascii="David" w:hAnsi="David" w:cs="David" w:hint="cs"/>
          <w:rtl/>
        </w:rPr>
        <w:t xml:space="preserve">, </w:t>
      </w:r>
      <w:r w:rsidR="00AD60ED">
        <w:rPr>
          <w:rFonts w:ascii="David" w:hAnsi="David" w:cs="David" w:hint="cs"/>
          <w:rtl/>
        </w:rPr>
        <w:t>ויש לו את הידע והמומחיות לבדיקת ההתאמה לתקן הזר, הוא ימשיך בבדיקה בהליך הרגיל. ככל שימצא בבדיקה המשלימה שביצע מכון התקנים, כי המצרך אינו עומד בדרישות התקן הזר, הרי שמכון התקנים יוציא תעודת בדיקה משלימה בנושא אשר תהווה ראיה לאמיתות תוכנה לפי סעיף 12(ב) לחוק.</w:t>
      </w:r>
    </w:p>
    <w:p w14:paraId="072FFC3D" w14:textId="4ECBAF3E" w:rsidR="00375A97" w:rsidRDefault="00375A97" w:rsidP="002B78E3">
      <w:pPr>
        <w:spacing w:before="160" w:line="360" w:lineRule="auto"/>
        <w:jc w:val="both"/>
        <w:rPr>
          <w:rFonts w:ascii="David" w:hAnsi="David" w:cs="David"/>
          <w:rtl/>
        </w:rPr>
      </w:pPr>
      <w:r>
        <w:rPr>
          <w:rFonts w:ascii="David" w:hAnsi="David" w:cs="David" w:hint="cs"/>
          <w:rtl/>
        </w:rPr>
        <w:t>אם המעבדה המאושרת מוסמכת לבדיקת התקן הזר (</w:t>
      </w:r>
      <w:r w:rsidR="00390520">
        <w:rPr>
          <w:rFonts w:ascii="David" w:hAnsi="David" w:cs="David" w:hint="cs"/>
          <w:rtl/>
        </w:rPr>
        <w:t xml:space="preserve">כלומר </w:t>
      </w:r>
      <w:r>
        <w:rPr>
          <w:rFonts w:ascii="David" w:hAnsi="David" w:cs="David" w:hint="cs"/>
          <w:rtl/>
        </w:rPr>
        <w:t xml:space="preserve">היא לא ביקשה אישור </w:t>
      </w:r>
      <w:r w:rsidR="00390520">
        <w:rPr>
          <w:rFonts w:ascii="David" w:hAnsi="David" w:cs="David" w:hint="cs"/>
          <w:rtl/>
        </w:rPr>
        <w:t>מ</w:t>
      </w:r>
      <w:r>
        <w:rPr>
          <w:rFonts w:ascii="David" w:hAnsi="David" w:cs="David" w:hint="cs"/>
          <w:rtl/>
        </w:rPr>
        <w:t xml:space="preserve">הממונה לבדיקת התקן הזר אך כן מוסמכת), ויש לה את היכולת המקצועית והמומחיות הנדרשת לבדיקת התאמה לתקן הזר, </w:t>
      </w:r>
      <w:r w:rsidR="00AD60ED">
        <w:rPr>
          <w:rFonts w:ascii="David" w:hAnsi="David" w:cs="David" w:hint="cs"/>
          <w:rtl/>
        </w:rPr>
        <w:t>היא תבצע</w:t>
      </w:r>
      <w:r>
        <w:rPr>
          <w:rFonts w:ascii="David" w:hAnsi="David" w:cs="David" w:hint="cs"/>
          <w:rtl/>
        </w:rPr>
        <w:t xml:space="preserve"> את הבדיקה</w:t>
      </w:r>
      <w:r w:rsidR="00AD60ED">
        <w:rPr>
          <w:rFonts w:ascii="David" w:hAnsi="David" w:cs="David" w:hint="cs"/>
          <w:rtl/>
        </w:rPr>
        <w:t xml:space="preserve">, אולם התעודה שלה תוגש רק במסגרת המתווה המפורט כאן, כמו הגשה של מעבדה זרה מוסמכת. </w:t>
      </w:r>
    </w:p>
    <w:p w14:paraId="56EC564C" w14:textId="3AF6AA13" w:rsidR="00C367B2" w:rsidRDefault="00C367B2" w:rsidP="002B78E3">
      <w:pPr>
        <w:spacing w:before="160" w:line="360" w:lineRule="auto"/>
        <w:jc w:val="both"/>
        <w:rPr>
          <w:rFonts w:ascii="David" w:hAnsi="David" w:cs="David"/>
          <w:rtl/>
        </w:rPr>
      </w:pPr>
      <w:r w:rsidRPr="00C367B2">
        <w:rPr>
          <w:rFonts w:ascii="David" w:hAnsi="David" w:cs="David"/>
          <w:rtl/>
        </w:rPr>
        <w:t>ככל שלמעבדה המאושרת</w:t>
      </w:r>
      <w:r>
        <w:rPr>
          <w:rFonts w:ascii="David" w:hAnsi="David" w:cs="David" w:hint="cs"/>
          <w:rtl/>
        </w:rPr>
        <w:t xml:space="preserve"> או למכון התקנים</w:t>
      </w:r>
      <w:r w:rsidRPr="00C367B2">
        <w:rPr>
          <w:rFonts w:ascii="David" w:hAnsi="David" w:cs="David"/>
          <w:rtl/>
        </w:rPr>
        <w:t xml:space="preserve"> אין את הידע והמומחיות לבדיקת התאמה לתקן הזר, הם יתקשרו עם מעבדה מוסמכת לתק</w:t>
      </w:r>
      <w:r w:rsidR="005972FD">
        <w:rPr>
          <w:rFonts w:ascii="David" w:hAnsi="David" w:cs="David" w:hint="cs"/>
          <w:rtl/>
        </w:rPr>
        <w:t>ן</w:t>
      </w:r>
      <w:r w:rsidRPr="00C367B2">
        <w:rPr>
          <w:rFonts w:ascii="David" w:hAnsi="David" w:cs="David"/>
          <w:rtl/>
        </w:rPr>
        <w:t xml:space="preserve"> הזר הרלוונטי  לבדיקת התאמת המצרך לתקן הזר.</w:t>
      </w:r>
    </w:p>
    <w:p w14:paraId="73A57E50" w14:textId="196A402C" w:rsidR="002D080C" w:rsidRDefault="002D080C" w:rsidP="002B78E3">
      <w:pPr>
        <w:spacing w:before="160" w:line="360" w:lineRule="auto"/>
        <w:jc w:val="both"/>
        <w:rPr>
          <w:rFonts w:ascii="David" w:hAnsi="David" w:cs="David"/>
          <w:rtl/>
        </w:rPr>
      </w:pPr>
    </w:p>
    <w:p w14:paraId="25727C3E" w14:textId="1E574628" w:rsidR="00774561" w:rsidRDefault="00774561" w:rsidP="002B78E3">
      <w:pPr>
        <w:spacing w:before="160" w:line="360" w:lineRule="auto"/>
        <w:jc w:val="both"/>
        <w:rPr>
          <w:rFonts w:ascii="David" w:hAnsi="David" w:cs="David"/>
          <w:rtl/>
        </w:rPr>
      </w:pPr>
      <w:r>
        <w:rPr>
          <w:rFonts w:ascii="David" w:hAnsi="David" w:cs="David" w:hint="cs"/>
          <w:rtl/>
        </w:rPr>
        <w:lastRenderedPageBreak/>
        <w:t xml:space="preserve">תעודת הבדיקה המעידה על אי התאמה לתקן הזר </w:t>
      </w:r>
      <w:r w:rsidR="00510E81">
        <w:rPr>
          <w:rFonts w:ascii="David" w:hAnsi="David" w:cs="David" w:hint="cs"/>
          <w:rtl/>
        </w:rPr>
        <w:t xml:space="preserve"> שניתנה ע"י מעבדה מוסמכת</w:t>
      </w:r>
      <w:r w:rsidR="008E48C8">
        <w:rPr>
          <w:rFonts w:ascii="David" w:hAnsi="David" w:cs="David" w:hint="cs"/>
          <w:rtl/>
        </w:rPr>
        <w:t xml:space="preserve"> </w:t>
      </w:r>
      <w:r w:rsidR="00510E81">
        <w:rPr>
          <w:rFonts w:ascii="David" w:hAnsi="David" w:cs="David" w:hint="cs"/>
          <w:rtl/>
        </w:rPr>
        <w:t xml:space="preserve"> </w:t>
      </w:r>
      <w:r>
        <w:rPr>
          <w:rFonts w:ascii="David" w:hAnsi="David" w:cs="David" w:hint="cs"/>
          <w:rtl/>
        </w:rPr>
        <w:t>תהווה ראיה לאמיתות תוכנה, כל עוד לא הוכח היפוכו של דבר וב</w:t>
      </w:r>
      <w:r w:rsidR="00510E81">
        <w:rPr>
          <w:rFonts w:ascii="David" w:hAnsi="David" w:cs="David" w:hint="cs"/>
          <w:rtl/>
        </w:rPr>
        <w:t>לב</w:t>
      </w:r>
      <w:r>
        <w:rPr>
          <w:rFonts w:ascii="David" w:hAnsi="David" w:cs="David" w:hint="cs"/>
          <w:rtl/>
        </w:rPr>
        <w:t>ד שיצורפו המסמכים הבאים וכפי שיפורטו בהנחיות הממונה על התקינה:</w:t>
      </w:r>
    </w:p>
    <w:p w14:paraId="3415214E" w14:textId="152B306B" w:rsidR="00774561" w:rsidRDefault="00774561" w:rsidP="002B78E3">
      <w:pPr>
        <w:pStyle w:val="a3"/>
        <w:numPr>
          <w:ilvl w:val="0"/>
          <w:numId w:val="11"/>
        </w:numPr>
        <w:spacing w:before="160" w:line="360" w:lineRule="auto"/>
        <w:jc w:val="both"/>
        <w:rPr>
          <w:rFonts w:ascii="David" w:hAnsi="David" w:cs="David"/>
        </w:rPr>
      </w:pPr>
      <w:r>
        <w:rPr>
          <w:rFonts w:ascii="David" w:hAnsi="David" w:cs="David" w:hint="cs"/>
          <w:rtl/>
        </w:rPr>
        <w:t xml:space="preserve">תעודת בדיקה שניתנה ע"י המעבדה המאושרת </w:t>
      </w:r>
      <w:r w:rsidR="00510E81">
        <w:rPr>
          <w:rFonts w:ascii="David" w:hAnsi="David" w:cs="David" w:hint="cs"/>
          <w:rtl/>
        </w:rPr>
        <w:t xml:space="preserve">המעידה על אי </w:t>
      </w:r>
      <w:r>
        <w:rPr>
          <w:rFonts w:ascii="David" w:hAnsi="David" w:cs="David" w:hint="cs"/>
          <w:rtl/>
        </w:rPr>
        <w:t>ה</w:t>
      </w:r>
      <w:r w:rsidR="00510E81">
        <w:rPr>
          <w:rFonts w:ascii="David" w:hAnsi="David" w:cs="David" w:hint="cs"/>
          <w:rtl/>
        </w:rPr>
        <w:t>תאמתו של המצרך לתקן הרשמי.</w:t>
      </w:r>
    </w:p>
    <w:p w14:paraId="29AB6B74" w14:textId="569F01B0" w:rsidR="0066492A" w:rsidRDefault="00510E81" w:rsidP="002B78E3">
      <w:pPr>
        <w:pStyle w:val="a3"/>
        <w:numPr>
          <w:ilvl w:val="0"/>
          <w:numId w:val="11"/>
        </w:numPr>
        <w:spacing w:before="160" w:line="360" w:lineRule="auto"/>
        <w:jc w:val="both"/>
        <w:rPr>
          <w:rFonts w:ascii="David" w:hAnsi="David" w:cs="David"/>
        </w:rPr>
      </w:pPr>
      <w:r>
        <w:rPr>
          <w:rFonts w:ascii="David" w:hAnsi="David" w:cs="David" w:hint="cs"/>
          <w:rtl/>
        </w:rPr>
        <w:t>חוות דעת מקצועית של מעבדה מאושרת שמתייחסת לבדיקה שערכה ביחס למיפוי הפערים בין התקן הרשמי לתקן הזר</w:t>
      </w:r>
      <w:r w:rsidR="002B78E3">
        <w:rPr>
          <w:rFonts w:ascii="David" w:hAnsi="David" w:cs="David" w:hint="cs"/>
          <w:rtl/>
        </w:rPr>
        <w:t>.</w:t>
      </w:r>
      <w:r>
        <w:rPr>
          <w:rFonts w:ascii="David" w:hAnsi="David" w:cs="David" w:hint="cs"/>
          <w:rtl/>
        </w:rPr>
        <w:t xml:space="preserve"> </w:t>
      </w:r>
    </w:p>
    <w:p w14:paraId="30460ADF" w14:textId="463E9CAC" w:rsidR="0066492A" w:rsidRDefault="00510E81" w:rsidP="002B78E3">
      <w:pPr>
        <w:pStyle w:val="a3"/>
        <w:numPr>
          <w:ilvl w:val="0"/>
          <w:numId w:val="11"/>
        </w:numPr>
        <w:spacing w:before="160" w:line="360" w:lineRule="auto"/>
        <w:jc w:val="both"/>
        <w:rPr>
          <w:rFonts w:ascii="David" w:hAnsi="David" w:cs="David"/>
        </w:rPr>
      </w:pPr>
      <w:r>
        <w:rPr>
          <w:rFonts w:ascii="David" w:hAnsi="David" w:cs="David" w:hint="cs"/>
          <w:rtl/>
        </w:rPr>
        <w:t>תעודת בדיקה שניתנה על ידי מעבדה מוסמכת לעני</w:t>
      </w:r>
      <w:r w:rsidR="002B78E3">
        <w:rPr>
          <w:rFonts w:ascii="David" w:hAnsi="David" w:cs="David" w:hint="cs"/>
          <w:rtl/>
        </w:rPr>
        <w:t>י</w:t>
      </w:r>
      <w:r>
        <w:rPr>
          <w:rFonts w:ascii="David" w:hAnsi="David" w:cs="David" w:hint="cs"/>
          <w:rtl/>
        </w:rPr>
        <w:t>ן אי ההתאמה לתקן הזר,</w:t>
      </w:r>
    </w:p>
    <w:p w14:paraId="0A1BDCAA" w14:textId="3CF5080C" w:rsidR="00510E81" w:rsidRDefault="00510E81" w:rsidP="002B78E3">
      <w:pPr>
        <w:pStyle w:val="a3"/>
        <w:numPr>
          <w:ilvl w:val="0"/>
          <w:numId w:val="11"/>
        </w:numPr>
        <w:spacing w:before="160" w:line="360" w:lineRule="auto"/>
        <w:jc w:val="both"/>
        <w:rPr>
          <w:rFonts w:ascii="David" w:hAnsi="David" w:cs="David"/>
        </w:rPr>
      </w:pPr>
      <w:r>
        <w:rPr>
          <w:rFonts w:ascii="David" w:hAnsi="David" w:cs="David" w:hint="cs"/>
          <w:rtl/>
        </w:rPr>
        <w:t xml:space="preserve">התייחסות לכך שהסתייעה במעבדה המוסמכת </w:t>
      </w:r>
      <w:r w:rsidR="00AD60ED">
        <w:rPr>
          <w:rFonts w:ascii="David" w:hAnsi="David" w:cs="David" w:hint="cs"/>
          <w:rtl/>
        </w:rPr>
        <w:t xml:space="preserve">לבדיקת העמידה בתקן הזר </w:t>
      </w:r>
      <w:r>
        <w:rPr>
          <w:rFonts w:ascii="David" w:hAnsi="David" w:cs="David" w:hint="cs"/>
          <w:rtl/>
        </w:rPr>
        <w:t>לצורך ביצוע הבדיקה תוך ציון פרטי התקשרות רלוונטיים והדרישות שקבעה לביצוע הליך הבדיקה</w:t>
      </w:r>
      <w:r w:rsidR="0066492A">
        <w:rPr>
          <w:rFonts w:ascii="David" w:hAnsi="David" w:cs="David" w:hint="cs"/>
          <w:rtl/>
        </w:rPr>
        <w:t>, לרבות הסכם התקשרות</w:t>
      </w:r>
      <w:r>
        <w:rPr>
          <w:rFonts w:ascii="David" w:hAnsi="David" w:cs="David" w:hint="cs"/>
          <w:rtl/>
        </w:rPr>
        <w:t>.</w:t>
      </w:r>
    </w:p>
    <w:p w14:paraId="48697EE8" w14:textId="77777777" w:rsidR="00510E81" w:rsidRDefault="00510E81" w:rsidP="002B78E3">
      <w:pPr>
        <w:pStyle w:val="a3"/>
        <w:spacing w:before="160" w:line="360" w:lineRule="auto"/>
        <w:jc w:val="both"/>
        <w:rPr>
          <w:rFonts w:ascii="David" w:hAnsi="David" w:cs="David"/>
          <w:rtl/>
        </w:rPr>
      </w:pPr>
    </w:p>
    <w:p w14:paraId="12367249" w14:textId="1FCC11EB" w:rsidR="00585150" w:rsidRDefault="00510E81" w:rsidP="002B78E3">
      <w:pPr>
        <w:spacing w:before="160" w:line="360" w:lineRule="auto"/>
        <w:jc w:val="both"/>
        <w:rPr>
          <w:rFonts w:ascii="David" w:hAnsi="David" w:cs="David"/>
          <w:rtl/>
        </w:rPr>
      </w:pPr>
      <w:r w:rsidRPr="00C367B2">
        <w:rPr>
          <w:rFonts w:ascii="David" w:hAnsi="David" w:cs="David" w:hint="cs"/>
          <w:rtl/>
        </w:rPr>
        <w:t xml:space="preserve">עוסק יוכל להוכיח היפוכו של דבר ביחס לתעודת בדיקה </w:t>
      </w:r>
      <w:r w:rsidR="00C367B2" w:rsidRPr="00C367B2">
        <w:rPr>
          <w:rFonts w:ascii="David" w:hAnsi="David" w:cs="David"/>
          <w:rtl/>
        </w:rPr>
        <w:t>המעידה על אי התאמה לתקן הזר  שניתנה ע"י מעבדה מוסמכת</w:t>
      </w:r>
      <w:r w:rsidR="008E48C8">
        <w:rPr>
          <w:rFonts w:ascii="David" w:hAnsi="David" w:cs="David" w:hint="cs"/>
          <w:rtl/>
        </w:rPr>
        <w:t xml:space="preserve"> שאינה זרה</w:t>
      </w:r>
      <w:r w:rsidR="00C367B2" w:rsidRPr="00C367B2">
        <w:rPr>
          <w:rFonts w:ascii="David" w:hAnsi="David" w:cs="David"/>
          <w:rtl/>
        </w:rPr>
        <w:t xml:space="preserve"> </w:t>
      </w:r>
      <w:r w:rsidR="008E48C8">
        <w:rPr>
          <w:rFonts w:ascii="David" w:hAnsi="David" w:cs="David" w:hint="cs"/>
          <w:rtl/>
        </w:rPr>
        <w:t>בהתאם לנדרש לפי דיני הראיות.</w:t>
      </w:r>
      <w:r w:rsidR="00585150">
        <w:rPr>
          <w:rFonts w:ascii="David" w:hAnsi="David" w:cs="David" w:hint="cs"/>
          <w:rtl/>
        </w:rPr>
        <w:t xml:space="preserve"> </w:t>
      </w:r>
    </w:p>
    <w:p w14:paraId="4DCB127E" w14:textId="6B929DE7" w:rsidR="00510E81" w:rsidRPr="00C367B2" w:rsidRDefault="00585150" w:rsidP="002B78E3">
      <w:pPr>
        <w:spacing w:before="160" w:line="360" w:lineRule="auto"/>
        <w:jc w:val="both"/>
        <w:rPr>
          <w:rFonts w:ascii="David" w:hAnsi="David" w:cs="David"/>
          <w:rtl/>
        </w:rPr>
      </w:pPr>
      <w:r>
        <w:rPr>
          <w:rFonts w:ascii="David" w:hAnsi="David" w:cs="David" w:hint="cs"/>
          <w:rtl/>
        </w:rPr>
        <w:t xml:space="preserve">אם המעבדה המוסמכת היא זרה, </w:t>
      </w:r>
      <w:r w:rsidR="003627E4">
        <w:rPr>
          <w:rFonts w:ascii="David" w:hAnsi="David" w:cs="David" w:hint="cs"/>
          <w:rtl/>
        </w:rPr>
        <w:t xml:space="preserve">כלומר </w:t>
      </w:r>
      <w:r>
        <w:rPr>
          <w:rFonts w:ascii="David" w:hAnsi="David" w:cs="David" w:hint="cs"/>
          <w:rtl/>
        </w:rPr>
        <w:t xml:space="preserve">אינה רשומה כתאגיד בישראל, יוכל העוסק להוכיח את היפוכו של דבר ביחס לתעודת הבדיקה האמורה, רק </w:t>
      </w:r>
      <w:r w:rsidR="00510E81" w:rsidRPr="00C367B2">
        <w:rPr>
          <w:rFonts w:ascii="David" w:hAnsi="David" w:cs="David" w:hint="cs"/>
          <w:rtl/>
        </w:rPr>
        <w:t xml:space="preserve"> באחת מהדרכים הבאות:</w:t>
      </w:r>
    </w:p>
    <w:p w14:paraId="0291398E" w14:textId="2A429D59" w:rsidR="00510E81" w:rsidRDefault="00510E81" w:rsidP="0011629C">
      <w:pPr>
        <w:pStyle w:val="a3"/>
        <w:numPr>
          <w:ilvl w:val="0"/>
          <w:numId w:val="12"/>
        </w:numPr>
        <w:spacing w:before="160" w:line="360" w:lineRule="auto"/>
        <w:jc w:val="both"/>
        <w:rPr>
          <w:rFonts w:ascii="David" w:hAnsi="David" w:cs="David"/>
        </w:rPr>
      </w:pPr>
      <w:r>
        <w:rPr>
          <w:rFonts w:ascii="David" w:hAnsi="David" w:cs="David" w:hint="cs"/>
          <w:rtl/>
        </w:rPr>
        <w:t xml:space="preserve">מתוך נוסח תעודת הבדיקה והמסמכים </w:t>
      </w:r>
      <w:r w:rsidR="0025168C">
        <w:rPr>
          <w:rFonts w:ascii="David" w:hAnsi="David" w:cs="David" w:hint="cs"/>
          <w:rtl/>
        </w:rPr>
        <w:t xml:space="preserve"> הנלווים לה בלבד, כמפורט בחוק</w:t>
      </w:r>
      <w:r w:rsidR="0008156D">
        <w:rPr>
          <w:rFonts w:ascii="David" w:hAnsi="David" w:cs="David" w:hint="cs"/>
          <w:rtl/>
        </w:rPr>
        <w:t xml:space="preserve"> - </w:t>
      </w:r>
      <w:r w:rsidR="0025168C">
        <w:rPr>
          <w:rFonts w:ascii="David" w:hAnsi="David" w:cs="David" w:hint="cs"/>
          <w:rtl/>
        </w:rPr>
        <w:t xml:space="preserve">הכוונה היא למקרים </w:t>
      </w:r>
      <w:r w:rsidR="0008156D">
        <w:rPr>
          <w:rFonts w:ascii="David" w:hAnsi="David" w:cs="David" w:hint="cs"/>
          <w:rtl/>
        </w:rPr>
        <w:t>בהם</w:t>
      </w:r>
      <w:r w:rsidR="0025168C">
        <w:rPr>
          <w:rFonts w:ascii="David" w:hAnsi="David" w:cs="David" w:hint="cs"/>
          <w:rtl/>
        </w:rPr>
        <w:t xml:space="preserve"> מדובר בטעות </w:t>
      </w:r>
      <w:r w:rsidR="0008156D">
        <w:rPr>
          <w:rFonts w:ascii="David" w:hAnsi="David" w:cs="David" w:hint="cs"/>
          <w:rtl/>
        </w:rPr>
        <w:t>גלויה ו</w:t>
      </w:r>
      <w:r w:rsidR="0025168C">
        <w:rPr>
          <w:rFonts w:ascii="David" w:hAnsi="David" w:cs="David" w:hint="cs"/>
          <w:rtl/>
        </w:rPr>
        <w:t>ברורה</w:t>
      </w:r>
      <w:r w:rsidR="0008156D">
        <w:rPr>
          <w:rFonts w:ascii="David" w:hAnsi="David" w:cs="David" w:hint="cs"/>
          <w:rtl/>
        </w:rPr>
        <w:t xml:space="preserve"> על גבי התעודה והמסמכים הנלווים לה. טעות</w:t>
      </w:r>
      <w:r w:rsidR="0025168C">
        <w:rPr>
          <w:rFonts w:ascii="David" w:hAnsi="David" w:cs="David" w:hint="cs"/>
          <w:rtl/>
        </w:rPr>
        <w:t xml:space="preserve"> </w:t>
      </w:r>
      <w:r w:rsidR="003627E4">
        <w:rPr>
          <w:rFonts w:ascii="David" w:hAnsi="David" w:cs="David" w:hint="cs"/>
          <w:rtl/>
        </w:rPr>
        <w:t>ש</w:t>
      </w:r>
      <w:r w:rsidR="0008156D">
        <w:rPr>
          <w:rFonts w:ascii="David" w:hAnsi="David" w:cs="David" w:hint="cs"/>
          <w:rtl/>
        </w:rPr>
        <w:t>ממנה עולה</w:t>
      </w:r>
      <w:r w:rsidR="0025168C">
        <w:rPr>
          <w:rFonts w:ascii="David" w:hAnsi="David" w:cs="David" w:hint="cs"/>
          <w:rtl/>
        </w:rPr>
        <w:t xml:space="preserve"> באופן ברור כי </w:t>
      </w:r>
      <w:r w:rsidR="0008156D">
        <w:rPr>
          <w:rFonts w:ascii="David" w:hAnsi="David" w:cs="David" w:hint="cs"/>
          <w:rtl/>
        </w:rPr>
        <w:t>התעודה והמסמכים הנלווים לה אינם  מעידים על אי עמידה של המצרך</w:t>
      </w:r>
      <w:r w:rsidR="0025168C">
        <w:rPr>
          <w:rFonts w:ascii="David" w:hAnsi="David" w:cs="David" w:hint="cs"/>
          <w:rtl/>
        </w:rPr>
        <w:t xml:space="preserve"> ב</w:t>
      </w:r>
      <w:bookmarkStart w:id="2" w:name="_Hlk232696990"/>
      <w:r w:rsidR="005B5178">
        <w:rPr>
          <w:rFonts w:ascii="David" w:hAnsi="David" w:cs="David" w:hint="cs"/>
          <w:rtl/>
        </w:rPr>
        <w:t xml:space="preserve"> ה</w:t>
      </w:r>
      <w:r w:rsidR="0025168C">
        <w:rPr>
          <w:rFonts w:ascii="David" w:hAnsi="David" w:cs="David" w:hint="cs"/>
          <w:rtl/>
        </w:rPr>
        <w:t>דרישות</w:t>
      </w:r>
      <w:r w:rsidR="00C900E5">
        <w:rPr>
          <w:rFonts w:ascii="David" w:hAnsi="David" w:cs="David" w:hint="cs"/>
          <w:rtl/>
        </w:rPr>
        <w:t xml:space="preserve"> התקן</w:t>
      </w:r>
      <w:r w:rsidR="0025168C">
        <w:rPr>
          <w:rFonts w:ascii="David" w:hAnsi="David" w:cs="David" w:hint="cs"/>
          <w:rtl/>
        </w:rPr>
        <w:t xml:space="preserve"> הזר לגבי כלל הליקויים שנמצאו בו או ש</w:t>
      </w:r>
      <w:r w:rsidR="003627E4">
        <w:rPr>
          <w:rFonts w:ascii="David" w:hAnsi="David" w:cs="David" w:hint="cs"/>
          <w:rtl/>
        </w:rPr>
        <w:t xml:space="preserve">כלל </w:t>
      </w:r>
      <w:r w:rsidR="0025168C">
        <w:rPr>
          <w:rFonts w:ascii="David" w:hAnsi="David" w:cs="David" w:hint="cs"/>
          <w:rtl/>
        </w:rPr>
        <w:t xml:space="preserve">לא מדובר במצרך שניטל </w:t>
      </w:r>
      <w:proofErr w:type="spellStart"/>
      <w:r w:rsidR="0025168C">
        <w:rPr>
          <w:rFonts w:ascii="David" w:hAnsi="David" w:cs="David" w:hint="cs"/>
          <w:rtl/>
        </w:rPr>
        <w:t>מהעוסק</w:t>
      </w:r>
      <w:proofErr w:type="spellEnd"/>
      <w:r w:rsidR="0025168C">
        <w:rPr>
          <w:rFonts w:ascii="David" w:hAnsi="David" w:cs="David" w:hint="cs"/>
          <w:rtl/>
        </w:rPr>
        <w:t>.</w:t>
      </w:r>
      <w:bookmarkEnd w:id="2"/>
    </w:p>
    <w:p w14:paraId="18599E88" w14:textId="77777777" w:rsidR="00C367B2" w:rsidRDefault="00C367B2" w:rsidP="0011629C">
      <w:pPr>
        <w:pStyle w:val="a3"/>
        <w:spacing w:before="160" w:line="360" w:lineRule="auto"/>
        <w:ind w:left="1080"/>
        <w:jc w:val="both"/>
        <w:rPr>
          <w:rFonts w:ascii="David" w:hAnsi="David" w:cs="David"/>
        </w:rPr>
      </w:pPr>
    </w:p>
    <w:p w14:paraId="412385C0" w14:textId="77777777" w:rsidR="00510E81" w:rsidRDefault="00510E81" w:rsidP="0011629C">
      <w:pPr>
        <w:pStyle w:val="a3"/>
        <w:numPr>
          <w:ilvl w:val="0"/>
          <w:numId w:val="12"/>
        </w:numPr>
        <w:spacing w:before="160" w:line="360" w:lineRule="auto"/>
        <w:jc w:val="both"/>
        <w:rPr>
          <w:rFonts w:ascii="David" w:hAnsi="David" w:cs="David"/>
        </w:rPr>
      </w:pPr>
      <w:bookmarkStart w:id="3" w:name="_Hlk232590411"/>
      <w:r>
        <w:rPr>
          <w:rFonts w:ascii="David" w:hAnsi="David" w:cs="David" w:hint="cs"/>
          <w:rtl/>
        </w:rPr>
        <w:t>על ידי תעודת בדיקה</w:t>
      </w:r>
      <w:r w:rsidR="006501A1">
        <w:rPr>
          <w:rFonts w:ascii="David" w:hAnsi="David" w:cs="David" w:hint="cs"/>
          <w:rtl/>
        </w:rPr>
        <w:t xml:space="preserve"> של מעבדה מאושרת </w:t>
      </w:r>
      <w:r w:rsidR="00C367B2">
        <w:rPr>
          <w:rFonts w:ascii="David" w:hAnsi="David" w:cs="David" w:hint="cs"/>
          <w:rtl/>
        </w:rPr>
        <w:t>(</w:t>
      </w:r>
      <w:r w:rsidR="006501A1">
        <w:rPr>
          <w:rFonts w:ascii="David" w:hAnsi="David" w:cs="David" w:hint="cs"/>
          <w:rtl/>
        </w:rPr>
        <w:t>בצירוף כלל הנספחים ומלוא מסמכי הבדיקה  של אותה מעבדה מאושרת</w:t>
      </w:r>
      <w:r w:rsidR="00C367B2">
        <w:rPr>
          <w:rFonts w:ascii="David" w:hAnsi="David" w:cs="David" w:hint="cs"/>
          <w:rtl/>
        </w:rPr>
        <w:t>),</w:t>
      </w:r>
      <w:r w:rsidR="006501A1">
        <w:rPr>
          <w:rFonts w:ascii="David" w:hAnsi="David" w:cs="David" w:hint="cs"/>
          <w:rtl/>
        </w:rPr>
        <w:t xml:space="preserve"> המעידה על התאמת המצרך מאותו משלוח ומאותה מנת הייצור למלוא דרישות התקן הרשמי שחל עליו.</w:t>
      </w:r>
    </w:p>
    <w:p w14:paraId="0ACEE607" w14:textId="77777777" w:rsidR="00C367B2" w:rsidRDefault="00C367B2" w:rsidP="0011629C">
      <w:pPr>
        <w:pStyle w:val="a3"/>
        <w:spacing w:before="160" w:line="360" w:lineRule="auto"/>
        <w:ind w:left="1080"/>
        <w:jc w:val="both"/>
        <w:rPr>
          <w:rFonts w:ascii="David" w:hAnsi="David" w:cs="David"/>
        </w:rPr>
      </w:pPr>
    </w:p>
    <w:bookmarkEnd w:id="3"/>
    <w:p w14:paraId="3E5B54C3" w14:textId="77777777" w:rsidR="006501A1" w:rsidRDefault="006501A1" w:rsidP="002B78E3">
      <w:pPr>
        <w:pStyle w:val="a3"/>
        <w:numPr>
          <w:ilvl w:val="0"/>
          <w:numId w:val="12"/>
        </w:numPr>
        <w:spacing w:line="360" w:lineRule="auto"/>
        <w:ind w:left="1077" w:hanging="357"/>
        <w:jc w:val="both"/>
        <w:rPr>
          <w:rFonts w:ascii="David" w:hAnsi="David" w:cs="David"/>
        </w:rPr>
      </w:pPr>
      <w:r w:rsidRPr="006501A1">
        <w:rPr>
          <w:rFonts w:ascii="David" w:hAnsi="David" w:cs="David"/>
          <w:rtl/>
        </w:rPr>
        <w:t>על ידי תעודת בדיקה של מעבדה מ</w:t>
      </w:r>
      <w:r>
        <w:rPr>
          <w:rFonts w:ascii="David" w:hAnsi="David" w:cs="David" w:hint="cs"/>
          <w:rtl/>
        </w:rPr>
        <w:t>וסמכת כאמור בחוק</w:t>
      </w:r>
      <w:r w:rsidR="00C367B2">
        <w:rPr>
          <w:rFonts w:ascii="David" w:hAnsi="David" w:cs="David" w:hint="cs"/>
          <w:rtl/>
        </w:rPr>
        <w:t xml:space="preserve"> (</w:t>
      </w:r>
      <w:r w:rsidRPr="006501A1">
        <w:rPr>
          <w:rFonts w:ascii="David" w:hAnsi="David" w:cs="David"/>
          <w:rtl/>
        </w:rPr>
        <w:t>בצירוף כלל הנספחים ומלוא מסמכי הבדיקה  של אותה מעבדה</w:t>
      </w:r>
      <w:r w:rsidR="00C367B2">
        <w:rPr>
          <w:rFonts w:ascii="David" w:hAnsi="David" w:cs="David" w:hint="cs"/>
          <w:rtl/>
        </w:rPr>
        <w:t>),</w:t>
      </w:r>
      <w:r w:rsidRPr="006501A1">
        <w:rPr>
          <w:rFonts w:ascii="David" w:hAnsi="David" w:cs="David"/>
          <w:rtl/>
        </w:rPr>
        <w:t xml:space="preserve"> המעיד</w:t>
      </w:r>
      <w:r>
        <w:rPr>
          <w:rFonts w:ascii="David" w:hAnsi="David" w:cs="David" w:hint="cs"/>
          <w:rtl/>
        </w:rPr>
        <w:t>ה</w:t>
      </w:r>
      <w:r w:rsidRPr="006501A1">
        <w:rPr>
          <w:rFonts w:ascii="David" w:hAnsi="David" w:cs="David"/>
          <w:rtl/>
        </w:rPr>
        <w:t xml:space="preserve"> על התאמת המצרך מאותו משלוח ומאותה מנת הייצור למלוא דרישות התקן הרשמי שחל עליו.</w:t>
      </w:r>
    </w:p>
    <w:p w14:paraId="50CF9BD9" w14:textId="77777777" w:rsidR="00C367B2" w:rsidRPr="006501A1" w:rsidRDefault="00C367B2" w:rsidP="0011629C">
      <w:pPr>
        <w:pStyle w:val="a3"/>
        <w:ind w:left="1080"/>
        <w:jc w:val="both"/>
        <w:rPr>
          <w:rFonts w:ascii="David" w:hAnsi="David" w:cs="David"/>
          <w:rtl/>
        </w:rPr>
      </w:pPr>
    </w:p>
    <w:p w14:paraId="479AB9F6" w14:textId="69B6F3A5" w:rsidR="006501A1" w:rsidRDefault="006501A1" w:rsidP="0011629C">
      <w:pPr>
        <w:pStyle w:val="a3"/>
        <w:numPr>
          <w:ilvl w:val="0"/>
          <w:numId w:val="12"/>
        </w:numPr>
        <w:spacing w:before="160" w:line="360" w:lineRule="auto"/>
        <w:jc w:val="both"/>
        <w:rPr>
          <w:rFonts w:ascii="David" w:hAnsi="David" w:cs="David"/>
        </w:rPr>
      </w:pPr>
      <w:r>
        <w:rPr>
          <w:rFonts w:ascii="David" w:hAnsi="David" w:cs="David" w:hint="cs"/>
          <w:rtl/>
        </w:rPr>
        <w:t xml:space="preserve"> באמצעות העדת בודק שביצע את הבדיקה וערך את תעודת הבדיקה של המעבדה המוסמכת הזרה, וזאת רק לאחר שקיבל את אישור בית המשפט </w:t>
      </w:r>
      <w:r w:rsidR="00C367B2">
        <w:rPr>
          <w:rFonts w:ascii="David" w:hAnsi="David" w:cs="David" w:hint="cs"/>
          <w:rtl/>
        </w:rPr>
        <w:t xml:space="preserve"> </w:t>
      </w:r>
      <w:r w:rsidR="00624079">
        <w:rPr>
          <w:rFonts w:ascii="David" w:hAnsi="David" w:cs="David" w:hint="cs"/>
          <w:rtl/>
        </w:rPr>
        <w:t xml:space="preserve">אך ורק במידה שבית </w:t>
      </w:r>
      <w:r w:rsidR="00624079">
        <w:rPr>
          <w:rFonts w:ascii="David" w:hAnsi="David" w:cs="David" w:hint="cs"/>
          <w:rtl/>
        </w:rPr>
        <w:lastRenderedPageBreak/>
        <w:t>המשפט השתכנע</w:t>
      </w:r>
      <w:r>
        <w:rPr>
          <w:rFonts w:ascii="David" w:hAnsi="David" w:cs="David" w:hint="cs"/>
          <w:rtl/>
        </w:rPr>
        <w:t xml:space="preserve"> שנפלה טעות מהותית בהליך הבדיקה וחקירתו של ה</w:t>
      </w:r>
      <w:r w:rsidR="00624079">
        <w:rPr>
          <w:rFonts w:ascii="David" w:hAnsi="David" w:cs="David" w:hint="cs"/>
          <w:rtl/>
        </w:rPr>
        <w:t>בודק</w:t>
      </w:r>
      <w:r>
        <w:rPr>
          <w:rFonts w:ascii="David" w:hAnsi="David" w:cs="David" w:hint="cs"/>
          <w:rtl/>
        </w:rPr>
        <w:t xml:space="preserve"> </w:t>
      </w:r>
      <w:r w:rsidR="00624079">
        <w:rPr>
          <w:rFonts w:ascii="David" w:hAnsi="David" w:cs="David" w:hint="cs"/>
          <w:rtl/>
        </w:rPr>
        <w:t xml:space="preserve"> שערך את תעודת הבדיקה </w:t>
      </w:r>
      <w:r>
        <w:rPr>
          <w:rFonts w:ascii="David" w:hAnsi="David" w:cs="David" w:hint="cs"/>
          <w:rtl/>
        </w:rPr>
        <w:t>נדרשת כדי למנוע עיוות דין:</w:t>
      </w:r>
    </w:p>
    <w:p w14:paraId="15DCDBF3" w14:textId="77777777" w:rsidR="006501A1" w:rsidRPr="006501A1" w:rsidRDefault="006501A1" w:rsidP="0011629C">
      <w:pPr>
        <w:pStyle w:val="a3"/>
        <w:spacing w:before="160" w:line="360" w:lineRule="auto"/>
        <w:ind w:left="1080"/>
        <w:jc w:val="both"/>
        <w:rPr>
          <w:rFonts w:ascii="David" w:hAnsi="David" w:cs="David"/>
          <w:rtl/>
        </w:rPr>
      </w:pPr>
    </w:p>
    <w:p w14:paraId="54EEBAFD" w14:textId="2041CABA" w:rsidR="006501A1" w:rsidRPr="006501A1" w:rsidRDefault="00864BC0" w:rsidP="0011629C">
      <w:pPr>
        <w:pStyle w:val="a3"/>
        <w:spacing w:before="160" w:line="360" w:lineRule="auto"/>
        <w:ind w:left="1080"/>
        <w:jc w:val="both"/>
        <w:rPr>
          <w:rFonts w:ascii="David" w:hAnsi="David" w:cs="David"/>
          <w:rtl/>
        </w:rPr>
      </w:pPr>
      <w:r>
        <w:rPr>
          <w:rFonts w:ascii="David" w:hAnsi="David" w:cs="David" w:hint="cs"/>
          <w:rtl/>
        </w:rPr>
        <w:t>1</w:t>
      </w:r>
      <w:r w:rsidR="006501A1" w:rsidRPr="006501A1">
        <w:rPr>
          <w:rFonts w:ascii="David" w:hAnsi="David" w:cs="David"/>
          <w:rtl/>
        </w:rPr>
        <w:t>.</w:t>
      </w:r>
      <w:r w:rsidR="006501A1" w:rsidRPr="006501A1">
        <w:rPr>
          <w:rFonts w:ascii="David" w:hAnsi="David" w:cs="David"/>
          <w:rtl/>
        </w:rPr>
        <w:tab/>
        <w:t>מתוך הבדיקה ומסמכיה עולה כי הבדיקה של המעבדה לא נערכה בהתאם לדרישות התקן שחל על המצרך, לרבות אי בדיקת סעיף רלוונטי בתקן לעניין קביעת אי ההתאמה שנמצאה</w:t>
      </w:r>
      <w:r w:rsidR="00B673F9">
        <w:rPr>
          <w:rFonts w:ascii="David" w:hAnsi="David" w:cs="David" w:hint="cs"/>
          <w:rtl/>
        </w:rPr>
        <w:t>;</w:t>
      </w:r>
    </w:p>
    <w:p w14:paraId="65886136" w14:textId="2BC1373C" w:rsidR="006501A1" w:rsidRPr="006501A1" w:rsidRDefault="00864BC0" w:rsidP="0011629C">
      <w:pPr>
        <w:pStyle w:val="a3"/>
        <w:spacing w:before="160" w:line="360" w:lineRule="auto"/>
        <w:ind w:left="1080"/>
        <w:jc w:val="both"/>
        <w:rPr>
          <w:rFonts w:ascii="David" w:hAnsi="David" w:cs="David"/>
          <w:rtl/>
        </w:rPr>
      </w:pPr>
      <w:r>
        <w:rPr>
          <w:rFonts w:ascii="David" w:hAnsi="David" w:cs="David" w:hint="cs"/>
          <w:rtl/>
        </w:rPr>
        <w:t>2</w:t>
      </w:r>
      <w:r w:rsidR="006501A1" w:rsidRPr="006501A1">
        <w:rPr>
          <w:rFonts w:ascii="David" w:hAnsi="David" w:cs="David"/>
          <w:rtl/>
        </w:rPr>
        <w:t>.</w:t>
      </w:r>
      <w:r w:rsidR="006501A1" w:rsidRPr="006501A1">
        <w:rPr>
          <w:rFonts w:ascii="David" w:hAnsi="David" w:cs="David"/>
          <w:rtl/>
        </w:rPr>
        <w:tab/>
        <w:t>במועד הבדיקה, המעבדה לא הי</w:t>
      </w:r>
      <w:r w:rsidR="002B78E3">
        <w:rPr>
          <w:rFonts w:ascii="David" w:hAnsi="David" w:cs="David" w:hint="cs"/>
          <w:rtl/>
        </w:rPr>
        <w:t>י</w:t>
      </w:r>
      <w:r w:rsidR="006501A1" w:rsidRPr="006501A1">
        <w:rPr>
          <w:rFonts w:ascii="David" w:hAnsi="David" w:cs="David"/>
          <w:rtl/>
        </w:rPr>
        <w:t>תה מוסמכת לבדיקת התקן הרלוונטי</w:t>
      </w:r>
      <w:r w:rsidR="00B673F9">
        <w:rPr>
          <w:rFonts w:ascii="David" w:hAnsi="David" w:cs="David" w:hint="cs"/>
          <w:rtl/>
        </w:rPr>
        <w:t>;</w:t>
      </w:r>
    </w:p>
    <w:p w14:paraId="3C0644A3" w14:textId="53C6DA23" w:rsidR="006501A1" w:rsidRDefault="00864BC0" w:rsidP="0011629C">
      <w:pPr>
        <w:pStyle w:val="a3"/>
        <w:spacing w:before="160" w:line="360" w:lineRule="auto"/>
        <w:ind w:left="1080"/>
        <w:jc w:val="both"/>
        <w:rPr>
          <w:rFonts w:ascii="David" w:hAnsi="David" w:cs="David"/>
          <w:rtl/>
        </w:rPr>
      </w:pPr>
      <w:r>
        <w:rPr>
          <w:rFonts w:ascii="David" w:hAnsi="David" w:cs="David" w:hint="cs"/>
          <w:rtl/>
        </w:rPr>
        <w:t>3</w:t>
      </w:r>
      <w:r w:rsidR="006501A1" w:rsidRPr="006501A1">
        <w:rPr>
          <w:rFonts w:ascii="David" w:hAnsi="David" w:cs="David"/>
          <w:rtl/>
        </w:rPr>
        <w:t>.</w:t>
      </w:r>
      <w:r w:rsidR="006501A1" w:rsidRPr="006501A1">
        <w:rPr>
          <w:rFonts w:ascii="David" w:hAnsi="David" w:cs="David"/>
          <w:rtl/>
        </w:rPr>
        <w:tab/>
        <w:t>מתוך מסמכי הבדיקה עולה סתירה לעניין ממצאי הבדיקה שמצאו אי התאמה לתקן</w:t>
      </w:r>
      <w:r w:rsidR="002B78E3">
        <w:rPr>
          <w:rFonts w:ascii="David" w:hAnsi="David" w:cs="David" w:hint="cs"/>
          <w:rtl/>
        </w:rPr>
        <w:t>;</w:t>
      </w:r>
      <w:r w:rsidR="00B673F9">
        <w:rPr>
          <w:rFonts w:ascii="David" w:hAnsi="David" w:cs="David" w:hint="cs"/>
          <w:rtl/>
        </w:rPr>
        <w:t xml:space="preserve"> </w:t>
      </w:r>
    </w:p>
    <w:p w14:paraId="6933D2B5" w14:textId="0049C843" w:rsidR="00876D1D" w:rsidRDefault="00876D1D" w:rsidP="0011629C">
      <w:pPr>
        <w:pStyle w:val="a3"/>
        <w:spacing w:before="160" w:line="360" w:lineRule="auto"/>
        <w:ind w:left="1080"/>
        <w:jc w:val="both"/>
        <w:rPr>
          <w:rFonts w:ascii="David" w:hAnsi="David" w:cs="David"/>
          <w:rtl/>
        </w:rPr>
      </w:pPr>
      <w:r>
        <w:rPr>
          <w:rFonts w:ascii="David" w:hAnsi="David" w:cs="David" w:hint="cs"/>
          <w:rtl/>
        </w:rPr>
        <w:t xml:space="preserve">4. טעות מהותית אחרת העולה מתוך הבדיקה או מסמכיה בלבד והמשפיע ישירות על נושא אי העמידה בהוראות התקן הזר.  </w:t>
      </w:r>
    </w:p>
    <w:p w14:paraId="3B7E3F04" w14:textId="75443F83" w:rsidR="00B673F9" w:rsidRDefault="00B673F9" w:rsidP="0011629C">
      <w:pPr>
        <w:pStyle w:val="a3"/>
        <w:spacing w:before="160" w:line="360" w:lineRule="auto"/>
        <w:ind w:left="1080"/>
        <w:jc w:val="both"/>
        <w:rPr>
          <w:rFonts w:ascii="David" w:hAnsi="David" w:cs="David"/>
          <w:rtl/>
        </w:rPr>
      </w:pPr>
    </w:p>
    <w:p w14:paraId="5645743B" w14:textId="2CB9ABA1" w:rsidR="00B673F9" w:rsidRDefault="00B673F9" w:rsidP="0011629C">
      <w:pPr>
        <w:pStyle w:val="a3"/>
        <w:spacing w:before="160" w:line="360" w:lineRule="auto"/>
        <w:ind w:left="1080"/>
        <w:jc w:val="both"/>
        <w:rPr>
          <w:rFonts w:ascii="David" w:hAnsi="David" w:cs="David"/>
          <w:rtl/>
        </w:rPr>
      </w:pPr>
      <w:r>
        <w:rPr>
          <w:rFonts w:ascii="David" w:hAnsi="David" w:cs="David" w:hint="cs"/>
          <w:rtl/>
        </w:rPr>
        <w:t>נסביר כי, הממונה על התקינה יקבע במדיניות הפיקוח והאכיפה שלו כי לגבי בדיקת עמידה בתקן זר, יברר כמיטב יכולתו, האם קיימת מעבדה מוסמכת לבדיקת התאמה לתקן הזר בישראל ורק במידה ולא תמצא כזו לאחר אותו בירור</w:t>
      </w:r>
      <w:r w:rsidR="00876D1D">
        <w:rPr>
          <w:rFonts w:ascii="David" w:hAnsi="David" w:cs="David" w:hint="cs"/>
          <w:rtl/>
        </w:rPr>
        <w:t xml:space="preserve"> או שתהיה מניעה ממשית אחרת שזו תבצע את הבדיקה</w:t>
      </w:r>
      <w:r>
        <w:rPr>
          <w:rFonts w:ascii="David" w:hAnsi="David" w:cs="David" w:hint="cs"/>
          <w:rtl/>
        </w:rPr>
        <w:t xml:space="preserve">, יפנה למסלול הבדיקה על ידי מעבדה מוסמכת זרה. </w:t>
      </w:r>
    </w:p>
    <w:p w14:paraId="5783E9E5" w14:textId="77777777" w:rsidR="00510E81" w:rsidRPr="00864BC0" w:rsidRDefault="00510E81" w:rsidP="0011629C">
      <w:pPr>
        <w:pStyle w:val="a3"/>
        <w:spacing w:before="160" w:line="360" w:lineRule="auto"/>
        <w:jc w:val="both"/>
        <w:rPr>
          <w:rFonts w:ascii="David" w:hAnsi="David" w:cs="David"/>
          <w:rtl/>
        </w:rPr>
      </w:pPr>
    </w:p>
    <w:p w14:paraId="7AB0D75F" w14:textId="77777777" w:rsidR="00956AFA" w:rsidRDefault="00956AFA" w:rsidP="0011629C">
      <w:pPr>
        <w:spacing w:before="160" w:line="360" w:lineRule="auto"/>
        <w:jc w:val="both"/>
        <w:rPr>
          <w:rFonts w:ascii="David" w:hAnsi="David" w:cs="David"/>
          <w:rtl/>
        </w:rPr>
      </w:pPr>
    </w:p>
    <w:p w14:paraId="6D4347E7" w14:textId="77777777" w:rsidR="00956AFA" w:rsidRDefault="00956AFA" w:rsidP="002B78E3">
      <w:pPr>
        <w:spacing w:before="160" w:line="360" w:lineRule="auto"/>
        <w:jc w:val="both"/>
        <w:rPr>
          <w:rFonts w:ascii="David" w:hAnsi="David" w:cs="David"/>
          <w:rtl/>
        </w:rPr>
      </w:pPr>
    </w:p>
    <w:sectPr w:rsidR="00956AFA" w:rsidSect="00126A13">
      <w:head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734811" w14:textId="77777777" w:rsidR="00F16BA4" w:rsidRDefault="00F16BA4" w:rsidP="00723FE5">
      <w:pPr>
        <w:spacing w:after="0" w:line="240" w:lineRule="auto"/>
      </w:pPr>
      <w:r>
        <w:separator/>
      </w:r>
    </w:p>
  </w:endnote>
  <w:endnote w:type="continuationSeparator" w:id="0">
    <w:p w14:paraId="0126F918" w14:textId="77777777" w:rsidR="00F16BA4" w:rsidRDefault="00F16BA4" w:rsidP="00723F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1"/>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45B9E3" w14:textId="77777777" w:rsidR="00F16BA4" w:rsidRDefault="00F16BA4" w:rsidP="00723FE5">
      <w:pPr>
        <w:spacing w:after="0" w:line="240" w:lineRule="auto"/>
      </w:pPr>
      <w:r>
        <w:separator/>
      </w:r>
    </w:p>
  </w:footnote>
  <w:footnote w:type="continuationSeparator" w:id="0">
    <w:p w14:paraId="1C2CEB99" w14:textId="77777777" w:rsidR="00F16BA4" w:rsidRDefault="00F16BA4" w:rsidP="00723F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121294" w14:textId="77777777" w:rsidR="00B541D9" w:rsidRDefault="00B541D9" w:rsidP="00B541D9">
    <w:pPr>
      <w:pStyle w:val="af"/>
      <w:tabs>
        <w:tab w:val="clear" w:pos="4153"/>
        <w:tab w:val="clear" w:pos="8306"/>
        <w:tab w:val="left" w:pos="6750"/>
        <w:tab w:val="left" w:pos="7276"/>
      </w:tabs>
      <w:ind w:right="-1800"/>
    </w:pPr>
    <w:r>
      <w:rPr>
        <w:noProof/>
      </w:rPr>
      <w:drawing>
        <wp:anchor distT="0" distB="0" distL="114300" distR="114300" simplePos="0" relativeHeight="251658240" behindDoc="1" locked="0" layoutInCell="1" allowOverlap="1" wp14:anchorId="5ED847A8" wp14:editId="2A41D5B1">
          <wp:simplePos x="0" y="0"/>
          <wp:positionH relativeFrom="column">
            <wp:posOffset>-1162050</wp:posOffset>
          </wp:positionH>
          <wp:positionV relativeFrom="paragraph">
            <wp:posOffset>-449580</wp:posOffset>
          </wp:positionV>
          <wp:extent cx="7524750" cy="1841500"/>
          <wp:effectExtent l="0" t="0" r="0" b="6350"/>
          <wp:wrapSquare wrapText="bothSides"/>
          <wp:docPr id="12" name="תמונה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0" descr="tamat_7976_template_A4.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24750" cy="1841500"/>
                  </a:xfrm>
                  <a:prstGeom prst="rect">
                    <a:avLst/>
                  </a:prstGeom>
                  <a:noFill/>
                  <a:ln>
                    <a:noFill/>
                  </a:ln>
                </pic:spPr>
              </pic:pic>
            </a:graphicData>
          </a:graphic>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E0720"/>
    <w:multiLevelType w:val="hybridMultilevel"/>
    <w:tmpl w:val="93F21C8A"/>
    <w:lvl w:ilvl="0" w:tplc="3FBEA9F6">
      <w:start w:val="1"/>
      <w:numFmt w:val="hebrew1"/>
      <w:lvlText w:val="%1)"/>
      <w:lvlJc w:val="left"/>
      <w:pPr>
        <w:ind w:left="1890" w:hanging="360"/>
      </w:pPr>
      <w:rPr>
        <w:rFonts w:hint="default"/>
        <w:b w:val="0"/>
        <w:b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73B177B"/>
    <w:multiLevelType w:val="hybridMultilevel"/>
    <w:tmpl w:val="E34449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363AED"/>
    <w:multiLevelType w:val="hybridMultilevel"/>
    <w:tmpl w:val="1B4C9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AF3995"/>
    <w:multiLevelType w:val="hybridMultilevel"/>
    <w:tmpl w:val="70828E18"/>
    <w:lvl w:ilvl="0" w:tplc="6898FC58">
      <w:start w:val="1"/>
      <w:numFmt w:val="bullet"/>
      <w:lvlText w:val="-"/>
      <w:lvlJc w:val="left"/>
      <w:pPr>
        <w:ind w:left="1862" w:hanging="360"/>
      </w:pPr>
      <w:rPr>
        <w:rFonts w:ascii="David" w:eastAsiaTheme="minorHAnsi" w:hAnsi="David" w:cs="David" w:hint="default"/>
      </w:rPr>
    </w:lvl>
    <w:lvl w:ilvl="1" w:tplc="04090003" w:tentative="1">
      <w:start w:val="1"/>
      <w:numFmt w:val="bullet"/>
      <w:lvlText w:val="o"/>
      <w:lvlJc w:val="left"/>
      <w:pPr>
        <w:ind w:left="2582" w:hanging="360"/>
      </w:pPr>
      <w:rPr>
        <w:rFonts w:ascii="Courier New" w:hAnsi="Courier New" w:cs="Courier New" w:hint="default"/>
      </w:rPr>
    </w:lvl>
    <w:lvl w:ilvl="2" w:tplc="04090005" w:tentative="1">
      <w:start w:val="1"/>
      <w:numFmt w:val="bullet"/>
      <w:lvlText w:val=""/>
      <w:lvlJc w:val="left"/>
      <w:pPr>
        <w:ind w:left="3302" w:hanging="360"/>
      </w:pPr>
      <w:rPr>
        <w:rFonts w:ascii="Wingdings" w:hAnsi="Wingdings" w:hint="default"/>
      </w:rPr>
    </w:lvl>
    <w:lvl w:ilvl="3" w:tplc="04090001" w:tentative="1">
      <w:start w:val="1"/>
      <w:numFmt w:val="bullet"/>
      <w:lvlText w:val=""/>
      <w:lvlJc w:val="left"/>
      <w:pPr>
        <w:ind w:left="4022" w:hanging="360"/>
      </w:pPr>
      <w:rPr>
        <w:rFonts w:ascii="Symbol" w:hAnsi="Symbol" w:hint="default"/>
      </w:rPr>
    </w:lvl>
    <w:lvl w:ilvl="4" w:tplc="04090003" w:tentative="1">
      <w:start w:val="1"/>
      <w:numFmt w:val="bullet"/>
      <w:lvlText w:val="o"/>
      <w:lvlJc w:val="left"/>
      <w:pPr>
        <w:ind w:left="4742" w:hanging="360"/>
      </w:pPr>
      <w:rPr>
        <w:rFonts w:ascii="Courier New" w:hAnsi="Courier New" w:cs="Courier New" w:hint="default"/>
      </w:rPr>
    </w:lvl>
    <w:lvl w:ilvl="5" w:tplc="04090005" w:tentative="1">
      <w:start w:val="1"/>
      <w:numFmt w:val="bullet"/>
      <w:lvlText w:val=""/>
      <w:lvlJc w:val="left"/>
      <w:pPr>
        <w:ind w:left="5462" w:hanging="360"/>
      </w:pPr>
      <w:rPr>
        <w:rFonts w:ascii="Wingdings" w:hAnsi="Wingdings" w:hint="default"/>
      </w:rPr>
    </w:lvl>
    <w:lvl w:ilvl="6" w:tplc="04090001" w:tentative="1">
      <w:start w:val="1"/>
      <w:numFmt w:val="bullet"/>
      <w:lvlText w:val=""/>
      <w:lvlJc w:val="left"/>
      <w:pPr>
        <w:ind w:left="6182" w:hanging="360"/>
      </w:pPr>
      <w:rPr>
        <w:rFonts w:ascii="Symbol" w:hAnsi="Symbol" w:hint="default"/>
      </w:rPr>
    </w:lvl>
    <w:lvl w:ilvl="7" w:tplc="04090003" w:tentative="1">
      <w:start w:val="1"/>
      <w:numFmt w:val="bullet"/>
      <w:lvlText w:val="o"/>
      <w:lvlJc w:val="left"/>
      <w:pPr>
        <w:ind w:left="6902" w:hanging="360"/>
      </w:pPr>
      <w:rPr>
        <w:rFonts w:ascii="Courier New" w:hAnsi="Courier New" w:cs="Courier New" w:hint="default"/>
      </w:rPr>
    </w:lvl>
    <w:lvl w:ilvl="8" w:tplc="04090005" w:tentative="1">
      <w:start w:val="1"/>
      <w:numFmt w:val="bullet"/>
      <w:lvlText w:val=""/>
      <w:lvlJc w:val="left"/>
      <w:pPr>
        <w:ind w:left="7622" w:hanging="360"/>
      </w:pPr>
      <w:rPr>
        <w:rFonts w:ascii="Wingdings" w:hAnsi="Wingdings" w:hint="default"/>
      </w:rPr>
    </w:lvl>
  </w:abstractNum>
  <w:abstractNum w:abstractNumId="4" w15:restartNumberingAfterBreak="0">
    <w:nsid w:val="2CB43BA7"/>
    <w:multiLevelType w:val="hybridMultilevel"/>
    <w:tmpl w:val="E9EEFE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DC0DBA"/>
    <w:multiLevelType w:val="multilevel"/>
    <w:tmpl w:val="0409001F"/>
    <w:lvl w:ilvl="0">
      <w:start w:val="1"/>
      <w:numFmt w:val="decimal"/>
      <w:lvlText w:val="%1."/>
      <w:lvlJc w:val="left"/>
      <w:pPr>
        <w:ind w:left="720" w:hanging="360"/>
      </w:pPr>
      <w:rPr>
        <w:rFonts w:hint="default"/>
        <w:color w:val="auto"/>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6" w15:restartNumberingAfterBreak="0">
    <w:nsid w:val="37C966D6"/>
    <w:multiLevelType w:val="hybridMultilevel"/>
    <w:tmpl w:val="A498CE9C"/>
    <w:lvl w:ilvl="0" w:tplc="6C429222">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8E1556F"/>
    <w:multiLevelType w:val="hybridMultilevel"/>
    <w:tmpl w:val="24507D8A"/>
    <w:lvl w:ilvl="0" w:tplc="04090013">
      <w:start w:val="1"/>
      <w:numFmt w:val="hebrew1"/>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A245C7"/>
    <w:multiLevelType w:val="multilevel"/>
    <w:tmpl w:val="420893DE"/>
    <w:lvl w:ilvl="0">
      <w:start w:val="1"/>
      <w:numFmt w:val="decimal"/>
      <w:lvlText w:val="%1"/>
      <w:lvlJc w:val="left"/>
      <w:pPr>
        <w:ind w:left="360" w:hanging="360"/>
      </w:pPr>
      <w:rPr>
        <w:rFonts w:hint="default"/>
      </w:rPr>
    </w:lvl>
    <w:lvl w:ilvl="1">
      <w:start w:val="1"/>
      <w:numFmt w:val="decimal"/>
      <w:lvlText w:val="%1.%2"/>
      <w:lvlJc w:val="left"/>
      <w:pPr>
        <w:ind w:left="2520" w:hanging="36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360" w:hanging="72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040" w:hanging="108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8720" w:hanging="1440"/>
      </w:pPr>
      <w:rPr>
        <w:rFonts w:hint="default"/>
      </w:rPr>
    </w:lvl>
  </w:abstractNum>
  <w:abstractNum w:abstractNumId="9" w15:restartNumberingAfterBreak="0">
    <w:nsid w:val="48151D77"/>
    <w:multiLevelType w:val="hybridMultilevel"/>
    <w:tmpl w:val="2CE22D5E"/>
    <w:lvl w:ilvl="0" w:tplc="AB44CD18">
      <w:start w:val="1"/>
      <w:numFmt w:val="decimal"/>
      <w:lvlText w:val="%1."/>
      <w:lvlJc w:val="left"/>
      <w:pPr>
        <w:ind w:left="1068" w:hanging="360"/>
      </w:pPr>
      <w:rPr>
        <w:rFonts w:ascii="David" w:hAnsi="David" w:cs="David" w:hint="default"/>
        <w:b w:val="0"/>
        <w:bCs w:val="0"/>
      </w:rPr>
    </w:lvl>
    <w:lvl w:ilvl="1" w:tplc="908234D2">
      <w:start w:val="1"/>
      <w:numFmt w:val="hebrew1"/>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8FD1883"/>
    <w:multiLevelType w:val="hybridMultilevel"/>
    <w:tmpl w:val="5D32CD3C"/>
    <w:lvl w:ilvl="0" w:tplc="43160CE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836DB5"/>
    <w:multiLevelType w:val="multilevel"/>
    <w:tmpl w:val="ED183E76"/>
    <w:lvl w:ilvl="0">
      <w:start w:val="2"/>
      <w:numFmt w:val="decimal"/>
      <w:lvlText w:val="%1"/>
      <w:lvlJc w:val="left"/>
      <w:pPr>
        <w:ind w:left="360" w:hanging="360"/>
      </w:pPr>
      <w:rPr>
        <w:rFonts w:hint="default"/>
      </w:rPr>
    </w:lvl>
    <w:lvl w:ilvl="1">
      <w:start w:val="2"/>
      <w:numFmt w:val="decimal"/>
      <w:lvlText w:val="%1.%2"/>
      <w:lvlJc w:val="left"/>
      <w:pPr>
        <w:ind w:left="2610" w:hanging="360"/>
      </w:pPr>
      <w:rPr>
        <w:rFonts w:hint="default"/>
      </w:rPr>
    </w:lvl>
    <w:lvl w:ilvl="2">
      <w:start w:val="1"/>
      <w:numFmt w:val="decimal"/>
      <w:lvlText w:val="%1.%2.%3"/>
      <w:lvlJc w:val="left"/>
      <w:pPr>
        <w:ind w:left="5220" w:hanging="720"/>
      </w:pPr>
      <w:rPr>
        <w:rFonts w:hint="default"/>
      </w:rPr>
    </w:lvl>
    <w:lvl w:ilvl="3">
      <w:start w:val="1"/>
      <w:numFmt w:val="decimal"/>
      <w:lvlText w:val="%1.%2.%3.%4"/>
      <w:lvlJc w:val="left"/>
      <w:pPr>
        <w:ind w:left="7470" w:hanging="720"/>
      </w:pPr>
      <w:rPr>
        <w:rFonts w:hint="default"/>
      </w:rPr>
    </w:lvl>
    <w:lvl w:ilvl="4">
      <w:start w:val="1"/>
      <w:numFmt w:val="decimal"/>
      <w:lvlText w:val="%1.%2.%3.%4.%5"/>
      <w:lvlJc w:val="left"/>
      <w:pPr>
        <w:ind w:left="9720" w:hanging="720"/>
      </w:pPr>
      <w:rPr>
        <w:rFonts w:hint="default"/>
      </w:rPr>
    </w:lvl>
    <w:lvl w:ilvl="5">
      <w:start w:val="1"/>
      <w:numFmt w:val="decimal"/>
      <w:lvlText w:val="%1.%2.%3.%4.%5.%6"/>
      <w:lvlJc w:val="left"/>
      <w:pPr>
        <w:ind w:left="12330" w:hanging="1080"/>
      </w:pPr>
      <w:rPr>
        <w:rFonts w:hint="default"/>
      </w:rPr>
    </w:lvl>
    <w:lvl w:ilvl="6">
      <w:start w:val="1"/>
      <w:numFmt w:val="decimal"/>
      <w:lvlText w:val="%1.%2.%3.%4.%5.%6.%7"/>
      <w:lvlJc w:val="left"/>
      <w:pPr>
        <w:ind w:left="14580" w:hanging="1080"/>
      </w:pPr>
      <w:rPr>
        <w:rFonts w:hint="default"/>
      </w:rPr>
    </w:lvl>
    <w:lvl w:ilvl="7">
      <w:start w:val="1"/>
      <w:numFmt w:val="decimal"/>
      <w:lvlText w:val="%1.%2.%3.%4.%5.%6.%7.%8"/>
      <w:lvlJc w:val="left"/>
      <w:pPr>
        <w:ind w:left="17190" w:hanging="1440"/>
      </w:pPr>
      <w:rPr>
        <w:rFonts w:hint="default"/>
      </w:rPr>
    </w:lvl>
    <w:lvl w:ilvl="8">
      <w:start w:val="1"/>
      <w:numFmt w:val="decimal"/>
      <w:lvlText w:val="%1.%2.%3.%4.%5.%6.%7.%8.%9"/>
      <w:lvlJc w:val="left"/>
      <w:pPr>
        <w:ind w:left="19440" w:hanging="1440"/>
      </w:pPr>
      <w:rPr>
        <w:rFonts w:hint="default"/>
      </w:rPr>
    </w:lvl>
  </w:abstractNum>
  <w:abstractNum w:abstractNumId="12" w15:restartNumberingAfterBreak="0">
    <w:nsid w:val="66201AB5"/>
    <w:multiLevelType w:val="hybridMultilevel"/>
    <w:tmpl w:val="4A5031F2"/>
    <w:lvl w:ilvl="0" w:tplc="1A127C26">
      <w:start w:val="1"/>
      <w:numFmt w:val="decimal"/>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2"/>
  </w:num>
  <w:num w:numId="2">
    <w:abstractNumId w:val="8"/>
  </w:num>
  <w:num w:numId="3">
    <w:abstractNumId w:val="11"/>
  </w:num>
  <w:num w:numId="4">
    <w:abstractNumId w:val="9"/>
  </w:num>
  <w:num w:numId="5">
    <w:abstractNumId w:val="0"/>
  </w:num>
  <w:num w:numId="6">
    <w:abstractNumId w:val="7"/>
  </w:num>
  <w:num w:numId="7">
    <w:abstractNumId w:val="2"/>
  </w:num>
  <w:num w:numId="8">
    <w:abstractNumId w:val="5"/>
  </w:num>
  <w:num w:numId="9">
    <w:abstractNumId w:val="1"/>
  </w:num>
  <w:num w:numId="10">
    <w:abstractNumId w:val="3"/>
  </w:num>
  <w:num w:numId="11">
    <w:abstractNumId w:val="10"/>
  </w:num>
  <w:num w:numId="12">
    <w:abstractNumId w:val="6"/>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9D5"/>
    <w:rsid w:val="000130F3"/>
    <w:rsid w:val="000513A3"/>
    <w:rsid w:val="00065260"/>
    <w:rsid w:val="0008156D"/>
    <w:rsid w:val="000851DA"/>
    <w:rsid w:val="0009085F"/>
    <w:rsid w:val="000A588E"/>
    <w:rsid w:val="000B099C"/>
    <w:rsid w:val="00105CD8"/>
    <w:rsid w:val="0011629C"/>
    <w:rsid w:val="00126A13"/>
    <w:rsid w:val="00130716"/>
    <w:rsid w:val="001566E8"/>
    <w:rsid w:val="00162E32"/>
    <w:rsid w:val="001765E0"/>
    <w:rsid w:val="00180E37"/>
    <w:rsid w:val="001818B1"/>
    <w:rsid w:val="001844D0"/>
    <w:rsid w:val="001B16B0"/>
    <w:rsid w:val="001E2A5D"/>
    <w:rsid w:val="001F7C8B"/>
    <w:rsid w:val="002228A9"/>
    <w:rsid w:val="0025168C"/>
    <w:rsid w:val="00253618"/>
    <w:rsid w:val="00285C63"/>
    <w:rsid w:val="002908CD"/>
    <w:rsid w:val="002A6ECB"/>
    <w:rsid w:val="002B39D5"/>
    <w:rsid w:val="002B78E3"/>
    <w:rsid w:val="002C7151"/>
    <w:rsid w:val="002D080C"/>
    <w:rsid w:val="002F25F8"/>
    <w:rsid w:val="003206DC"/>
    <w:rsid w:val="003627E4"/>
    <w:rsid w:val="00375A97"/>
    <w:rsid w:val="00377236"/>
    <w:rsid w:val="00390520"/>
    <w:rsid w:val="0039749E"/>
    <w:rsid w:val="003A3E17"/>
    <w:rsid w:val="00425B31"/>
    <w:rsid w:val="004873E6"/>
    <w:rsid w:val="004955D9"/>
    <w:rsid w:val="004A05E2"/>
    <w:rsid w:val="004E749F"/>
    <w:rsid w:val="004F6523"/>
    <w:rsid w:val="00503C37"/>
    <w:rsid w:val="00510E81"/>
    <w:rsid w:val="0052351C"/>
    <w:rsid w:val="00562B53"/>
    <w:rsid w:val="00566198"/>
    <w:rsid w:val="00571A5E"/>
    <w:rsid w:val="00581463"/>
    <w:rsid w:val="00585150"/>
    <w:rsid w:val="00586369"/>
    <w:rsid w:val="005972FD"/>
    <w:rsid w:val="005B5178"/>
    <w:rsid w:val="005D32F8"/>
    <w:rsid w:val="005E1BF4"/>
    <w:rsid w:val="005E2BB1"/>
    <w:rsid w:val="005F461C"/>
    <w:rsid w:val="005F48FC"/>
    <w:rsid w:val="00624079"/>
    <w:rsid w:val="0062648B"/>
    <w:rsid w:val="00644764"/>
    <w:rsid w:val="006501A1"/>
    <w:rsid w:val="00656AED"/>
    <w:rsid w:val="0066492A"/>
    <w:rsid w:val="00673D6D"/>
    <w:rsid w:val="006C1589"/>
    <w:rsid w:val="006E06C7"/>
    <w:rsid w:val="006E10C0"/>
    <w:rsid w:val="00723FE5"/>
    <w:rsid w:val="00774561"/>
    <w:rsid w:val="00781A5F"/>
    <w:rsid w:val="00791A77"/>
    <w:rsid w:val="00796ECF"/>
    <w:rsid w:val="007B4B60"/>
    <w:rsid w:val="007B5783"/>
    <w:rsid w:val="007D18D6"/>
    <w:rsid w:val="007D269D"/>
    <w:rsid w:val="0080549F"/>
    <w:rsid w:val="00813347"/>
    <w:rsid w:val="0085598E"/>
    <w:rsid w:val="00861761"/>
    <w:rsid w:val="008637F1"/>
    <w:rsid w:val="00864BC0"/>
    <w:rsid w:val="00876D1D"/>
    <w:rsid w:val="00890A3E"/>
    <w:rsid w:val="008C38BD"/>
    <w:rsid w:val="008C40D7"/>
    <w:rsid w:val="008E48C8"/>
    <w:rsid w:val="00904ED4"/>
    <w:rsid w:val="00915D16"/>
    <w:rsid w:val="009211C4"/>
    <w:rsid w:val="0093200F"/>
    <w:rsid w:val="00937935"/>
    <w:rsid w:val="00956AFA"/>
    <w:rsid w:val="00960BC6"/>
    <w:rsid w:val="00961E49"/>
    <w:rsid w:val="009B27A5"/>
    <w:rsid w:val="009D0482"/>
    <w:rsid w:val="009D0C82"/>
    <w:rsid w:val="009D23C6"/>
    <w:rsid w:val="009D3347"/>
    <w:rsid w:val="009E137B"/>
    <w:rsid w:val="009E354C"/>
    <w:rsid w:val="00A34388"/>
    <w:rsid w:val="00A6455B"/>
    <w:rsid w:val="00AB5DE1"/>
    <w:rsid w:val="00AD60ED"/>
    <w:rsid w:val="00AE5CFE"/>
    <w:rsid w:val="00AF057D"/>
    <w:rsid w:val="00B00EC2"/>
    <w:rsid w:val="00B07412"/>
    <w:rsid w:val="00B47FC7"/>
    <w:rsid w:val="00B541D9"/>
    <w:rsid w:val="00B66B76"/>
    <w:rsid w:val="00B673F9"/>
    <w:rsid w:val="00B7702E"/>
    <w:rsid w:val="00B85F94"/>
    <w:rsid w:val="00BB076B"/>
    <w:rsid w:val="00BB0ADD"/>
    <w:rsid w:val="00BB6C40"/>
    <w:rsid w:val="00BC7986"/>
    <w:rsid w:val="00C206B6"/>
    <w:rsid w:val="00C30F8F"/>
    <w:rsid w:val="00C367B2"/>
    <w:rsid w:val="00C54C9A"/>
    <w:rsid w:val="00C74B40"/>
    <w:rsid w:val="00C75D52"/>
    <w:rsid w:val="00C900E5"/>
    <w:rsid w:val="00CA50AE"/>
    <w:rsid w:val="00CB5493"/>
    <w:rsid w:val="00CB5500"/>
    <w:rsid w:val="00CD1728"/>
    <w:rsid w:val="00CF5CFC"/>
    <w:rsid w:val="00D15077"/>
    <w:rsid w:val="00D15811"/>
    <w:rsid w:val="00D2194D"/>
    <w:rsid w:val="00D34F58"/>
    <w:rsid w:val="00D37A96"/>
    <w:rsid w:val="00D626C4"/>
    <w:rsid w:val="00D93849"/>
    <w:rsid w:val="00D9471A"/>
    <w:rsid w:val="00D96AA3"/>
    <w:rsid w:val="00DB78D9"/>
    <w:rsid w:val="00DC71DC"/>
    <w:rsid w:val="00DD201C"/>
    <w:rsid w:val="00DE3935"/>
    <w:rsid w:val="00DE5CE1"/>
    <w:rsid w:val="00DF055F"/>
    <w:rsid w:val="00E127E9"/>
    <w:rsid w:val="00E23D0E"/>
    <w:rsid w:val="00E37080"/>
    <w:rsid w:val="00E532D7"/>
    <w:rsid w:val="00E5567B"/>
    <w:rsid w:val="00E71061"/>
    <w:rsid w:val="00E86DC6"/>
    <w:rsid w:val="00F16BA4"/>
    <w:rsid w:val="00F35267"/>
    <w:rsid w:val="00F44DA8"/>
    <w:rsid w:val="00F65F3F"/>
    <w:rsid w:val="00F74574"/>
    <w:rsid w:val="00F76D67"/>
    <w:rsid w:val="00FB07F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DC1064"/>
  <w15:chartTrackingRefBased/>
  <w15:docId w15:val="{5FBB7283-CF69-4B78-93FD-E11CD5C8B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LP1,List Paragraph_0,List Paragraph_1,פיסקת רשימה1,נספח 2 מתוקן,רגיל לשאלות,x.x.x.x"/>
    <w:basedOn w:val="a"/>
    <w:link w:val="a4"/>
    <w:uiPriority w:val="34"/>
    <w:qFormat/>
    <w:rsid w:val="002B39D5"/>
    <w:pPr>
      <w:ind w:left="720"/>
      <w:contextualSpacing/>
    </w:pPr>
    <w:rPr>
      <w:rFonts w:ascii="Arial" w:hAnsi="Arial" w:cs="Arial"/>
      <w:sz w:val="24"/>
      <w:szCs w:val="24"/>
    </w:rPr>
  </w:style>
  <w:style w:type="character" w:customStyle="1" w:styleId="a4">
    <w:name w:val="פיסקת רשימה תו"/>
    <w:aliases w:val="LP1 תו,List Paragraph_0 תו,List Paragraph_1 תו,פיסקת רשימה1 תו,נספח 2 מתוקן תו,רגיל לשאלות תו,x.x.x.x תו"/>
    <w:link w:val="a3"/>
    <w:uiPriority w:val="34"/>
    <w:rsid w:val="002B39D5"/>
    <w:rPr>
      <w:rFonts w:ascii="Arial" w:hAnsi="Arial" w:cs="Arial"/>
      <w:sz w:val="24"/>
      <w:szCs w:val="24"/>
    </w:rPr>
  </w:style>
  <w:style w:type="character" w:customStyle="1" w:styleId="default">
    <w:name w:val="default"/>
    <w:rsid w:val="005F461C"/>
    <w:rPr>
      <w:rFonts w:ascii="Times New Roman" w:hAnsi="Times New Roman" w:cs="Times New Roman"/>
      <w:sz w:val="26"/>
      <w:szCs w:val="26"/>
    </w:rPr>
  </w:style>
  <w:style w:type="paragraph" w:customStyle="1" w:styleId="P00">
    <w:name w:val="P00"/>
    <w:link w:val="P000"/>
    <w:rsid w:val="005F461C"/>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jc w:val="both"/>
    </w:pPr>
    <w:rPr>
      <w:rFonts w:ascii="Times New Roman" w:eastAsia="Times New Roman" w:hAnsi="Times New Roman" w:cs="Times New Roman"/>
      <w:noProof/>
      <w:sz w:val="20"/>
      <w:szCs w:val="26"/>
      <w:lang w:eastAsia="he-IL"/>
    </w:rPr>
  </w:style>
  <w:style w:type="character" w:customStyle="1" w:styleId="P000">
    <w:name w:val="P00 תו"/>
    <w:link w:val="P00"/>
    <w:rsid w:val="005F461C"/>
    <w:rPr>
      <w:rFonts w:ascii="Times New Roman" w:eastAsia="Times New Roman" w:hAnsi="Times New Roman" w:cs="Times New Roman"/>
      <w:noProof/>
      <w:sz w:val="20"/>
      <w:szCs w:val="26"/>
      <w:lang w:eastAsia="he-IL"/>
    </w:rPr>
  </w:style>
  <w:style w:type="character" w:styleId="a5">
    <w:name w:val="annotation reference"/>
    <w:basedOn w:val="a0"/>
    <w:uiPriority w:val="99"/>
    <w:semiHidden/>
    <w:unhideWhenUsed/>
    <w:rsid w:val="00960BC6"/>
    <w:rPr>
      <w:sz w:val="16"/>
      <w:szCs w:val="16"/>
    </w:rPr>
  </w:style>
  <w:style w:type="paragraph" w:styleId="a6">
    <w:name w:val="annotation text"/>
    <w:basedOn w:val="a"/>
    <w:link w:val="a7"/>
    <w:uiPriority w:val="99"/>
    <w:semiHidden/>
    <w:unhideWhenUsed/>
    <w:rsid w:val="00960BC6"/>
    <w:pPr>
      <w:spacing w:line="240" w:lineRule="auto"/>
    </w:pPr>
    <w:rPr>
      <w:sz w:val="20"/>
      <w:szCs w:val="20"/>
    </w:rPr>
  </w:style>
  <w:style w:type="character" w:customStyle="1" w:styleId="a7">
    <w:name w:val="טקסט הערה תו"/>
    <w:basedOn w:val="a0"/>
    <w:link w:val="a6"/>
    <w:uiPriority w:val="99"/>
    <w:semiHidden/>
    <w:rsid w:val="00960BC6"/>
    <w:rPr>
      <w:sz w:val="20"/>
      <w:szCs w:val="20"/>
    </w:rPr>
  </w:style>
  <w:style w:type="paragraph" w:styleId="a8">
    <w:name w:val="annotation subject"/>
    <w:basedOn w:val="a6"/>
    <w:next w:val="a6"/>
    <w:link w:val="a9"/>
    <w:uiPriority w:val="99"/>
    <w:semiHidden/>
    <w:unhideWhenUsed/>
    <w:rsid w:val="00960BC6"/>
    <w:rPr>
      <w:b/>
      <w:bCs/>
    </w:rPr>
  </w:style>
  <w:style w:type="character" w:customStyle="1" w:styleId="a9">
    <w:name w:val="נושא הערה תו"/>
    <w:basedOn w:val="a7"/>
    <w:link w:val="a8"/>
    <w:uiPriority w:val="99"/>
    <w:semiHidden/>
    <w:rsid w:val="00960BC6"/>
    <w:rPr>
      <w:b/>
      <w:bCs/>
      <w:sz w:val="20"/>
      <w:szCs w:val="20"/>
    </w:rPr>
  </w:style>
  <w:style w:type="paragraph" w:styleId="aa">
    <w:name w:val="footnote text"/>
    <w:basedOn w:val="a"/>
    <w:link w:val="ab"/>
    <w:uiPriority w:val="99"/>
    <w:unhideWhenUsed/>
    <w:rsid w:val="00723FE5"/>
    <w:pPr>
      <w:spacing w:after="0" w:line="240" w:lineRule="auto"/>
    </w:pPr>
    <w:rPr>
      <w:sz w:val="20"/>
      <w:szCs w:val="20"/>
    </w:rPr>
  </w:style>
  <w:style w:type="character" w:customStyle="1" w:styleId="ab">
    <w:name w:val="טקסט הערת שוליים תו"/>
    <w:basedOn w:val="a0"/>
    <w:link w:val="aa"/>
    <w:uiPriority w:val="99"/>
    <w:rsid w:val="00723FE5"/>
    <w:rPr>
      <w:sz w:val="20"/>
      <w:szCs w:val="20"/>
    </w:rPr>
  </w:style>
  <w:style w:type="character" w:styleId="ac">
    <w:name w:val="footnote reference"/>
    <w:basedOn w:val="a0"/>
    <w:uiPriority w:val="99"/>
    <w:semiHidden/>
    <w:unhideWhenUsed/>
    <w:rsid w:val="00723FE5"/>
    <w:rPr>
      <w:vertAlign w:val="superscript"/>
    </w:rPr>
  </w:style>
  <w:style w:type="paragraph" w:styleId="ad">
    <w:name w:val="Balloon Text"/>
    <w:basedOn w:val="a"/>
    <w:link w:val="ae"/>
    <w:uiPriority w:val="99"/>
    <w:semiHidden/>
    <w:unhideWhenUsed/>
    <w:rsid w:val="00904ED4"/>
    <w:pPr>
      <w:spacing w:after="0" w:line="240" w:lineRule="auto"/>
    </w:pPr>
    <w:rPr>
      <w:rFonts w:ascii="Tahoma" w:hAnsi="Tahoma" w:cs="Tahoma"/>
      <w:sz w:val="18"/>
      <w:szCs w:val="18"/>
    </w:rPr>
  </w:style>
  <w:style w:type="character" w:customStyle="1" w:styleId="ae">
    <w:name w:val="טקסט בלונים תו"/>
    <w:basedOn w:val="a0"/>
    <w:link w:val="ad"/>
    <w:uiPriority w:val="99"/>
    <w:semiHidden/>
    <w:rsid w:val="00904ED4"/>
    <w:rPr>
      <w:rFonts w:ascii="Tahoma" w:hAnsi="Tahoma" w:cs="Tahoma"/>
      <w:sz w:val="18"/>
      <w:szCs w:val="18"/>
    </w:rPr>
  </w:style>
  <w:style w:type="paragraph" w:styleId="af">
    <w:name w:val="header"/>
    <w:basedOn w:val="a"/>
    <w:link w:val="af0"/>
    <w:uiPriority w:val="99"/>
    <w:unhideWhenUsed/>
    <w:rsid w:val="00B541D9"/>
    <w:pPr>
      <w:tabs>
        <w:tab w:val="center" w:pos="4153"/>
        <w:tab w:val="right" w:pos="8306"/>
      </w:tabs>
      <w:spacing w:after="0" w:line="240" w:lineRule="auto"/>
    </w:pPr>
  </w:style>
  <w:style w:type="character" w:customStyle="1" w:styleId="af0">
    <w:name w:val="כותרת עליונה תו"/>
    <w:basedOn w:val="a0"/>
    <w:link w:val="af"/>
    <w:uiPriority w:val="99"/>
    <w:rsid w:val="00B541D9"/>
  </w:style>
  <w:style w:type="paragraph" w:styleId="af1">
    <w:name w:val="footer"/>
    <w:basedOn w:val="a"/>
    <w:link w:val="af2"/>
    <w:uiPriority w:val="99"/>
    <w:unhideWhenUsed/>
    <w:rsid w:val="00B541D9"/>
    <w:pPr>
      <w:tabs>
        <w:tab w:val="center" w:pos="4153"/>
        <w:tab w:val="right" w:pos="8306"/>
      </w:tabs>
      <w:spacing w:after="0" w:line="240" w:lineRule="auto"/>
    </w:pPr>
  </w:style>
  <w:style w:type="character" w:customStyle="1" w:styleId="af2">
    <w:name w:val="כותרת תחתונה תו"/>
    <w:basedOn w:val="a0"/>
    <w:link w:val="af1"/>
    <w:uiPriority w:val="99"/>
    <w:rsid w:val="00B541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מסמך" ma:contentTypeID="0x010100B856E9E2AEA0894D88E3332703BC2B79" ma:contentTypeVersion="" ma:contentTypeDescription="צור מסמך חדש." ma:contentTypeScope="" ma:versionID="428efa48b709f9decf7cbba9093f6e52">
  <xsd:schema xmlns:xsd="http://www.w3.org/2001/XMLSchema" xmlns:xs="http://www.w3.org/2001/XMLSchema" xmlns:p="http://schemas.microsoft.com/office/2006/metadata/properties" xmlns:ns2="290d5b49-c690-4c6f-bbb9-1e50dab33eee" targetNamespace="http://schemas.microsoft.com/office/2006/metadata/properties" ma:root="true" ma:fieldsID="a6db6e33f8462d87724f237088727803" ns2:_="">
    <xsd:import namespace="290d5b49-c690-4c6f-bbb9-1e50dab33ee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d5b49-c690-4c6f-bbb9-1e50dab33eee" elementFormDefault="qualified">
    <xsd:import namespace="http://schemas.microsoft.com/office/2006/documentManagement/types"/>
    <xsd:import namespace="http://schemas.microsoft.com/office/infopath/2007/PartnerControls"/>
    <xsd:element name="SharedWithUsers" ma:index="8"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7E78BD-782A-44AF-9744-A36487FB31C2}">
  <ds:schemaRefs>
    <ds:schemaRef ds:uri="http://schemas.openxmlformats.org/officeDocument/2006/bibliography"/>
  </ds:schemaRefs>
</ds:datastoreItem>
</file>

<file path=customXml/itemProps2.xml><?xml version="1.0" encoding="utf-8"?>
<ds:datastoreItem xmlns:ds="http://schemas.openxmlformats.org/officeDocument/2006/customXml" ds:itemID="{1AD70DC2-3245-4B50-AA6B-ABEB423D57EE}"/>
</file>

<file path=customXml/itemProps3.xml><?xml version="1.0" encoding="utf-8"?>
<ds:datastoreItem xmlns:ds="http://schemas.openxmlformats.org/officeDocument/2006/customXml" ds:itemID="{2490E7F5-FF0E-48EF-A334-A8E3D222EC9F}"/>
</file>

<file path=customXml/itemProps4.xml><?xml version="1.0" encoding="utf-8"?>
<ds:datastoreItem xmlns:ds="http://schemas.openxmlformats.org/officeDocument/2006/customXml" ds:itemID="{C886099A-5191-4815-A33B-6E5AD5DF7924}"/>
</file>

<file path=docProps/app.xml><?xml version="1.0" encoding="utf-8"?>
<Properties xmlns="http://schemas.openxmlformats.org/officeDocument/2006/extended-properties" xmlns:vt="http://schemas.openxmlformats.org/officeDocument/2006/docPropsVTypes">
  <Template>Normal</Template>
  <TotalTime>4</TotalTime>
  <Pages>4</Pages>
  <Words>1166</Words>
  <Characters>5832</Characters>
  <Application>Microsoft Office Word</Application>
  <DocSecurity>0</DocSecurity>
  <Lines>48</Lines>
  <Paragraphs>13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6985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שני ברוך עזארי</dc:creator>
  <cp:keywords/>
  <dc:description/>
  <cp:lastModifiedBy>יעל כץ</cp:lastModifiedBy>
  <cp:revision>2</cp:revision>
  <cp:lastPrinted>2026-06-18T09:14:00Z</cp:lastPrinted>
  <dcterms:created xsi:type="dcterms:W3CDTF">2026-06-21T08:09:00Z</dcterms:created>
  <dcterms:modified xsi:type="dcterms:W3CDTF">2026-06-21T08:09:00Z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0x010100B856E9E2AEA0894D88E3332703BC2B79</vt:lpwstr>
  </property>
  <property fmtid="{D5CDD505-2E9C-101B-9397-08002B2CF9AE}" pid="3" name="SanhedrinDocumentType">
    <vt:r8>88</vt:r8>
  </property>
  <property fmtid="{D5CDD505-2E9C-101B-9397-08002B2CF9AE}" pid="4" name="SanhedrinItemID">
    <vt:r8>2244239</vt:r8>
  </property>
</Properties>
</file>