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14682" w14:textId="6023D18F" w:rsidR="003A302E" w:rsidRPr="003A302E" w:rsidRDefault="003A302E" w:rsidP="003A302E">
      <w:pPr>
        <w:jc w:val="right"/>
        <w:rPr>
          <w:rFonts w:ascii="David" w:hAnsi="David" w:cs="David"/>
          <w:rtl/>
        </w:rPr>
      </w:pPr>
      <w:r w:rsidRPr="003A302E">
        <w:rPr>
          <w:rFonts w:ascii="David" w:hAnsi="David" w:cs="David" w:hint="cs"/>
          <w:rtl/>
        </w:rPr>
        <w:t>פברואר 2026</w:t>
      </w:r>
    </w:p>
    <w:p w14:paraId="6A7A4608" w14:textId="64919E42" w:rsidR="00B80DD8" w:rsidRPr="003A302E" w:rsidRDefault="003A302E" w:rsidP="003A302E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3A302E">
        <w:rPr>
          <w:rFonts w:ascii="David" w:hAnsi="David" w:cs="David"/>
          <w:b/>
          <w:bCs/>
          <w:sz w:val="28"/>
          <w:szCs w:val="28"/>
          <w:rtl/>
        </w:rPr>
        <w:t>שילוב מורים ומורות מהחברה הערבית בחינוך העברי</w:t>
      </w:r>
    </w:p>
    <w:p w14:paraId="4E099E74" w14:textId="0B214043" w:rsidR="003A302E" w:rsidRDefault="003A302E" w:rsidP="003A302E">
      <w:pPr>
        <w:jc w:val="center"/>
        <w:rPr>
          <w:rFonts w:ascii="David" w:hAnsi="David" w:cs="David"/>
          <w:b/>
          <w:bCs/>
          <w:rtl/>
        </w:rPr>
      </w:pPr>
      <w:bookmarkStart w:id="0" w:name="_GoBack"/>
      <w:bookmarkEnd w:id="0"/>
      <w:r w:rsidRPr="003A302E">
        <w:rPr>
          <w:rFonts w:ascii="David" w:hAnsi="David" w:cs="David"/>
          <w:b/>
          <w:bCs/>
          <w:rtl/>
        </w:rPr>
        <w:t>נייר עמדה מטעם עמותת יוזמות אברהם</w:t>
      </w:r>
    </w:p>
    <w:p w14:paraId="6E12C752" w14:textId="77777777" w:rsidR="003A302E" w:rsidRDefault="003A302E" w:rsidP="003A302E">
      <w:pPr>
        <w:jc w:val="center"/>
        <w:rPr>
          <w:rFonts w:ascii="David" w:hAnsi="David" w:cs="David"/>
          <w:b/>
          <w:bCs/>
          <w:rtl/>
        </w:rPr>
      </w:pPr>
    </w:p>
    <w:p w14:paraId="2FD44A82" w14:textId="201B912B" w:rsidR="003A302E" w:rsidRDefault="003A302E" w:rsidP="00E455CE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מזה שנים שמערכת החינוך העברית סובלת ממחסור במורים ובמורות. לפי </w:t>
      </w:r>
      <w:hyperlink r:id="rId6" w:history="1">
        <w:r w:rsidRPr="003A302E">
          <w:rPr>
            <w:rStyle w:val="Hyperlink"/>
            <w:rFonts w:ascii="David" w:hAnsi="David" w:cs="David" w:hint="cs"/>
            <w:rtl/>
          </w:rPr>
          <w:t>פרסום ב-</w:t>
        </w:r>
        <w:r w:rsidRPr="003A302E">
          <w:rPr>
            <w:rStyle w:val="Hyperlink"/>
            <w:rFonts w:ascii="David" w:hAnsi="David" w:cs="David"/>
          </w:rPr>
          <w:t>Ynet</w:t>
        </w:r>
        <w:r w:rsidRPr="003A302E">
          <w:rPr>
            <w:rStyle w:val="Hyperlink"/>
            <w:rFonts w:ascii="David" w:hAnsi="David" w:cs="David" w:hint="cs"/>
            <w:rtl/>
          </w:rPr>
          <w:t xml:space="preserve"> מינואר 2026</w:t>
        </w:r>
      </w:hyperlink>
      <w:r>
        <w:rPr>
          <w:rFonts w:ascii="David" w:hAnsi="David" w:cs="David" w:hint="cs"/>
          <w:rtl/>
        </w:rPr>
        <w:t xml:space="preserve">, </w:t>
      </w:r>
      <w:r w:rsidR="00E455CE">
        <w:rPr>
          <w:rFonts w:ascii="David" w:hAnsi="David" w:cs="David" w:hint="cs"/>
          <w:rtl/>
        </w:rPr>
        <w:t>מדובר במגמה עקבית שהולכת ומתרחבת מדי שנה:</w:t>
      </w:r>
      <w:r w:rsidR="00E455CE" w:rsidRPr="00E455CE">
        <w:rPr>
          <w:rFonts w:ascii="David" w:hAnsi="David" w:cs="David" w:hint="cs"/>
          <w:rtl/>
        </w:rPr>
        <w:t xml:space="preserve"> </w:t>
      </w:r>
      <w:r w:rsidR="00E455CE">
        <w:rPr>
          <w:rFonts w:ascii="David" w:hAnsi="David" w:cs="David" w:hint="cs"/>
          <w:rtl/>
        </w:rPr>
        <w:t>בשנת 2023 היו 6,829 "מורים"</w:t>
      </w:r>
      <w:r w:rsidR="00E455CE" w:rsidRPr="00E455CE">
        <w:rPr>
          <w:rFonts w:ascii="David" w:hAnsi="David" w:cs="David" w:hint="cs"/>
          <w:rtl/>
        </w:rPr>
        <w:t xml:space="preserve"> </w:t>
      </w:r>
      <w:r w:rsidR="00E455CE">
        <w:rPr>
          <w:rFonts w:ascii="David" w:hAnsi="David" w:cs="David" w:hint="cs"/>
          <w:rtl/>
        </w:rPr>
        <w:t xml:space="preserve">ללא תעודת הוראה או תואר אקדמי אשר לימדו בבתי הספר העבריים; בשנת 2024  לימדו </w:t>
      </w:r>
      <w:r>
        <w:rPr>
          <w:rFonts w:ascii="David" w:hAnsi="David" w:cs="David" w:hint="cs"/>
          <w:rtl/>
        </w:rPr>
        <w:t>9,203 "מורים" מוחרגים כאלה</w:t>
      </w:r>
      <w:r w:rsidR="00E455CE">
        <w:rPr>
          <w:rFonts w:ascii="David" w:hAnsi="David" w:cs="David" w:hint="cs"/>
          <w:rtl/>
        </w:rPr>
        <w:t xml:space="preserve"> ובשנת 2025 מספרם גדל לכדי 14,283. </w:t>
      </w:r>
    </w:p>
    <w:p w14:paraId="09302193" w14:textId="051D820A" w:rsidR="007B107C" w:rsidRDefault="003A302E" w:rsidP="00645562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על המחסור במורים בחינוך העברי משלמים התלמידים והתלמידות</w:t>
      </w:r>
      <w:r w:rsidR="007B107C">
        <w:rPr>
          <w:rFonts w:ascii="David" w:hAnsi="David" w:cs="David" w:hint="cs"/>
          <w:rtl/>
        </w:rPr>
        <w:t xml:space="preserve"> אשר </w:t>
      </w:r>
      <w:r w:rsidR="00633CB0">
        <w:rPr>
          <w:rFonts w:ascii="David" w:hAnsi="David" w:cs="David" w:hint="cs"/>
          <w:rtl/>
        </w:rPr>
        <w:t>סובלים מ</w:t>
      </w:r>
      <w:r w:rsidR="007B107C">
        <w:rPr>
          <w:rFonts w:ascii="David" w:hAnsi="David" w:cs="David" w:hint="cs"/>
          <w:rtl/>
        </w:rPr>
        <w:t>ביטול שיעורים, סגירת מגמות ולימוד חומר לימודי על-ידי מורים שלא הוכשרו לכך.</w:t>
      </w:r>
      <w:r w:rsidR="00645562">
        <w:rPr>
          <w:rFonts w:ascii="David" w:hAnsi="David" w:cs="David" w:hint="cs"/>
          <w:rtl/>
        </w:rPr>
        <w:t xml:space="preserve"> </w:t>
      </w:r>
      <w:r w:rsidR="00A90C43">
        <w:rPr>
          <w:rFonts w:ascii="David" w:hAnsi="David" w:cs="David" w:hint="cs"/>
          <w:rtl/>
        </w:rPr>
        <w:t>נוסף למחירים הללו, המחסור במורים ובמורות גובה מחיר כלכלי. לפי נתוני משרד החינוך שפורסמו ב-</w:t>
      </w:r>
      <w:r w:rsidR="00A90C43">
        <w:rPr>
          <w:rFonts w:ascii="David" w:hAnsi="David" w:cs="David"/>
        </w:rPr>
        <w:t>Ynet</w:t>
      </w:r>
      <w:r w:rsidR="00A90C43">
        <w:rPr>
          <w:rFonts w:ascii="David" w:hAnsi="David" w:cs="David" w:hint="cs"/>
          <w:rtl/>
        </w:rPr>
        <w:t xml:space="preserve">, </w:t>
      </w:r>
      <w:r w:rsidR="00645562">
        <w:rPr>
          <w:rFonts w:ascii="David" w:hAnsi="David" w:cs="David" w:hint="cs"/>
          <w:rtl/>
        </w:rPr>
        <w:t xml:space="preserve">עלות </w:t>
      </w:r>
      <w:r w:rsidR="00A90C43">
        <w:rPr>
          <w:rFonts w:ascii="David" w:hAnsi="David" w:cs="David" w:hint="cs"/>
          <w:rtl/>
        </w:rPr>
        <w:t xml:space="preserve">מילוי מקום </w:t>
      </w:r>
      <w:r w:rsidR="00645562">
        <w:rPr>
          <w:rFonts w:ascii="David" w:hAnsi="David" w:cs="David" w:hint="cs"/>
          <w:rtl/>
        </w:rPr>
        <w:t>עמדה בשנת 2024 על</w:t>
      </w:r>
      <w:r w:rsidR="00A90C43">
        <w:rPr>
          <w:rFonts w:ascii="David" w:hAnsi="David" w:cs="David" w:hint="cs"/>
          <w:rtl/>
        </w:rPr>
        <w:t xml:space="preserve"> 540 מיליון ש"ח, עלייה אדירה מ-240 מיליון ש"ח בשנת 2019.</w:t>
      </w:r>
    </w:p>
    <w:p w14:paraId="4F9B3E80" w14:textId="6280F6BE" w:rsidR="009E0731" w:rsidRDefault="0006702E" w:rsidP="00FC44B0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במקביל למצוקה בחינוך העברי, בחינוך הערבי ישנו דווקא עודף במורים ובמורות ללא תקן. </w:t>
      </w:r>
      <w:hyperlink r:id="rId7" w:history="1">
        <w:r w:rsidR="00CE61FB" w:rsidRPr="00CE61FB">
          <w:rPr>
            <w:rStyle w:val="Hyperlink"/>
            <w:rFonts w:ascii="David" w:hAnsi="David" w:cs="David" w:hint="cs"/>
            <w:rtl/>
          </w:rPr>
          <w:t>סקירה של מרכז המחקר והמידע של הכנסת מדצמבר 2020</w:t>
        </w:r>
      </w:hyperlink>
      <w:r w:rsidR="00CE61FB">
        <w:rPr>
          <w:rFonts w:ascii="David" w:hAnsi="David" w:cs="David" w:hint="cs"/>
          <w:rtl/>
        </w:rPr>
        <w:t xml:space="preserve">, </w:t>
      </w:r>
      <w:r w:rsidR="00B52439">
        <w:rPr>
          <w:rFonts w:ascii="David" w:hAnsi="David" w:cs="David" w:hint="cs"/>
          <w:rtl/>
        </w:rPr>
        <w:t xml:space="preserve">מראה כי בחינוך הערבי, מספר המורים גדל במהלך השנים, גידול שהוביל לתחרות על כל משרה ולאלפי מורים ומורות ערבים </w:t>
      </w:r>
      <w:r w:rsidR="009E0731">
        <w:rPr>
          <w:rFonts w:ascii="David" w:hAnsi="David" w:cs="David" w:hint="cs"/>
          <w:rtl/>
        </w:rPr>
        <w:t>שנותרים ללא תעסוקה במערכת החינוך.</w:t>
      </w:r>
    </w:p>
    <w:p w14:paraId="571A5BD9" w14:textId="24C48A72" w:rsidR="00FC44B0" w:rsidRDefault="00FC44B0" w:rsidP="00FC44B0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לאור ה</w:t>
      </w:r>
      <w:r w:rsidR="006803AC">
        <w:rPr>
          <w:rFonts w:ascii="David" w:hAnsi="David" w:cs="David" w:hint="cs"/>
          <w:rtl/>
        </w:rPr>
        <w:t xml:space="preserve">צרכים המשלימים, </w:t>
      </w:r>
      <w:r>
        <w:rPr>
          <w:rFonts w:ascii="David" w:hAnsi="David" w:cs="David" w:hint="cs"/>
          <w:rtl/>
        </w:rPr>
        <w:t>מזה שנים שמור</w:t>
      </w:r>
      <w:r w:rsidR="006803AC">
        <w:rPr>
          <w:rFonts w:ascii="David" w:hAnsi="David" w:cs="David" w:hint="cs"/>
          <w:rtl/>
        </w:rPr>
        <w:t>ות ערביות</w:t>
      </w:r>
      <w:r>
        <w:rPr>
          <w:rFonts w:ascii="David" w:hAnsi="David" w:cs="David" w:hint="cs"/>
          <w:rtl/>
        </w:rPr>
        <w:t xml:space="preserve"> משולב</w:t>
      </w:r>
      <w:r w:rsidR="006803AC">
        <w:rPr>
          <w:rFonts w:ascii="David" w:hAnsi="David" w:cs="David" w:hint="cs"/>
          <w:rtl/>
        </w:rPr>
        <w:t>ות</w:t>
      </w:r>
      <w:r>
        <w:rPr>
          <w:rFonts w:ascii="David" w:hAnsi="David" w:cs="David" w:hint="cs"/>
          <w:rtl/>
        </w:rPr>
        <w:t xml:space="preserve"> בבתי </w:t>
      </w:r>
      <w:r w:rsidR="00EC2367">
        <w:rPr>
          <w:rFonts w:ascii="David" w:hAnsi="David" w:cs="David" w:hint="cs"/>
          <w:rtl/>
        </w:rPr>
        <w:t>ה</w:t>
      </w:r>
      <w:r>
        <w:rPr>
          <w:rFonts w:ascii="David" w:hAnsi="David" w:cs="David" w:hint="cs"/>
          <w:rtl/>
        </w:rPr>
        <w:t xml:space="preserve">ספר </w:t>
      </w:r>
      <w:r w:rsidR="00EC2367">
        <w:rPr>
          <w:rFonts w:ascii="David" w:hAnsi="David" w:cs="David" w:hint="cs"/>
          <w:rtl/>
        </w:rPr>
        <w:t>העבריי</w:t>
      </w:r>
      <w:r w:rsidR="00E805E0">
        <w:rPr>
          <w:rFonts w:ascii="David" w:hAnsi="David" w:cs="David" w:hint="cs"/>
          <w:rtl/>
        </w:rPr>
        <w:t xml:space="preserve">ם, בפרט בהוראת מקצוע הערבית אך לא רק. </w:t>
      </w:r>
    </w:p>
    <w:p w14:paraId="4F3C1A7E" w14:textId="29D2C27B" w:rsidR="00BB5E2C" w:rsidRDefault="001B6954" w:rsidP="00FC44B0">
      <w:pPr>
        <w:spacing w:line="360" w:lineRule="auto"/>
        <w:jc w:val="both"/>
        <w:rPr>
          <w:rFonts w:ascii="David" w:hAnsi="David" w:cs="David"/>
          <w:rtl/>
        </w:rPr>
      </w:pPr>
      <w:hyperlink r:id="rId8" w:history="1">
        <w:r w:rsidR="001D57F6">
          <w:rPr>
            <w:rStyle w:val="Hyperlink"/>
            <w:rFonts w:ascii="David" w:hAnsi="David" w:cs="David" w:hint="cs"/>
            <w:rtl/>
          </w:rPr>
          <w:t>פרסום של</w:t>
        </w:r>
        <w:r w:rsidR="00BB5E2C" w:rsidRPr="007264BA">
          <w:rPr>
            <w:rStyle w:val="Hyperlink"/>
            <w:rFonts w:ascii="David" w:hAnsi="David" w:cs="David" w:hint="cs"/>
            <w:rtl/>
          </w:rPr>
          <w:t xml:space="preserve"> מכון</w:t>
        </w:r>
        <w:r w:rsidR="00EE4362" w:rsidRPr="007264BA">
          <w:rPr>
            <w:rStyle w:val="Hyperlink"/>
            <w:rFonts w:ascii="David" w:hAnsi="David" w:cs="David" w:hint="cs"/>
            <w:rtl/>
          </w:rPr>
          <w:t xml:space="preserve"> מרחבים</w:t>
        </w:r>
      </w:hyperlink>
      <w:r w:rsidR="00EE4362">
        <w:rPr>
          <w:rFonts w:ascii="David" w:hAnsi="David" w:cs="David" w:hint="cs"/>
          <w:rtl/>
        </w:rPr>
        <w:t xml:space="preserve"> העוסק בשילוב של מורים ערבים ב</w:t>
      </w:r>
      <w:r w:rsidR="007264BA">
        <w:rPr>
          <w:rFonts w:ascii="David" w:hAnsi="David" w:cs="David" w:hint="cs"/>
          <w:rtl/>
        </w:rPr>
        <w:t>חינוך העברי</w:t>
      </w:r>
      <w:r w:rsidR="00BC4AFA">
        <w:rPr>
          <w:rFonts w:ascii="David" w:hAnsi="David" w:cs="David" w:hint="cs"/>
          <w:rtl/>
        </w:rPr>
        <w:t xml:space="preserve">, </w:t>
      </w:r>
      <w:r w:rsidR="00177BBC">
        <w:rPr>
          <w:rFonts w:ascii="David" w:hAnsi="David" w:cs="David" w:hint="cs"/>
          <w:rtl/>
        </w:rPr>
        <w:t>מ</w:t>
      </w:r>
      <w:r w:rsidR="001D57F6">
        <w:rPr>
          <w:rFonts w:ascii="David" w:hAnsi="David" w:cs="David" w:hint="cs"/>
          <w:rtl/>
        </w:rPr>
        <w:t xml:space="preserve">ציין כי </w:t>
      </w:r>
      <w:r w:rsidR="00872F31">
        <w:rPr>
          <w:rFonts w:ascii="David" w:hAnsi="David" w:cs="David" w:hint="cs"/>
          <w:rtl/>
        </w:rPr>
        <w:t>רובן המכריע של מורות ערביות משתלבות בהצלחה מקצועית גבוהה, וכן חברתית, בבתי הספר העבריים.</w:t>
      </w:r>
    </w:p>
    <w:p w14:paraId="009B202D" w14:textId="375D9E1F" w:rsidR="00177BBC" w:rsidRDefault="00C4545F" w:rsidP="0073690B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נוסף למענה על מצוקת המחסור במורים בחברה העברית, </w:t>
      </w:r>
      <w:r w:rsidR="00CA3D0B">
        <w:rPr>
          <w:rFonts w:ascii="David" w:hAnsi="David" w:cs="David" w:hint="cs"/>
          <w:rtl/>
        </w:rPr>
        <w:t>השילוב של מורים ומורות ערבים בבתי הספר העבריים</w:t>
      </w:r>
      <w:r w:rsidR="00C044EE">
        <w:rPr>
          <w:rFonts w:ascii="David" w:hAnsi="David" w:cs="David" w:hint="cs"/>
          <w:rtl/>
        </w:rPr>
        <w:t xml:space="preserve"> </w:t>
      </w:r>
      <w:r w:rsidR="006B472A">
        <w:rPr>
          <w:rFonts w:ascii="David" w:hAnsi="David" w:cs="David" w:hint="cs"/>
          <w:rtl/>
        </w:rPr>
        <w:t>תורם גם לשינוי תודעתי ולצמצום גזענות בקרב החברה היהודית</w:t>
      </w:r>
      <w:r w:rsidR="002435E3">
        <w:rPr>
          <w:rFonts w:ascii="David" w:hAnsi="David" w:cs="David" w:hint="cs"/>
          <w:rtl/>
        </w:rPr>
        <w:t>, כאשר תלמידים יהודים מתנסים בהיכרות משמעותית עם נשות חינוך ערביות</w:t>
      </w:r>
      <w:r w:rsidR="005B5862">
        <w:rPr>
          <w:rFonts w:ascii="David" w:hAnsi="David" w:cs="David" w:hint="cs"/>
          <w:rtl/>
        </w:rPr>
        <w:t xml:space="preserve">. </w:t>
      </w:r>
      <w:r w:rsidR="005D30D1">
        <w:rPr>
          <w:rFonts w:ascii="David" w:hAnsi="David" w:cs="David" w:hint="cs"/>
          <w:rtl/>
        </w:rPr>
        <w:t xml:space="preserve">בתקופה של הקצנה בעמדות וברגשות השליליים </w:t>
      </w:r>
      <w:r w:rsidR="00FD1727">
        <w:rPr>
          <w:rFonts w:ascii="David" w:hAnsi="David" w:cs="David" w:hint="cs"/>
          <w:rtl/>
        </w:rPr>
        <w:t xml:space="preserve">כלפי החברה הערבית, כמו התקופה הנוכחית, </w:t>
      </w:r>
      <w:r w:rsidR="00A943E5">
        <w:rPr>
          <w:rFonts w:ascii="David" w:hAnsi="David" w:cs="David" w:hint="cs"/>
          <w:rtl/>
        </w:rPr>
        <w:t>פעולות שמ</w:t>
      </w:r>
      <w:r w:rsidR="0031748B">
        <w:rPr>
          <w:rFonts w:ascii="David" w:hAnsi="David" w:cs="David" w:hint="cs"/>
          <w:rtl/>
        </w:rPr>
        <w:t>קדמות היכר</w:t>
      </w:r>
      <w:r w:rsidR="006069AB">
        <w:rPr>
          <w:rFonts w:ascii="David" w:hAnsi="David" w:cs="David" w:hint="cs"/>
          <w:rtl/>
        </w:rPr>
        <w:t>ות ושילוב</w:t>
      </w:r>
      <w:r w:rsidR="0073690B">
        <w:rPr>
          <w:rFonts w:ascii="David" w:hAnsi="David" w:cs="David" w:hint="cs"/>
          <w:rtl/>
        </w:rPr>
        <w:t>, הינן חשובות במיוחד.</w:t>
      </w:r>
      <w:r w:rsidR="005D30D1">
        <w:rPr>
          <w:rFonts w:ascii="David" w:hAnsi="David" w:cs="David" w:hint="cs"/>
          <w:rtl/>
        </w:rPr>
        <w:t xml:space="preserve"> </w:t>
      </w:r>
    </w:p>
    <w:p w14:paraId="2FCD5CED" w14:textId="38B3B116" w:rsidR="00CF480C" w:rsidRDefault="00CF480C" w:rsidP="0073690B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דוגמא למערכת שאינה מגבילה תעסוקה של אנשי מקצוע לפי לאום היא מערכת הבריאות, שבה אנשי ונשות מקצוע, יהודים וערבים, </w:t>
      </w:r>
      <w:r w:rsidR="00070003">
        <w:rPr>
          <w:rFonts w:ascii="David" w:hAnsi="David" w:cs="David" w:hint="cs"/>
          <w:rtl/>
        </w:rPr>
        <w:t>עובדים במוסדות הבריאות אלה לצד אלה</w:t>
      </w:r>
      <w:r w:rsidR="00785A8D">
        <w:rPr>
          <w:rFonts w:ascii="David" w:hAnsi="David" w:cs="David" w:hint="cs"/>
          <w:rtl/>
        </w:rPr>
        <w:t xml:space="preserve"> במגוון תפקידים</w:t>
      </w:r>
      <w:r w:rsidR="00070003">
        <w:rPr>
          <w:rFonts w:ascii="David" w:hAnsi="David" w:cs="David" w:hint="cs"/>
          <w:rtl/>
        </w:rPr>
        <w:t xml:space="preserve">. </w:t>
      </w:r>
      <w:r w:rsidR="00AE7A45">
        <w:rPr>
          <w:rFonts w:ascii="David" w:hAnsi="David" w:cs="David" w:hint="cs"/>
          <w:rtl/>
        </w:rPr>
        <w:t>משבר המורים בחינוך העברי יכול להוות הזדמנות ל</w:t>
      </w:r>
      <w:r w:rsidR="00064008">
        <w:rPr>
          <w:rFonts w:ascii="David" w:hAnsi="David" w:cs="David" w:hint="cs"/>
          <w:rtl/>
        </w:rPr>
        <w:t xml:space="preserve">למוד ממערכת הבריאות </w:t>
      </w:r>
      <w:r w:rsidR="006E3660">
        <w:rPr>
          <w:rFonts w:ascii="David" w:hAnsi="David" w:cs="David" w:hint="cs"/>
          <w:rtl/>
        </w:rPr>
        <w:t xml:space="preserve">וליישם שילוב </w:t>
      </w:r>
      <w:r w:rsidR="00444D6E">
        <w:rPr>
          <w:rFonts w:ascii="David" w:hAnsi="David" w:cs="David" w:hint="cs"/>
          <w:rtl/>
        </w:rPr>
        <w:t xml:space="preserve">של נשות חינוך </w:t>
      </w:r>
      <w:r w:rsidR="002D20E8">
        <w:rPr>
          <w:rFonts w:ascii="David" w:hAnsi="David" w:cs="David" w:hint="cs"/>
          <w:rtl/>
        </w:rPr>
        <w:t>בבתי הספר העבריים</w:t>
      </w:r>
      <w:r w:rsidR="00A424FF">
        <w:rPr>
          <w:rFonts w:ascii="David" w:hAnsi="David" w:cs="David" w:hint="cs"/>
          <w:rtl/>
        </w:rPr>
        <w:t xml:space="preserve"> במנעד רחב של מקצועות לימוד. </w:t>
      </w:r>
    </w:p>
    <w:p w14:paraId="04727F35" w14:textId="32890D90" w:rsidR="003A302E" w:rsidRPr="003A302E" w:rsidRDefault="005E58F1" w:rsidP="002D3819">
      <w:pPr>
        <w:spacing w:line="36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שילוב מורים ערבים בבתי הספר העבריים כבר הוכח כמסייע אל מול המחסור הקיים במורים איכותיים בחינוך העברי</w:t>
      </w:r>
      <w:r w:rsidR="006A3B86">
        <w:rPr>
          <w:rFonts w:ascii="David" w:hAnsi="David" w:cs="David" w:hint="cs"/>
          <w:rtl/>
        </w:rPr>
        <w:t xml:space="preserve">, ומהווה פיתרון </w:t>
      </w:r>
      <w:r w:rsidR="008C78C5">
        <w:rPr>
          <w:rFonts w:ascii="David" w:hAnsi="David" w:cs="David" w:hint="cs"/>
          <w:rtl/>
        </w:rPr>
        <w:t xml:space="preserve">נחוץ למורים ולמורות מצוינים מהחברה הערבית שאינם משובצים בתפקידי הוראה בחינוך הערבי. </w:t>
      </w:r>
      <w:r w:rsidR="007C5364">
        <w:rPr>
          <w:rFonts w:ascii="David" w:hAnsi="David" w:cs="David" w:hint="cs"/>
          <w:rtl/>
        </w:rPr>
        <w:t xml:space="preserve">יתרונות אלה, לצד </w:t>
      </w:r>
      <w:r w:rsidR="002A267C">
        <w:rPr>
          <w:rFonts w:ascii="David" w:hAnsi="David" w:cs="David" w:hint="cs"/>
          <w:rtl/>
        </w:rPr>
        <w:t>העמקת ההיכרות של תלמידים יהודים עם החברה הערבית, הופכים את השילוב של מורים ערבים</w:t>
      </w:r>
      <w:r w:rsidR="007149E7">
        <w:rPr>
          <w:rFonts w:ascii="David" w:hAnsi="David" w:cs="David" w:hint="cs"/>
          <w:rtl/>
        </w:rPr>
        <w:t xml:space="preserve"> במוסדות חינוך עבריים</w:t>
      </w:r>
      <w:r w:rsidR="002A267C">
        <w:rPr>
          <w:rFonts w:ascii="David" w:hAnsi="David" w:cs="David" w:hint="cs"/>
          <w:rtl/>
        </w:rPr>
        <w:t xml:space="preserve"> </w:t>
      </w:r>
      <w:r w:rsidR="009B5AEE">
        <w:rPr>
          <w:rFonts w:ascii="David" w:hAnsi="David" w:cs="David" w:hint="cs"/>
          <w:rtl/>
        </w:rPr>
        <w:t>לצו השעה.</w:t>
      </w:r>
    </w:p>
    <w:sectPr w:rsidR="003A302E" w:rsidRPr="003A302E" w:rsidSect="00B80DD8">
      <w:head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4E3AB" w14:textId="77777777" w:rsidR="001B6954" w:rsidRDefault="001B6954" w:rsidP="00AB619C">
      <w:pPr>
        <w:spacing w:after="0" w:line="240" w:lineRule="auto"/>
      </w:pPr>
      <w:r>
        <w:separator/>
      </w:r>
    </w:p>
  </w:endnote>
  <w:endnote w:type="continuationSeparator" w:id="0">
    <w:p w14:paraId="752E2698" w14:textId="77777777" w:rsidR="001B6954" w:rsidRDefault="001B6954" w:rsidP="00AB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467C8" w14:textId="77777777" w:rsidR="001B6954" w:rsidRDefault="001B6954" w:rsidP="00AB619C">
      <w:pPr>
        <w:spacing w:after="0" w:line="240" w:lineRule="auto"/>
      </w:pPr>
      <w:r>
        <w:separator/>
      </w:r>
    </w:p>
  </w:footnote>
  <w:footnote w:type="continuationSeparator" w:id="0">
    <w:p w14:paraId="44C040D4" w14:textId="77777777" w:rsidR="001B6954" w:rsidRDefault="001B6954" w:rsidP="00AB6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B61CD" w14:textId="0166E84C" w:rsidR="00AB619C" w:rsidRDefault="00AB619C" w:rsidP="00AB619C">
    <w:pPr>
      <w:pStyle w:val="ae"/>
      <w:jc w:val="center"/>
      <w:rPr>
        <w:rtl/>
      </w:rPr>
    </w:pPr>
    <w:r>
      <w:rPr>
        <w:noProof/>
      </w:rPr>
      <w:drawing>
        <wp:inline distT="0" distB="0" distL="0" distR="0" wp14:anchorId="55A8E72E" wp14:editId="4B792400">
          <wp:extent cx="1847850" cy="571500"/>
          <wp:effectExtent l="0" t="0" r="0" b="0"/>
          <wp:docPr id="7999247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F71D63" w14:textId="77777777" w:rsidR="00AB619C" w:rsidRDefault="00AB619C" w:rsidP="00AB619C">
    <w:pPr>
      <w:pStyle w:val="ae"/>
      <w:jc w:val="center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2E"/>
    <w:rsid w:val="00052303"/>
    <w:rsid w:val="00064008"/>
    <w:rsid w:val="0006702E"/>
    <w:rsid w:val="00070003"/>
    <w:rsid w:val="000E4C2F"/>
    <w:rsid w:val="00177BBC"/>
    <w:rsid w:val="001B6954"/>
    <w:rsid w:val="001D57F6"/>
    <w:rsid w:val="00233719"/>
    <w:rsid w:val="002435E3"/>
    <w:rsid w:val="002A267C"/>
    <w:rsid w:val="002D20E8"/>
    <w:rsid w:val="002D3819"/>
    <w:rsid w:val="0031748B"/>
    <w:rsid w:val="00396B4F"/>
    <w:rsid w:val="003A302E"/>
    <w:rsid w:val="004077B5"/>
    <w:rsid w:val="00444D6E"/>
    <w:rsid w:val="004E22A5"/>
    <w:rsid w:val="005B5862"/>
    <w:rsid w:val="005D30D1"/>
    <w:rsid w:val="005E58F1"/>
    <w:rsid w:val="006069AB"/>
    <w:rsid w:val="00633CB0"/>
    <w:rsid w:val="00645562"/>
    <w:rsid w:val="006803AC"/>
    <w:rsid w:val="006A3B86"/>
    <w:rsid w:val="006B472A"/>
    <w:rsid w:val="006B58B2"/>
    <w:rsid w:val="006E3660"/>
    <w:rsid w:val="007149E7"/>
    <w:rsid w:val="007264BA"/>
    <w:rsid w:val="0073690B"/>
    <w:rsid w:val="00767D34"/>
    <w:rsid w:val="00785A8D"/>
    <w:rsid w:val="007B107C"/>
    <w:rsid w:val="007C5364"/>
    <w:rsid w:val="00835D32"/>
    <w:rsid w:val="00872F31"/>
    <w:rsid w:val="008C78C5"/>
    <w:rsid w:val="008E5526"/>
    <w:rsid w:val="00935175"/>
    <w:rsid w:val="00965B35"/>
    <w:rsid w:val="009B2F64"/>
    <w:rsid w:val="009B5AEE"/>
    <w:rsid w:val="009D1820"/>
    <w:rsid w:val="009E0731"/>
    <w:rsid w:val="00A424FF"/>
    <w:rsid w:val="00A76024"/>
    <w:rsid w:val="00A90C43"/>
    <w:rsid w:val="00A943E5"/>
    <w:rsid w:val="00AB619C"/>
    <w:rsid w:val="00AE7A45"/>
    <w:rsid w:val="00B115E9"/>
    <w:rsid w:val="00B52439"/>
    <w:rsid w:val="00B76182"/>
    <w:rsid w:val="00B80DD8"/>
    <w:rsid w:val="00BB5E2C"/>
    <w:rsid w:val="00BC4AFA"/>
    <w:rsid w:val="00BE147F"/>
    <w:rsid w:val="00C044EE"/>
    <w:rsid w:val="00C451B6"/>
    <w:rsid w:val="00C4545F"/>
    <w:rsid w:val="00CA3D0B"/>
    <w:rsid w:val="00CE61FB"/>
    <w:rsid w:val="00CF480C"/>
    <w:rsid w:val="00D432F0"/>
    <w:rsid w:val="00E30CAC"/>
    <w:rsid w:val="00E455CE"/>
    <w:rsid w:val="00E635C5"/>
    <w:rsid w:val="00E805E0"/>
    <w:rsid w:val="00EC2367"/>
    <w:rsid w:val="00EE4362"/>
    <w:rsid w:val="00EF6495"/>
    <w:rsid w:val="00FC44B0"/>
    <w:rsid w:val="00F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FBA9F"/>
  <w15:chartTrackingRefBased/>
  <w15:docId w15:val="{85DF214E-0834-4CFF-AD24-6BED5BE9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A3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3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A3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A3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A30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A302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A30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A302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A30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A30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3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A3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A3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A3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0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A30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30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3A302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302E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E455CE"/>
    <w:rPr>
      <w:color w:val="96607D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AB6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AB619C"/>
  </w:style>
  <w:style w:type="paragraph" w:styleId="af0">
    <w:name w:val="footer"/>
    <w:basedOn w:val="a"/>
    <w:link w:val="af1"/>
    <w:uiPriority w:val="99"/>
    <w:unhideWhenUsed/>
    <w:rsid w:val="00AB6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AB619C"/>
  </w:style>
  <w:style w:type="paragraph" w:styleId="af2">
    <w:name w:val="Balloon Text"/>
    <w:basedOn w:val="a"/>
    <w:link w:val="af3"/>
    <w:uiPriority w:val="99"/>
    <w:semiHidden/>
    <w:unhideWhenUsed/>
    <w:rsid w:val="008E552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3">
    <w:name w:val="טקסט בלונים תו"/>
    <w:basedOn w:val="a0"/>
    <w:link w:val="af2"/>
    <w:uiPriority w:val="99"/>
    <w:semiHidden/>
    <w:rsid w:val="008E552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yda.education.gov.il/files/staj/mishtalvimivrit.pdf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fs.knesset.gov.il/globaldocs/MMM/902807d6-14a0-ea11-8106-00155d0aee38/2_902807d6-14a0-ea11-8106-00155d0aee38_11_16562.pdf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net.co.il/news/article/bywj11tchw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856E9E2AEA0894D88E3332703BC2B79" ma:contentTypeVersion="" ma:contentTypeDescription="צור מסמך חדש." ma:contentTypeScope="" ma:versionID="428efa48b709f9decf7cbba9093f6e5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E6E4EA-5BA5-4B19-A6F1-4CA6E977CB5F}"/>
</file>

<file path=customXml/itemProps2.xml><?xml version="1.0" encoding="utf-8"?>
<ds:datastoreItem xmlns:ds="http://schemas.openxmlformats.org/officeDocument/2006/customXml" ds:itemID="{8559C6BD-4747-42C6-A3E7-F53FB8AA9337}"/>
</file>

<file path=customXml/itemProps3.xml><?xml version="1.0" encoding="utf-8"?>
<ds:datastoreItem xmlns:ds="http://schemas.openxmlformats.org/officeDocument/2006/customXml" ds:itemID="{94C1AB3B-153E-4809-8235-A57DF6A07C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2106</Characters>
  <Application>Microsoft Office Word</Application>
  <DocSecurity>0</DocSecurity>
  <Lines>17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Lewin</dc:creator>
  <cp:keywords/>
  <dc:description/>
  <cp:lastModifiedBy>ענת רגב</cp:lastModifiedBy>
  <cp:revision>2</cp:revision>
  <cp:lastPrinted>2026-02-16T15:23:00Z</cp:lastPrinted>
  <dcterms:created xsi:type="dcterms:W3CDTF">2026-02-16T15:26:00Z</dcterms:created>
  <dcterms:modified xsi:type="dcterms:W3CDTF">2026-02-16T15:26:00Z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0x010100B856E9E2AEA0894D88E3332703BC2B79</vt:lpwstr>
  </property>
  <property fmtid="{D5CDD505-2E9C-101B-9397-08002B2CF9AE}" pid="3" name="SanhedrinDocumentType">
    <vt:r8>870</vt:r8>
  </property>
  <property fmtid="{D5CDD505-2E9C-101B-9397-08002B2CF9AE}" pid="4" name="SanhedrinItemID">
    <vt:r8>2240670</vt:r8>
  </property>
</Properties>
</file>