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bookmarkStart w:id="0" w:name="_GoBack"/>
      <w:r w:rsidRPr="00E635A2">
        <w:rPr>
          <w:rFonts w:hint="cs"/>
          <w:sz w:val="20"/>
          <w:szCs w:val="20"/>
          <w:rtl/>
        </w:rPr>
        <w:t xml:space="preserve">מספר פנימי: </w:t>
      </w:r>
      <w:bookmarkStart w:id="1" w:name="LGS_Internal_ID"/>
      <w:r>
        <w:rPr>
          <w:rFonts w:hint="cs"/>
          <w:sz w:val="20"/>
          <w:szCs w:val="20"/>
          <w:rtl/>
        </w:rPr>
        <w:t>2193586</w:t>
      </w:r>
      <w:bookmarkEnd w:id="1"/>
    </w:p>
    <w:bookmarkEnd w:id="0"/>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וארבע</w:t>
      </w:r>
      <w:bookmarkEnd w:id="2"/>
    </w:p>
    <w:p w14:paraId="7F6961A3" w14:textId="77777777" w:rsidR="00E13C27" w:rsidRPr="00F67051" w:rsidRDefault="00E13C27" w:rsidP="00E13C27">
      <w:pPr>
        <w:rPr>
          <w:b/>
          <w:bCs/>
          <w:sz w:val="26"/>
          <w:szCs w:val="26"/>
          <w:rtl/>
        </w:rPr>
      </w:pPr>
    </w:p>
    <w:p w14:paraId="7F6961AA" w14:textId="0E660BD6" w:rsidR="00E13C27" w:rsidRPr="00CF1AA2" w:rsidRDefault="008F6665" w:rsidP="00FF7DAB">
      <w:pPr>
        <w:pStyle w:val="David"/>
        <w:spacing w:before="102"/>
        <w:ind w:left="3544"/>
        <w:rPr>
          <w:b/>
          <w:bCs/>
          <w:sz w:val="16"/>
          <w:szCs w:val="16"/>
          <w:rtl/>
        </w:rPr>
      </w:pPr>
      <w:bookmarkStart w:id="3" w:name="LGS_Initiators_List"/>
      <w:r>
        <w:rPr>
          <w:b/>
          <w:bCs/>
          <w:rtl/>
        </w:rPr>
        <w:t>יוזמת:</w:t>
      </w:r>
      <w:r>
        <w:tab/>
      </w:r>
      <w:r>
        <w:rPr>
          <w:b/>
          <w:bCs/>
          <w:rtl/>
        </w:rPr>
        <w:t xml:space="preserve">      חברת הכנסת</w:t>
      </w:r>
      <w:bookmarkEnd w:id="3"/>
      <w:r w:rsidR="00B35784" w:rsidRPr="00F67051">
        <w:rPr>
          <w:b/>
          <w:bCs/>
        </w:rPr>
        <w:tab/>
      </w:r>
      <w:bookmarkStart w:id="4" w:name="LGS_PM_Names"/>
      <w:r>
        <w:rPr>
          <w:rFonts w:hint="cs"/>
          <w:b/>
          <w:bCs/>
          <w:rtl/>
        </w:rPr>
        <w:t>יעל רון בן משה</w:t>
      </w:r>
      <w:bookmarkStart w:id="5" w:name="LGS_Join_List"/>
      <w:bookmarkEnd w:id="4"/>
      <w:r w:rsidR="007D585A">
        <w:rPr>
          <w:rtl/>
        </w:rPr>
        <w:t xml:space="preserve"> </w:t>
      </w:r>
      <w:bookmarkEnd w:id="5"/>
      <w:r w:rsidR="002200A1" w:rsidRPr="00CF1AA2">
        <w:rPr>
          <w:rFonts w:hint="cs"/>
          <w:rtl/>
        </w:rPr>
        <w:tab/>
      </w:r>
      <w:bookmarkStart w:id="6" w:name="LGS_PM_NamesJoin"/>
      <w:r w:rsidR="007D585A">
        <w:rPr>
          <w:rFonts w:hint="cs"/>
          <w:rtl/>
        </w:rPr>
        <w:t xml:space="preserve"> </w:t>
      </w:r>
      <w:bookmarkEnd w:id="6"/>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65A22B7" w:rsidR="00E13C27" w:rsidRPr="00E06736" w:rsidRDefault="00FF7DAB" w:rsidP="00904591">
      <w:pPr>
        <w:pStyle w:val="David"/>
        <w:spacing w:line="240" w:lineRule="auto"/>
        <w:ind w:left="3544"/>
        <w:rPr>
          <w:rtl/>
        </w:rPr>
      </w:pPr>
      <w:r>
        <w:tab/>
        <w:t xml:space="preserve">     </w:t>
      </w:r>
      <w:r w:rsidR="00904591">
        <w:t xml:space="preserve">                                            </w:t>
      </w:r>
      <w:r w:rsidR="008F1308">
        <w:t xml:space="preserve"> </w:t>
      </w:r>
      <w:bookmarkStart w:id="7" w:name="Private_Number"/>
      <w:r w:rsidR="00904591">
        <w:rPr>
          <w:rFonts w:hint="cs"/>
          <w:rtl/>
        </w:rPr>
        <w:t>פ/4045/24</w:t>
      </w:r>
      <w:bookmarkEnd w:id="7"/>
    </w:p>
    <w:p w14:paraId="7F6961AC" w14:textId="77777777" w:rsidR="00E13C27" w:rsidRDefault="00E13C27" w:rsidP="00E13C27">
      <w:pPr>
        <w:ind w:left="2880" w:firstLine="720"/>
        <w:rPr>
          <w:sz w:val="26"/>
          <w:szCs w:val="26"/>
          <w:rtl/>
        </w:rPr>
      </w:pPr>
    </w:p>
    <w:p w14:paraId="7F6961AE" w14:textId="7887204A" w:rsidR="00E13C27" w:rsidRDefault="00A443CF" w:rsidP="00FF7DAB">
      <w:pPr>
        <w:pStyle w:val="HeadHatzaotHok"/>
        <w:rPr>
          <w:rtl/>
        </w:rPr>
      </w:pPr>
      <w:bookmarkStart w:id="8" w:name="LGS_Subject"/>
      <w:r>
        <w:rPr>
          <w:rFonts w:hint="cs"/>
          <w:rtl/>
        </w:rPr>
        <w:t xml:space="preserve">הצעת חוק שעות עבודה ומנוחה (תיקון </w:t>
      </w:r>
      <w:r w:rsidR="00784B56">
        <w:rPr>
          <w:rFonts w:hint="eastAsia"/>
          <w:rtl/>
        </w:rPr>
        <w:t>–</w:t>
      </w:r>
      <w:r>
        <w:rPr>
          <w:rFonts w:hint="cs"/>
          <w:rtl/>
        </w:rPr>
        <w:t xml:space="preserve"> קיצור שבוע העבודה), התשפ"ב</w:t>
      </w:r>
      <w:r w:rsidR="00784B56">
        <w:rPr>
          <w:rFonts w:hint="eastAsia"/>
          <w:rtl/>
        </w:rPr>
        <w:t>–</w:t>
      </w:r>
      <w:r>
        <w:rPr>
          <w:rFonts w:hint="cs"/>
          <w:rtl/>
        </w:rPr>
        <w:t>2022</w:t>
      </w:r>
      <w:bookmarkEnd w:id="8"/>
    </w:p>
    <w:p w14:paraId="72EE9DC2" w14:textId="77777777" w:rsidR="00FF7DAB" w:rsidRDefault="00FF7DAB" w:rsidP="00FF7DAB">
      <w:pPr>
        <w:pStyle w:val="HeadHatzaotHok"/>
        <w:rPr>
          <w:rtl/>
        </w:rPr>
      </w:pPr>
    </w:p>
    <w:tbl>
      <w:tblPr>
        <w:bidiVisual/>
        <w:tblW w:w="9641" w:type="dxa"/>
        <w:tblCellMar>
          <w:top w:w="57" w:type="dxa"/>
          <w:left w:w="0" w:type="dxa"/>
          <w:bottom w:w="57" w:type="dxa"/>
          <w:right w:w="0" w:type="dxa"/>
        </w:tblCellMar>
        <w:tblLook w:val="04A0" w:firstRow="1" w:lastRow="0" w:firstColumn="1" w:lastColumn="0" w:noHBand="0" w:noVBand="1"/>
      </w:tblPr>
      <w:tblGrid>
        <w:gridCol w:w="1871"/>
        <w:gridCol w:w="624"/>
        <w:gridCol w:w="624"/>
        <w:gridCol w:w="6522"/>
      </w:tblGrid>
      <w:tr w:rsidR="0071781B" w14:paraId="0F3B158D" w14:textId="77777777" w:rsidTr="00FF7DAB">
        <w:trPr>
          <w:cantSplit/>
        </w:trPr>
        <w:tc>
          <w:tcPr>
            <w:tcW w:w="1871" w:type="dxa"/>
            <w:hideMark/>
          </w:tcPr>
          <w:p w14:paraId="4FA52911" w14:textId="77777777" w:rsidR="0071781B" w:rsidRDefault="0071781B" w:rsidP="00664543">
            <w:pPr>
              <w:pStyle w:val="TableSideHeading"/>
              <w:rPr>
                <w:rtl/>
              </w:rPr>
            </w:pPr>
            <w:r>
              <w:rPr>
                <w:rFonts w:hint="cs"/>
                <w:sz w:val="26"/>
                <w:rtl/>
              </w:rPr>
              <w:t>תיקון סעיף 3</w:t>
            </w:r>
          </w:p>
        </w:tc>
        <w:tc>
          <w:tcPr>
            <w:tcW w:w="624" w:type="dxa"/>
            <w:hideMark/>
          </w:tcPr>
          <w:p w14:paraId="0E254EC4" w14:textId="77777777" w:rsidR="0071781B" w:rsidRDefault="0071781B" w:rsidP="00664543">
            <w:pPr>
              <w:pStyle w:val="TableText"/>
              <w:jc w:val="both"/>
            </w:pPr>
            <w:r>
              <w:rPr>
                <w:rFonts w:hint="cs"/>
                <w:sz w:val="26"/>
                <w:rtl/>
              </w:rPr>
              <w:t>1.</w:t>
            </w:r>
          </w:p>
        </w:tc>
        <w:tc>
          <w:tcPr>
            <w:tcW w:w="7146" w:type="dxa"/>
            <w:gridSpan w:val="2"/>
            <w:hideMark/>
          </w:tcPr>
          <w:p w14:paraId="484B63A9" w14:textId="77777777" w:rsidR="0071781B" w:rsidRDefault="0071781B" w:rsidP="00FF7DAB">
            <w:pPr>
              <w:pStyle w:val="TableBlock"/>
            </w:pPr>
            <w:r>
              <w:rPr>
                <w:rFonts w:hint="cs"/>
                <w:sz w:val="26"/>
                <w:rtl/>
              </w:rPr>
              <w:t>בחוק שעות עבודה ומנוחה, התשי"א–1951</w:t>
            </w:r>
            <w:r w:rsidRPr="00FF7DAB">
              <w:rPr>
                <w:rStyle w:val="a6"/>
                <w:rFonts w:ascii="David" w:hAnsi="David"/>
                <w:sz w:val="26"/>
                <w:rtl/>
              </w:rPr>
              <w:footnoteReference w:id="2"/>
            </w:r>
            <w:r>
              <w:rPr>
                <w:rFonts w:hint="cs"/>
                <w:sz w:val="26"/>
                <w:rtl/>
              </w:rPr>
              <w:t xml:space="preserve"> (להלן – החוק העיקרי), בסעיף 3, במקום "ארבעים וחמש" יבוא "שלושים ושבע".</w:t>
            </w:r>
          </w:p>
        </w:tc>
      </w:tr>
      <w:tr w:rsidR="0071781B" w14:paraId="0D8C235D" w14:textId="77777777" w:rsidTr="00FF7DAB">
        <w:trPr>
          <w:cantSplit/>
        </w:trPr>
        <w:tc>
          <w:tcPr>
            <w:tcW w:w="1871" w:type="dxa"/>
            <w:hideMark/>
          </w:tcPr>
          <w:p w14:paraId="68B67CD0" w14:textId="77777777" w:rsidR="0071781B" w:rsidRDefault="0071781B" w:rsidP="00664543">
            <w:pPr>
              <w:pStyle w:val="TableSideHeading"/>
            </w:pPr>
            <w:r>
              <w:rPr>
                <w:rFonts w:hint="cs"/>
                <w:sz w:val="26"/>
                <w:rtl/>
              </w:rPr>
              <w:t>תיקון סעיף 4</w:t>
            </w:r>
          </w:p>
        </w:tc>
        <w:tc>
          <w:tcPr>
            <w:tcW w:w="624" w:type="dxa"/>
            <w:hideMark/>
          </w:tcPr>
          <w:p w14:paraId="3BDF396A" w14:textId="77777777" w:rsidR="0071781B" w:rsidRDefault="0071781B" w:rsidP="00664543">
            <w:pPr>
              <w:pStyle w:val="TableText"/>
              <w:jc w:val="both"/>
            </w:pPr>
            <w:r>
              <w:rPr>
                <w:rFonts w:hint="cs"/>
                <w:sz w:val="26"/>
                <w:rtl/>
              </w:rPr>
              <w:t>2.</w:t>
            </w:r>
          </w:p>
        </w:tc>
        <w:tc>
          <w:tcPr>
            <w:tcW w:w="7146" w:type="dxa"/>
            <w:gridSpan w:val="2"/>
            <w:hideMark/>
          </w:tcPr>
          <w:p w14:paraId="7DAA6907" w14:textId="77777777" w:rsidR="0071781B" w:rsidRDefault="0071781B" w:rsidP="00FF7DAB">
            <w:pPr>
              <w:pStyle w:val="TableBlock"/>
              <w:tabs>
                <w:tab w:val="left" w:pos="624"/>
                <w:tab w:val="left" w:pos="1247"/>
              </w:tabs>
            </w:pPr>
            <w:r>
              <w:rPr>
                <w:rFonts w:hint="cs"/>
                <w:sz w:val="26"/>
                <w:rtl/>
              </w:rPr>
              <w:t>בסעיף 4 לחוק העיקרי –</w:t>
            </w:r>
          </w:p>
        </w:tc>
      </w:tr>
      <w:tr w:rsidR="0071781B" w14:paraId="21D78DFD" w14:textId="77777777" w:rsidTr="00FF7DAB">
        <w:trPr>
          <w:cantSplit/>
        </w:trPr>
        <w:tc>
          <w:tcPr>
            <w:tcW w:w="1871" w:type="dxa"/>
          </w:tcPr>
          <w:p w14:paraId="543556F7" w14:textId="77777777" w:rsidR="0071781B" w:rsidRDefault="0071781B" w:rsidP="00664543">
            <w:pPr>
              <w:pStyle w:val="TableSideHeading"/>
            </w:pPr>
          </w:p>
        </w:tc>
        <w:tc>
          <w:tcPr>
            <w:tcW w:w="624" w:type="dxa"/>
          </w:tcPr>
          <w:p w14:paraId="1D5613B4" w14:textId="77777777" w:rsidR="0071781B" w:rsidRDefault="0071781B" w:rsidP="00664543">
            <w:pPr>
              <w:pStyle w:val="TableText"/>
              <w:jc w:val="both"/>
            </w:pPr>
          </w:p>
        </w:tc>
        <w:tc>
          <w:tcPr>
            <w:tcW w:w="7146" w:type="dxa"/>
            <w:gridSpan w:val="2"/>
            <w:hideMark/>
          </w:tcPr>
          <w:p w14:paraId="0A3EAF4B" w14:textId="77777777" w:rsidR="0071781B" w:rsidRDefault="0071781B" w:rsidP="00FF7DAB">
            <w:pPr>
              <w:pStyle w:val="TableBlock"/>
              <w:tabs>
                <w:tab w:val="left" w:pos="624"/>
                <w:tab w:val="left" w:pos="1247"/>
              </w:tabs>
            </w:pPr>
            <w:r>
              <w:rPr>
                <w:rFonts w:hint="cs"/>
                <w:sz w:val="26"/>
                <w:rtl/>
              </w:rPr>
              <w:t>(1)</w:t>
            </w:r>
            <w:r>
              <w:rPr>
                <w:rFonts w:hint="cs"/>
                <w:sz w:val="26"/>
                <w:rtl/>
              </w:rPr>
              <w:tab/>
              <w:t xml:space="preserve">בסעיף קטן (א) – </w:t>
            </w:r>
          </w:p>
        </w:tc>
      </w:tr>
      <w:tr w:rsidR="0071781B" w14:paraId="36177154" w14:textId="77777777" w:rsidTr="00FF7DAB">
        <w:trPr>
          <w:cantSplit/>
        </w:trPr>
        <w:tc>
          <w:tcPr>
            <w:tcW w:w="1871" w:type="dxa"/>
          </w:tcPr>
          <w:p w14:paraId="656EF029" w14:textId="77777777" w:rsidR="0071781B" w:rsidRDefault="0071781B" w:rsidP="00664543">
            <w:pPr>
              <w:pStyle w:val="TableSideHeading"/>
            </w:pPr>
          </w:p>
        </w:tc>
        <w:tc>
          <w:tcPr>
            <w:tcW w:w="624" w:type="dxa"/>
          </w:tcPr>
          <w:p w14:paraId="6C003925" w14:textId="77777777" w:rsidR="0071781B" w:rsidRDefault="0071781B" w:rsidP="00664543">
            <w:pPr>
              <w:pStyle w:val="TableText"/>
            </w:pPr>
          </w:p>
        </w:tc>
        <w:tc>
          <w:tcPr>
            <w:tcW w:w="624" w:type="dxa"/>
          </w:tcPr>
          <w:p w14:paraId="5F9D41FE" w14:textId="77777777" w:rsidR="0071781B" w:rsidRDefault="0071781B" w:rsidP="00664543">
            <w:pPr>
              <w:pStyle w:val="TableText"/>
            </w:pPr>
          </w:p>
        </w:tc>
        <w:tc>
          <w:tcPr>
            <w:tcW w:w="6522" w:type="dxa"/>
            <w:hideMark/>
          </w:tcPr>
          <w:p w14:paraId="2EF9895D" w14:textId="77777777" w:rsidR="0071781B" w:rsidRDefault="0071781B" w:rsidP="00FF7DAB">
            <w:pPr>
              <w:pStyle w:val="TableBlock"/>
              <w:tabs>
                <w:tab w:val="left" w:pos="624"/>
                <w:tab w:val="left" w:pos="1247"/>
              </w:tabs>
            </w:pPr>
            <w:r>
              <w:rPr>
                <w:rFonts w:hint="cs"/>
                <w:sz w:val="26"/>
                <w:rtl/>
              </w:rPr>
              <w:t>(א)</w:t>
            </w:r>
            <w:r>
              <w:rPr>
                <w:rFonts w:hint="cs"/>
                <w:sz w:val="26"/>
                <w:rtl/>
              </w:rPr>
              <w:tab/>
            </w:r>
            <w:r>
              <w:rPr>
                <w:rFonts w:hint="cs"/>
                <w:rtl/>
              </w:rPr>
              <w:t>בפסקה (2), במקום "יום עבודה שתחומו יתר על הקבוע בסעיף 2 ושבוע עבודה שתחומו יתר על הקבוע בסעיף 3" יבוא "יום עבודה שאורכו עולה על הקבוע בסעיף 2, ובלבד ששבוע העבודה לא יעלה על הקבוע בסעיף</w:t>
            </w:r>
            <w:r>
              <w:rPr>
                <w:rFonts w:hint="cs"/>
                <w:sz w:val="26"/>
                <w:rtl/>
              </w:rPr>
              <w:t xml:space="preserve"> 3";</w:t>
            </w:r>
          </w:p>
        </w:tc>
      </w:tr>
      <w:tr w:rsidR="0071781B" w14:paraId="3A784EB6" w14:textId="77777777" w:rsidTr="00FF7DAB">
        <w:trPr>
          <w:cantSplit/>
        </w:trPr>
        <w:tc>
          <w:tcPr>
            <w:tcW w:w="1871" w:type="dxa"/>
          </w:tcPr>
          <w:p w14:paraId="3C63745D" w14:textId="77777777" w:rsidR="0071781B" w:rsidRDefault="0071781B" w:rsidP="00664543">
            <w:pPr>
              <w:pStyle w:val="TableSideHeading"/>
            </w:pPr>
          </w:p>
        </w:tc>
        <w:tc>
          <w:tcPr>
            <w:tcW w:w="624" w:type="dxa"/>
          </w:tcPr>
          <w:p w14:paraId="4E73ED40" w14:textId="77777777" w:rsidR="0071781B" w:rsidRDefault="0071781B" w:rsidP="00664543">
            <w:pPr>
              <w:pStyle w:val="TableText"/>
            </w:pPr>
          </w:p>
        </w:tc>
        <w:tc>
          <w:tcPr>
            <w:tcW w:w="624" w:type="dxa"/>
          </w:tcPr>
          <w:p w14:paraId="50618571" w14:textId="77777777" w:rsidR="0071781B" w:rsidRDefault="0071781B" w:rsidP="00664543">
            <w:pPr>
              <w:pStyle w:val="TableText"/>
            </w:pPr>
          </w:p>
        </w:tc>
        <w:tc>
          <w:tcPr>
            <w:tcW w:w="6522" w:type="dxa"/>
            <w:hideMark/>
          </w:tcPr>
          <w:p w14:paraId="48492E0C" w14:textId="77777777" w:rsidR="0071781B" w:rsidRDefault="0071781B" w:rsidP="00FF7DAB">
            <w:pPr>
              <w:pStyle w:val="TableBlock"/>
              <w:tabs>
                <w:tab w:val="left" w:pos="624"/>
                <w:tab w:val="left" w:pos="1247"/>
              </w:tabs>
              <w:rPr>
                <w:sz w:val="26"/>
              </w:rPr>
            </w:pPr>
            <w:r>
              <w:rPr>
                <w:rFonts w:hint="cs"/>
                <w:sz w:val="26"/>
                <w:rtl/>
              </w:rPr>
              <w:t>(ב)</w:t>
            </w:r>
            <w:r>
              <w:rPr>
                <w:rFonts w:hint="cs"/>
                <w:sz w:val="26"/>
                <w:rtl/>
              </w:rPr>
              <w:tab/>
              <w:t>בסיפה, במקום "על ארבעים וחמש שעות עבודה" יבוא "על שלושים ושבע שעות עבודה";</w:t>
            </w:r>
          </w:p>
        </w:tc>
      </w:tr>
      <w:tr w:rsidR="0071781B" w14:paraId="0878AAEB" w14:textId="77777777" w:rsidTr="00FF7DAB">
        <w:trPr>
          <w:cantSplit/>
        </w:trPr>
        <w:tc>
          <w:tcPr>
            <w:tcW w:w="1871" w:type="dxa"/>
          </w:tcPr>
          <w:p w14:paraId="3470797B" w14:textId="77777777" w:rsidR="0071781B" w:rsidRDefault="0071781B" w:rsidP="00664543">
            <w:pPr>
              <w:pStyle w:val="TableSideHeading"/>
            </w:pPr>
          </w:p>
        </w:tc>
        <w:tc>
          <w:tcPr>
            <w:tcW w:w="624" w:type="dxa"/>
          </w:tcPr>
          <w:p w14:paraId="59F12399" w14:textId="77777777" w:rsidR="0071781B" w:rsidRDefault="0071781B" w:rsidP="00664543">
            <w:pPr>
              <w:pStyle w:val="TableText"/>
              <w:jc w:val="both"/>
            </w:pPr>
          </w:p>
        </w:tc>
        <w:tc>
          <w:tcPr>
            <w:tcW w:w="7146" w:type="dxa"/>
            <w:gridSpan w:val="2"/>
            <w:hideMark/>
          </w:tcPr>
          <w:p w14:paraId="12EF7C1A" w14:textId="77777777" w:rsidR="0071781B" w:rsidRDefault="0071781B" w:rsidP="00FF7DAB">
            <w:pPr>
              <w:pStyle w:val="TableBlock"/>
              <w:tabs>
                <w:tab w:val="left" w:pos="624"/>
                <w:tab w:val="left" w:pos="1247"/>
              </w:tabs>
              <w:rPr>
                <w:rtl/>
              </w:rPr>
            </w:pPr>
            <w:r>
              <w:rPr>
                <w:rFonts w:hint="cs"/>
                <w:sz w:val="26"/>
                <w:rtl/>
              </w:rPr>
              <w:t>(2)</w:t>
            </w:r>
            <w:r>
              <w:rPr>
                <w:rFonts w:hint="cs"/>
                <w:sz w:val="26"/>
                <w:rtl/>
              </w:rPr>
              <w:tab/>
              <w:t>במקום סעיף קטן (ב) יבוא:</w:t>
            </w:r>
          </w:p>
        </w:tc>
      </w:tr>
      <w:tr w:rsidR="0071781B" w14:paraId="7286DC00" w14:textId="77777777" w:rsidTr="00FF7DAB">
        <w:trPr>
          <w:cantSplit/>
        </w:trPr>
        <w:tc>
          <w:tcPr>
            <w:tcW w:w="1871" w:type="dxa"/>
          </w:tcPr>
          <w:p w14:paraId="1841B910" w14:textId="77777777" w:rsidR="0071781B" w:rsidRDefault="0071781B" w:rsidP="00664543">
            <w:pPr>
              <w:pStyle w:val="TableSideHeading"/>
            </w:pPr>
          </w:p>
        </w:tc>
        <w:tc>
          <w:tcPr>
            <w:tcW w:w="624" w:type="dxa"/>
          </w:tcPr>
          <w:p w14:paraId="2C655D6D" w14:textId="77777777" w:rsidR="0071781B" w:rsidRDefault="0071781B" w:rsidP="00664543">
            <w:pPr>
              <w:pStyle w:val="TableText"/>
            </w:pPr>
          </w:p>
        </w:tc>
        <w:tc>
          <w:tcPr>
            <w:tcW w:w="624" w:type="dxa"/>
          </w:tcPr>
          <w:p w14:paraId="47BDE46E" w14:textId="77777777" w:rsidR="0071781B" w:rsidRDefault="0071781B" w:rsidP="00664543">
            <w:pPr>
              <w:pStyle w:val="TableText"/>
              <w:jc w:val="both"/>
              <w:rPr>
                <w:sz w:val="26"/>
              </w:rPr>
            </w:pPr>
          </w:p>
        </w:tc>
        <w:tc>
          <w:tcPr>
            <w:tcW w:w="6522" w:type="dxa"/>
            <w:hideMark/>
          </w:tcPr>
          <w:p w14:paraId="5AF134E3" w14:textId="77777777" w:rsidR="0071781B" w:rsidRDefault="0071781B" w:rsidP="00FF7DAB">
            <w:pPr>
              <w:pStyle w:val="TableBlock"/>
              <w:tabs>
                <w:tab w:val="left" w:pos="624"/>
                <w:tab w:val="left" w:pos="1247"/>
              </w:tabs>
              <w:rPr>
                <w:sz w:val="26"/>
              </w:rPr>
            </w:pPr>
            <w:r>
              <w:rPr>
                <w:rFonts w:hint="cs"/>
                <w:sz w:val="26"/>
                <w:rtl/>
              </w:rPr>
              <w:t>"(ב)</w:t>
            </w:r>
            <w:r>
              <w:rPr>
                <w:rFonts w:hint="cs"/>
                <w:sz w:val="26"/>
                <w:rtl/>
              </w:rPr>
              <w:tab/>
              <w:t>הוראות סעיפים 2 ו-3 יחולו גם על עובד במשרה חלקית ועובד זמני."</w:t>
            </w:r>
          </w:p>
        </w:tc>
      </w:tr>
      <w:tr w:rsidR="0071781B" w14:paraId="690D4BD5" w14:textId="77777777" w:rsidTr="00FF7DAB">
        <w:trPr>
          <w:cantSplit/>
        </w:trPr>
        <w:tc>
          <w:tcPr>
            <w:tcW w:w="1871" w:type="dxa"/>
            <w:hideMark/>
          </w:tcPr>
          <w:p w14:paraId="3AB2EFA6" w14:textId="77777777" w:rsidR="0071781B" w:rsidRDefault="0071781B" w:rsidP="00664543">
            <w:pPr>
              <w:pStyle w:val="TableSideHeading"/>
            </w:pPr>
            <w:r>
              <w:rPr>
                <w:rFonts w:hint="cs"/>
                <w:sz w:val="26"/>
                <w:rtl/>
              </w:rPr>
              <w:t>תיקון סעיף 5</w:t>
            </w:r>
          </w:p>
        </w:tc>
        <w:tc>
          <w:tcPr>
            <w:tcW w:w="624" w:type="dxa"/>
            <w:hideMark/>
          </w:tcPr>
          <w:p w14:paraId="7DA092AF" w14:textId="77777777" w:rsidR="0071781B" w:rsidRDefault="0071781B" w:rsidP="00664543">
            <w:pPr>
              <w:pStyle w:val="TableText"/>
              <w:jc w:val="both"/>
              <w:rPr>
                <w:rtl/>
              </w:rPr>
            </w:pPr>
            <w:r>
              <w:rPr>
                <w:rFonts w:hint="cs"/>
                <w:sz w:val="26"/>
                <w:rtl/>
              </w:rPr>
              <w:t>3.</w:t>
            </w:r>
          </w:p>
        </w:tc>
        <w:tc>
          <w:tcPr>
            <w:tcW w:w="7146" w:type="dxa"/>
            <w:gridSpan w:val="2"/>
            <w:hideMark/>
          </w:tcPr>
          <w:p w14:paraId="14284C8C" w14:textId="77777777" w:rsidR="0071781B" w:rsidRDefault="0071781B" w:rsidP="00FF7DAB">
            <w:pPr>
              <w:pStyle w:val="TableBlock"/>
              <w:tabs>
                <w:tab w:val="left" w:pos="624"/>
                <w:tab w:val="left" w:pos="1247"/>
              </w:tabs>
              <w:rPr>
                <w:rtl/>
              </w:rPr>
            </w:pPr>
            <w:r>
              <w:rPr>
                <w:rFonts w:hint="cs"/>
                <w:sz w:val="26"/>
                <w:rtl/>
              </w:rPr>
              <w:t>בסעיף 5 לחוק העיקרי, סעיף קטן (א) – בטל.</w:t>
            </w:r>
          </w:p>
        </w:tc>
      </w:tr>
      <w:tr w:rsidR="0071781B" w14:paraId="47676C4A" w14:textId="77777777" w:rsidTr="00FF7DAB">
        <w:trPr>
          <w:cantSplit/>
        </w:trPr>
        <w:tc>
          <w:tcPr>
            <w:tcW w:w="1871" w:type="dxa"/>
            <w:hideMark/>
          </w:tcPr>
          <w:p w14:paraId="3E231454" w14:textId="77777777" w:rsidR="0071781B" w:rsidRDefault="0071781B" w:rsidP="00664543">
            <w:pPr>
              <w:pStyle w:val="TableSideHeading"/>
              <w:rPr>
                <w:sz w:val="26"/>
              </w:rPr>
            </w:pPr>
            <w:r>
              <w:rPr>
                <w:rFonts w:hint="cs"/>
                <w:sz w:val="26"/>
                <w:rtl/>
              </w:rPr>
              <w:t>תחילה בהדרגה</w:t>
            </w:r>
          </w:p>
        </w:tc>
        <w:tc>
          <w:tcPr>
            <w:tcW w:w="624" w:type="dxa"/>
            <w:hideMark/>
          </w:tcPr>
          <w:p w14:paraId="62CFAE35" w14:textId="77777777" w:rsidR="0071781B" w:rsidRDefault="0071781B" w:rsidP="00664543">
            <w:pPr>
              <w:pStyle w:val="TableText"/>
              <w:jc w:val="both"/>
              <w:rPr>
                <w:sz w:val="26"/>
              </w:rPr>
            </w:pPr>
            <w:r>
              <w:rPr>
                <w:rFonts w:hint="cs"/>
                <w:sz w:val="26"/>
                <w:rtl/>
              </w:rPr>
              <w:t>4.</w:t>
            </w:r>
          </w:p>
        </w:tc>
        <w:tc>
          <w:tcPr>
            <w:tcW w:w="7146" w:type="dxa"/>
            <w:gridSpan w:val="2"/>
            <w:hideMark/>
          </w:tcPr>
          <w:p w14:paraId="545B2356" w14:textId="77777777" w:rsidR="0071781B" w:rsidRDefault="0071781B" w:rsidP="00FF7DAB">
            <w:pPr>
              <w:pStyle w:val="TableBlock"/>
              <w:tabs>
                <w:tab w:val="left" w:pos="624"/>
                <w:tab w:val="left" w:pos="1247"/>
              </w:tabs>
              <w:rPr>
                <w:sz w:val="26"/>
              </w:rPr>
            </w:pPr>
            <w:r>
              <w:rPr>
                <w:rFonts w:hint="cs"/>
                <w:sz w:val="26"/>
                <w:rtl/>
              </w:rPr>
              <w:t>(א)</w:t>
            </w:r>
            <w:r>
              <w:rPr>
                <w:rFonts w:hint="cs"/>
                <w:sz w:val="26"/>
                <w:rtl/>
              </w:rPr>
              <w:tab/>
              <w:t>תחילתו של חוק זה בתום שנה מיום פרסומו (להלן – יום התחילה).</w:t>
            </w:r>
          </w:p>
        </w:tc>
      </w:tr>
      <w:tr w:rsidR="0071781B" w14:paraId="5F470877" w14:textId="77777777" w:rsidTr="00FF7DAB">
        <w:trPr>
          <w:cantSplit/>
        </w:trPr>
        <w:tc>
          <w:tcPr>
            <w:tcW w:w="1871" w:type="dxa"/>
          </w:tcPr>
          <w:p w14:paraId="65B228C0" w14:textId="77777777" w:rsidR="0071781B" w:rsidRDefault="0071781B" w:rsidP="00664543">
            <w:pPr>
              <w:pStyle w:val="TableSideHeading"/>
              <w:rPr>
                <w:sz w:val="26"/>
                <w:rtl/>
              </w:rPr>
            </w:pPr>
          </w:p>
        </w:tc>
        <w:tc>
          <w:tcPr>
            <w:tcW w:w="624" w:type="dxa"/>
          </w:tcPr>
          <w:p w14:paraId="7ED22DBB" w14:textId="77777777" w:rsidR="0071781B" w:rsidRDefault="0071781B" w:rsidP="00664543">
            <w:pPr>
              <w:pStyle w:val="TableText"/>
              <w:jc w:val="both"/>
              <w:rPr>
                <w:sz w:val="26"/>
                <w:rtl/>
              </w:rPr>
            </w:pPr>
          </w:p>
        </w:tc>
        <w:tc>
          <w:tcPr>
            <w:tcW w:w="7143" w:type="dxa"/>
            <w:gridSpan w:val="2"/>
            <w:hideMark/>
          </w:tcPr>
          <w:p w14:paraId="603152EC" w14:textId="07F0D3F8" w:rsidR="0071781B" w:rsidRDefault="0071781B" w:rsidP="00FF7DAB">
            <w:pPr>
              <w:pStyle w:val="TableBlock"/>
              <w:rPr>
                <w:sz w:val="26"/>
                <w:rtl/>
              </w:rPr>
            </w:pPr>
            <w:r>
              <w:rPr>
                <w:rFonts w:hint="cs"/>
                <w:sz w:val="26"/>
                <w:rtl/>
              </w:rPr>
              <w:t>(ב)</w:t>
            </w:r>
            <w:r>
              <w:rPr>
                <w:rFonts w:hint="cs"/>
                <w:sz w:val="26"/>
                <w:rtl/>
              </w:rPr>
              <w:tab/>
              <w:t xml:space="preserve">עד יום התחילה רשאי שר </w:t>
            </w:r>
            <w:r w:rsidR="006823A7">
              <w:rPr>
                <w:rFonts w:hint="cs"/>
                <w:sz w:val="26"/>
                <w:rtl/>
              </w:rPr>
              <w:t>הכלכלה והתעשייה</w:t>
            </w:r>
            <w:r w:rsidR="009E4245">
              <w:rPr>
                <w:rFonts w:hint="cs"/>
                <w:sz w:val="26"/>
                <w:rtl/>
              </w:rPr>
              <w:t>,</w:t>
            </w:r>
            <w:r>
              <w:rPr>
                <w:rFonts w:hint="cs"/>
                <w:sz w:val="26"/>
                <w:rtl/>
              </w:rPr>
              <w:t xml:space="preserve"> לקבוע כי בתקופה של ארבע שנים מיום התחילה יהיה מספר שעות העבודה השבועיות לפי הוראות סעיפים 3 ו-4(א)(2) לחוק העיקרי, גבוה ממספר שעות העבודה השבועיות לפי הוראות הסעיפים האמורים כנוסחם לפי חוק זה, ובלבד שמספרם לא יעלה על מספר שעות העבודה השבועיות לפי הוראות הסעיפים האמורים כנוסחם ערב יום התחילה; לא יקבעו תקנות לפי סעיף זה לאחר יום התחילה.</w:t>
            </w:r>
          </w:p>
        </w:tc>
      </w:tr>
    </w:tbl>
    <w:p w14:paraId="7F6961CA" w14:textId="77777777" w:rsidR="002D1EE3" w:rsidRDefault="002D1EE3" w:rsidP="002D1EE3">
      <w:pPr>
        <w:pStyle w:val="HeadDivreiHesber"/>
        <w:rPr>
          <w:rtl/>
        </w:rPr>
      </w:pPr>
      <w:r w:rsidRPr="0027450A">
        <w:rPr>
          <w:rFonts w:hint="cs"/>
          <w:rtl/>
        </w:rPr>
        <w:t>דברי הסבר</w:t>
      </w:r>
    </w:p>
    <w:p w14:paraId="472E41EB" w14:textId="554A04F9" w:rsidR="00B93B05" w:rsidRDefault="00B93B05" w:rsidP="00FF7DAB">
      <w:pPr>
        <w:pStyle w:val="Hesber"/>
        <w:spacing w:line="240" w:lineRule="auto"/>
        <w:rPr>
          <w:sz w:val="26"/>
          <w:rtl/>
        </w:rPr>
      </w:pPr>
      <w:r>
        <w:rPr>
          <w:sz w:val="26"/>
          <w:rtl/>
        </w:rPr>
        <w:t>שבוע העבודה בישראל הוא מהארוכים בעולם</w:t>
      </w:r>
      <w:r>
        <w:rPr>
          <w:rFonts w:hint="cs"/>
          <w:sz w:val="26"/>
          <w:rtl/>
        </w:rPr>
        <w:t xml:space="preserve"> המערבי</w:t>
      </w:r>
      <w:r>
        <w:rPr>
          <w:sz w:val="26"/>
          <w:rtl/>
        </w:rPr>
        <w:t>,</w:t>
      </w:r>
      <w:r>
        <w:rPr>
          <w:rFonts w:hint="cs"/>
          <w:sz w:val="26"/>
          <w:rtl/>
        </w:rPr>
        <w:t xml:space="preserve"> </w:t>
      </w:r>
      <w:r w:rsidR="006823A7">
        <w:rPr>
          <w:rFonts w:hint="cs"/>
          <w:sz w:val="26"/>
          <w:rtl/>
        </w:rPr>
        <w:t>ו</w:t>
      </w:r>
      <w:r>
        <w:rPr>
          <w:rFonts w:hint="cs"/>
          <w:sz w:val="26"/>
          <w:rtl/>
        </w:rPr>
        <w:t>עם זאת על פי נתוני ארגון ה</w:t>
      </w:r>
      <w:r w:rsidR="006823A7">
        <w:rPr>
          <w:rFonts w:hint="cs"/>
          <w:sz w:val="26"/>
          <w:rtl/>
        </w:rPr>
        <w:t>-</w:t>
      </w:r>
      <w:r w:rsidR="006823A7">
        <w:rPr>
          <w:rFonts w:hint="cs"/>
          <w:sz w:val="26"/>
        </w:rPr>
        <w:t>OECD</w:t>
      </w:r>
      <w:r w:rsidR="006823A7">
        <w:rPr>
          <w:rFonts w:hint="cs"/>
          <w:sz w:val="26"/>
          <w:rtl/>
        </w:rPr>
        <w:t xml:space="preserve"> </w:t>
      </w:r>
      <w:r>
        <w:rPr>
          <w:sz w:val="26"/>
          <w:rtl/>
        </w:rPr>
        <w:t xml:space="preserve">הפריון בישראל נמוך יחסית </w:t>
      </w:r>
      <w:r>
        <w:rPr>
          <w:rFonts w:hint="cs"/>
          <w:sz w:val="26"/>
          <w:rtl/>
        </w:rPr>
        <w:t>לממוצע</w:t>
      </w:r>
      <w:r>
        <w:rPr>
          <w:rFonts w:hint="cs"/>
          <w:sz w:val="26"/>
        </w:rPr>
        <w:t xml:space="preserve"> </w:t>
      </w:r>
      <w:r>
        <w:rPr>
          <w:rFonts w:hint="cs"/>
          <w:sz w:val="26"/>
          <w:rtl/>
        </w:rPr>
        <w:t>המדינות החברות בארגון ב</w:t>
      </w:r>
      <w:r w:rsidR="006823A7">
        <w:rPr>
          <w:rFonts w:hint="cs"/>
          <w:sz w:val="26"/>
          <w:rtl/>
        </w:rPr>
        <w:t>-</w:t>
      </w:r>
      <w:r>
        <w:rPr>
          <w:rFonts w:hint="cs"/>
          <w:sz w:val="26"/>
          <w:rtl/>
        </w:rPr>
        <w:t>24 אחוזים בקירוב</w:t>
      </w:r>
      <w:r>
        <w:rPr>
          <w:sz w:val="26"/>
          <w:rtl/>
        </w:rPr>
        <w:t xml:space="preserve">. </w:t>
      </w:r>
      <w:r w:rsidR="006823A7">
        <w:rPr>
          <w:rFonts w:hint="cs"/>
          <w:sz w:val="26"/>
          <w:rtl/>
        </w:rPr>
        <w:t xml:space="preserve">אחת </w:t>
      </w:r>
      <w:r>
        <w:rPr>
          <w:rFonts w:hint="cs"/>
          <w:sz w:val="26"/>
          <w:rtl/>
        </w:rPr>
        <w:t xml:space="preserve">הסיבות לקיומו של פער זה, </w:t>
      </w:r>
      <w:r w:rsidR="006823A7">
        <w:rPr>
          <w:rFonts w:hint="cs"/>
          <w:sz w:val="26"/>
          <w:rtl/>
        </w:rPr>
        <w:t xml:space="preserve">היא </w:t>
      </w:r>
      <w:r>
        <w:rPr>
          <w:rFonts w:hint="cs"/>
          <w:sz w:val="26"/>
          <w:rtl/>
        </w:rPr>
        <w:t>מבנה שבוע העבודה בישראל המורכב מארב</w:t>
      </w:r>
      <w:r w:rsidR="006823A7">
        <w:rPr>
          <w:rFonts w:hint="cs"/>
          <w:sz w:val="26"/>
          <w:rtl/>
        </w:rPr>
        <w:t>ע</w:t>
      </w:r>
      <w:r>
        <w:rPr>
          <w:rFonts w:hint="cs"/>
          <w:sz w:val="26"/>
          <w:rtl/>
        </w:rPr>
        <w:t xml:space="preserve">ים וחמש שעות שבועיות הפרוסות על פני חמישה ימי עבודה בשבוע. </w:t>
      </w:r>
    </w:p>
    <w:p w14:paraId="16B3C563" w14:textId="7C28AB19" w:rsidR="00B93B05" w:rsidRDefault="00B93B05" w:rsidP="00FF7DAB">
      <w:pPr>
        <w:pStyle w:val="Hesber"/>
        <w:spacing w:line="240" w:lineRule="auto"/>
        <w:rPr>
          <w:sz w:val="26"/>
          <w:rtl/>
        </w:rPr>
      </w:pPr>
      <w:r>
        <w:rPr>
          <w:rFonts w:hint="cs"/>
          <w:sz w:val="26"/>
          <w:rtl/>
        </w:rPr>
        <w:t>מחקרים שונים וכן ניסויים בחברות ישראליות מובילות מהשנים האחרונות, מצביעים על כך שקיצור שבוע העבודה במתכונת של משכורת משרה מלאה על ארבעה ימיי עבודה תוך שימור עבודה על פי יעדים, מאפשרת מיצוי טוב יותר של שעות העבודה במשק. יתרה מזאת, לקיצור שבוע העבודה השפעות חיוביות על בריאות העובדים, החוסן המשפחתי שלהם, וכן תרומה לאקלים הארגוני.</w:t>
      </w:r>
    </w:p>
    <w:p w14:paraId="54A3B075" w14:textId="5A119C66" w:rsidR="00B93B05" w:rsidRDefault="00B93B05" w:rsidP="00FF7DAB">
      <w:pPr>
        <w:pStyle w:val="Hesber"/>
        <w:spacing w:line="240" w:lineRule="auto"/>
        <w:rPr>
          <w:sz w:val="26"/>
          <w:rtl/>
        </w:rPr>
      </w:pPr>
      <w:r>
        <w:rPr>
          <w:sz w:val="26"/>
          <w:rtl/>
        </w:rPr>
        <w:t>קיצור שבוע העבודה מ-45 שעות עבודה שבועיות הקבועות בחוק ואף ממספר השעות הקבוע לפי צו הרחבה כללי במשק, ל-</w:t>
      </w:r>
      <w:r w:rsidR="006823A7">
        <w:rPr>
          <w:sz w:val="26"/>
          <w:rtl/>
        </w:rPr>
        <w:t>3</w:t>
      </w:r>
      <w:r w:rsidR="006823A7">
        <w:rPr>
          <w:rFonts w:hint="cs"/>
          <w:sz w:val="26"/>
          <w:rtl/>
        </w:rPr>
        <w:t>7</w:t>
      </w:r>
      <w:r w:rsidR="006823A7">
        <w:rPr>
          <w:sz w:val="26"/>
          <w:rtl/>
        </w:rPr>
        <w:t xml:space="preserve"> </w:t>
      </w:r>
      <w:r>
        <w:rPr>
          <w:sz w:val="26"/>
          <w:rtl/>
        </w:rPr>
        <w:t>שעות עבודה שבועיות הוא צעד חיוני לתנאי העבודה של ציבור השכירים בישראל</w:t>
      </w:r>
      <w:r w:rsidR="000A41D3">
        <w:rPr>
          <w:rFonts w:hint="cs"/>
          <w:sz w:val="26"/>
          <w:rtl/>
        </w:rPr>
        <w:t xml:space="preserve"> במיוחד</w:t>
      </w:r>
      <w:r>
        <w:rPr>
          <w:sz w:val="26"/>
          <w:rtl/>
        </w:rPr>
        <w:t xml:space="preserve">. החיים בישראל רוויים לחצים, בין היתר </w:t>
      </w:r>
      <w:r w:rsidR="006823A7">
        <w:rPr>
          <w:rFonts w:hint="cs"/>
          <w:sz w:val="26"/>
          <w:rtl/>
        </w:rPr>
        <w:t xml:space="preserve">בשל </w:t>
      </w:r>
      <w:r>
        <w:rPr>
          <w:sz w:val="26"/>
          <w:rtl/>
        </w:rPr>
        <w:t xml:space="preserve">שירות </w:t>
      </w:r>
      <w:r w:rsidR="006823A7">
        <w:rPr>
          <w:rFonts w:hint="cs"/>
          <w:sz w:val="26"/>
          <w:rtl/>
        </w:rPr>
        <w:t>ה</w:t>
      </w:r>
      <w:r>
        <w:rPr>
          <w:sz w:val="26"/>
          <w:rtl/>
        </w:rPr>
        <w:t>מילואים</w:t>
      </w:r>
      <w:r w:rsidR="006823A7">
        <w:rPr>
          <w:rFonts w:hint="cs"/>
          <w:sz w:val="26"/>
          <w:rtl/>
        </w:rPr>
        <w:t xml:space="preserve"> שעובדים ועובדות מחויבים בו ו</w:t>
      </w:r>
      <w:r>
        <w:rPr>
          <w:sz w:val="26"/>
          <w:rtl/>
        </w:rPr>
        <w:t>שיעור הלידות הגבוה</w:t>
      </w:r>
      <w:r w:rsidR="0066741C">
        <w:rPr>
          <w:rFonts w:hint="cs"/>
          <w:sz w:val="26"/>
          <w:rtl/>
        </w:rPr>
        <w:t xml:space="preserve"> בישראל ביחס</w:t>
      </w:r>
      <w:r>
        <w:rPr>
          <w:sz w:val="26"/>
          <w:rtl/>
        </w:rPr>
        <w:t xml:space="preserve"> </w:t>
      </w:r>
      <w:r w:rsidR="0066741C">
        <w:rPr>
          <w:rFonts w:hint="cs"/>
          <w:sz w:val="26"/>
          <w:rtl/>
        </w:rPr>
        <w:t>ל</w:t>
      </w:r>
      <w:r>
        <w:rPr>
          <w:sz w:val="26"/>
          <w:rtl/>
        </w:rPr>
        <w:t>מדינות המערב. בשל התנאים המיוחדים בישראל, על המדינה החובה ל</w:t>
      </w:r>
      <w:r w:rsidR="006823A7">
        <w:rPr>
          <w:rFonts w:hint="cs"/>
          <w:sz w:val="26"/>
          <w:rtl/>
        </w:rPr>
        <w:t>פעול בכדי ל</w:t>
      </w:r>
      <w:r>
        <w:rPr>
          <w:sz w:val="26"/>
          <w:rtl/>
        </w:rPr>
        <w:t>אפשר חיי משפחה תקינים הכוללים גידול של הילדות והילדים בצורה מתקבלת על הדעת</w:t>
      </w:r>
      <w:r w:rsidR="006823A7">
        <w:rPr>
          <w:rFonts w:hint="cs"/>
          <w:sz w:val="26"/>
          <w:rtl/>
        </w:rPr>
        <w:t xml:space="preserve"> ובכלל זה להוביל ל</w:t>
      </w:r>
      <w:r>
        <w:rPr>
          <w:sz w:val="26"/>
          <w:rtl/>
        </w:rPr>
        <w:t xml:space="preserve">איזון טוב יותר בין עבודה ופנאי על מנת לאזן את הלחצים המובנים הכרוכים בחיים במדינת ישראל. </w:t>
      </w:r>
    </w:p>
    <w:p w14:paraId="26B55B69" w14:textId="70A9ECA3" w:rsidR="00B93B05" w:rsidRDefault="00B93B05" w:rsidP="00FF7DAB">
      <w:pPr>
        <w:pStyle w:val="Hesber"/>
        <w:spacing w:line="240" w:lineRule="auto"/>
        <w:rPr>
          <w:sz w:val="26"/>
          <w:rtl/>
        </w:rPr>
      </w:pPr>
      <w:r>
        <w:rPr>
          <w:sz w:val="26"/>
          <w:rtl/>
        </w:rPr>
        <w:t>קיצור שבוע העבודה גם יתרום תרומה חשובה לצמצום היקף האבטלה ויפתח מקומות עבודה לעובדות ועובדים נוספים.</w:t>
      </w:r>
    </w:p>
    <w:p w14:paraId="45F5114C" w14:textId="133B6E72" w:rsidR="0066741C" w:rsidRDefault="000A41D3" w:rsidP="00FF7DAB">
      <w:pPr>
        <w:pStyle w:val="Hesber"/>
        <w:spacing w:line="240" w:lineRule="auto"/>
        <w:rPr>
          <w:sz w:val="26"/>
          <w:rtl/>
        </w:rPr>
      </w:pPr>
      <w:r>
        <w:rPr>
          <w:rFonts w:hint="cs"/>
          <w:sz w:val="26"/>
          <w:rtl/>
        </w:rPr>
        <w:t xml:space="preserve">יתרה מכך, קיצור שבוע העבודה </w:t>
      </w:r>
      <w:r w:rsidR="006823A7">
        <w:rPr>
          <w:rFonts w:hint="cs"/>
          <w:sz w:val="26"/>
          <w:rtl/>
        </w:rPr>
        <w:t>כך ש</w:t>
      </w:r>
      <w:r>
        <w:rPr>
          <w:rFonts w:hint="cs"/>
          <w:sz w:val="26"/>
          <w:rtl/>
        </w:rPr>
        <w:t>יום ראשון</w:t>
      </w:r>
      <w:r w:rsidR="006823A7">
        <w:rPr>
          <w:rFonts w:hint="cs"/>
          <w:sz w:val="26"/>
          <w:rtl/>
        </w:rPr>
        <w:t xml:space="preserve"> יהיה יום פנוי לעובדים</w:t>
      </w:r>
      <w:r>
        <w:rPr>
          <w:rFonts w:hint="cs"/>
          <w:sz w:val="26"/>
          <w:rtl/>
        </w:rPr>
        <w:t xml:space="preserve">, </w:t>
      </w:r>
      <w:r w:rsidR="006823A7">
        <w:rPr>
          <w:rFonts w:hint="cs"/>
          <w:sz w:val="26"/>
          <w:rtl/>
        </w:rPr>
        <w:t>י</w:t>
      </w:r>
      <w:r>
        <w:rPr>
          <w:rFonts w:hint="cs"/>
          <w:sz w:val="26"/>
          <w:rtl/>
        </w:rPr>
        <w:t>סייע לשיפור חופש הדת בישראל לבני דתות שונות. כך היום המקודש הן לאסלאם, הן ליהדות והן לנצרות ייכל</w:t>
      </w:r>
      <w:r>
        <w:rPr>
          <w:rFonts w:hint="eastAsia"/>
          <w:sz w:val="26"/>
          <w:rtl/>
        </w:rPr>
        <w:t>ל</w:t>
      </w:r>
      <w:r>
        <w:rPr>
          <w:rFonts w:hint="cs"/>
          <w:sz w:val="26"/>
          <w:rtl/>
        </w:rPr>
        <w:t xml:space="preserve"> בימי סוף השבוע ויאפשר חופש דת ופולחן לכל.</w:t>
      </w:r>
      <w:r w:rsidR="0066741C" w:rsidRPr="0066741C">
        <w:rPr>
          <w:rFonts w:hint="cs"/>
          <w:sz w:val="26"/>
          <w:rtl/>
        </w:rPr>
        <w:t xml:space="preserve"> </w:t>
      </w:r>
    </w:p>
    <w:p w14:paraId="2E81AD9A" w14:textId="64D1888A" w:rsidR="000A41D3" w:rsidRPr="000A41D3" w:rsidRDefault="0066741C" w:rsidP="00FF7DAB">
      <w:pPr>
        <w:pStyle w:val="Hesber"/>
        <w:spacing w:line="240" w:lineRule="auto"/>
        <w:rPr>
          <w:sz w:val="26"/>
        </w:rPr>
      </w:pPr>
      <w:r>
        <w:rPr>
          <w:rFonts w:hint="cs"/>
          <w:sz w:val="26"/>
          <w:rtl/>
        </w:rPr>
        <w:t>מגפת הקורונה הובילה לשינויים רבים בעולם התעסוקה, ב</w:t>
      </w:r>
      <w:r w:rsidR="006823A7">
        <w:rPr>
          <w:rFonts w:hint="cs"/>
          <w:sz w:val="26"/>
          <w:rtl/>
        </w:rPr>
        <w:t>י</w:t>
      </w:r>
      <w:r>
        <w:rPr>
          <w:rFonts w:hint="cs"/>
          <w:sz w:val="26"/>
          <w:rtl/>
        </w:rPr>
        <w:t>ניהם עבודה מהבית, עבודה היברידית וכן התחזקות של שיח ציבורי בנושא איזון בין הבית לעבודה. כמו כן, בתחילת חודש יוני 2022 אף הכריזה ממשלת בריטניה על קיצור שבוע העבודה לארבעה ימים בתחומי הממלכה המאוחדת.</w:t>
      </w:r>
    </w:p>
    <w:p w14:paraId="529B0EA0" w14:textId="77777777" w:rsidR="006823A7" w:rsidRDefault="00B93B05" w:rsidP="00FF7DAB">
      <w:pPr>
        <w:pStyle w:val="Hesber"/>
        <w:spacing w:line="240" w:lineRule="auto"/>
        <w:rPr>
          <w:sz w:val="26"/>
          <w:rtl/>
        </w:rPr>
      </w:pPr>
      <w:r>
        <w:rPr>
          <w:sz w:val="26"/>
          <w:rtl/>
        </w:rPr>
        <w:t>הצעות חוק דומות בעיקרן הונחו על שולחן הכנסת השמונה-עשרה, על שולחן הכנסת התשע-עשרה ועל שולחן הכנסת העשרים על ידי חבר הכנסת דב חנין וקבוצת חברי הכנסת (פ/386/18; פ/194/19; פ/462/20), על שולחן הכנסת העשרים ושתיים, על שולחן הכנסת העשרים ושלוש ועל שולחן הכנסת העשרים וארבע על ידי חברת הכנסת עאידה תומא סלימאן וקבוצת חברי הכנסת (פ/1416/22; פ/1136/23; פ</w:t>
      </w:r>
      <w:r>
        <w:rPr>
          <w:rFonts w:ascii="David" w:hAnsi="David"/>
          <w:sz w:val="24"/>
          <w:szCs w:val="24"/>
          <w:shd w:val="clear" w:color="auto" w:fill="FFFFFF"/>
          <w:rtl/>
        </w:rPr>
        <w:t>/</w:t>
      </w:r>
      <w:r>
        <w:rPr>
          <w:sz w:val="26"/>
          <w:rtl/>
        </w:rPr>
        <w:t>1463/24)</w:t>
      </w:r>
      <w:r w:rsidR="006823A7">
        <w:rPr>
          <w:rFonts w:hint="cs"/>
          <w:sz w:val="26"/>
          <w:rtl/>
        </w:rPr>
        <w:t>.</w:t>
      </w:r>
    </w:p>
    <w:p w14:paraId="5EED38BC" w14:textId="6A08C209" w:rsidR="00B93B05" w:rsidRDefault="00B93B05" w:rsidP="00FF7DAB">
      <w:pPr>
        <w:pStyle w:val="Hesber"/>
        <w:spacing w:line="240" w:lineRule="auto"/>
        <w:rPr>
          <w:sz w:val="26"/>
          <w:rtl/>
        </w:rPr>
      </w:pPr>
      <w:r>
        <w:rPr>
          <w:sz w:val="26"/>
          <w:rtl/>
        </w:rPr>
        <w:t>הצעות חוק זהות הונחו על שולחן הכנסת העשרים,</w:t>
      </w:r>
      <w:r>
        <w:rPr>
          <w:rtl/>
        </w:rPr>
        <w:t xml:space="preserve"> על שולחן הכנסת העשרים ושתיים ועל </w:t>
      </w:r>
      <w:r>
        <w:rPr>
          <w:sz w:val="26"/>
          <w:rtl/>
        </w:rPr>
        <w:t>שולחן הכנסת העשרים ושלוש</w:t>
      </w:r>
      <w:r>
        <w:rPr>
          <w:rtl/>
        </w:rPr>
        <w:t xml:space="preserve"> על ידי חברת הכנסת מרב מיכאלי </w:t>
      </w:r>
      <w:r>
        <w:rPr>
          <w:sz w:val="26"/>
          <w:rtl/>
        </w:rPr>
        <w:t>(</w:t>
      </w:r>
      <w:r>
        <w:rPr>
          <w:rtl/>
        </w:rPr>
        <w:t xml:space="preserve">פ/4182/20; פ/1135/22; </w:t>
      </w:r>
      <w:r w:rsidR="000A41D3">
        <w:rPr>
          <w:sz w:val="26"/>
          <w:rtl/>
        </w:rPr>
        <w:t xml:space="preserve">פ/894/23) </w:t>
      </w:r>
      <w:r>
        <w:rPr>
          <w:sz w:val="26"/>
          <w:rtl/>
        </w:rPr>
        <w:t>על שולחן הכנסת העשרים וארבע על ידי חברת הכנסת מרב מיכאלי וקבוצת חברי הכנסת (פ/352/24</w:t>
      </w:r>
      <w:r w:rsidR="000A41D3">
        <w:rPr>
          <w:rFonts w:hint="cs"/>
          <w:sz w:val="26"/>
          <w:rtl/>
        </w:rPr>
        <w:t>), על ידי חברת הכנסת נעמה לזימי (</w:t>
      </w:r>
      <w:r w:rsidR="000A41D3" w:rsidRPr="000A41D3">
        <w:rPr>
          <w:sz w:val="26"/>
          <w:rtl/>
        </w:rPr>
        <w:t>פ/2827/24</w:t>
      </w:r>
      <w:r w:rsidR="000A41D3">
        <w:rPr>
          <w:rFonts w:hint="cs"/>
          <w:sz w:val="26"/>
          <w:rtl/>
        </w:rPr>
        <w:t xml:space="preserve">), </w:t>
      </w:r>
      <w:r w:rsidR="006823A7">
        <w:rPr>
          <w:rFonts w:hint="cs"/>
          <w:sz w:val="26"/>
          <w:rtl/>
        </w:rPr>
        <w:t xml:space="preserve">ועל ידי חברת הכנסת </w:t>
      </w:r>
      <w:r w:rsidR="000A41D3">
        <w:rPr>
          <w:rFonts w:hint="cs"/>
          <w:sz w:val="26"/>
          <w:rtl/>
        </w:rPr>
        <w:t>מיכל רוזין (</w:t>
      </w:r>
      <w:r w:rsidR="000A41D3">
        <w:rPr>
          <w:rtl/>
        </w:rPr>
        <w:t>פ/2747/24</w:t>
      </w:r>
      <w:r w:rsidR="000A41D3">
        <w:rPr>
          <w:rFonts w:hint="cs"/>
          <w:rtl/>
        </w:rPr>
        <w:t>)</w:t>
      </w:r>
      <w:r w:rsidR="000A41D3">
        <w:rPr>
          <w:sz w:val="26"/>
          <w:rtl/>
        </w:rPr>
        <w:t>.</w:t>
      </w:r>
    </w:p>
    <w:p w14:paraId="589F0C16" w14:textId="3FB71A39" w:rsidR="006823A7" w:rsidRDefault="006823A7" w:rsidP="00FF7DAB">
      <w:pPr>
        <w:pStyle w:val="Hesber"/>
        <w:spacing w:line="240" w:lineRule="auto"/>
        <w:rPr>
          <w:sz w:val="26"/>
          <w:rtl/>
        </w:rPr>
      </w:pPr>
      <w:r>
        <w:rPr>
          <w:rFonts w:hint="cs"/>
          <w:sz w:val="26"/>
          <w:rtl/>
        </w:rPr>
        <w:t>הצעת החוק זהה לפ/894/23 ולפיכך לא נבדקה מחדש על ידי הלשכה המשפטית של הכנסת.</w:t>
      </w:r>
    </w:p>
    <w:p w14:paraId="6E75D6D8" w14:textId="77777777" w:rsidR="00FF7DAB" w:rsidRDefault="00FF7DAB" w:rsidP="00FF7DAB">
      <w:pPr>
        <w:pStyle w:val="Hesber"/>
        <w:spacing w:line="240" w:lineRule="auto"/>
        <w:rPr>
          <w:sz w:val="26"/>
          <w:rtl/>
        </w:rPr>
      </w:pPr>
    </w:p>
    <w:p w14:paraId="548A0F2E" w14:textId="77777777" w:rsidR="00C07555" w:rsidRDefault="00C9290D" w:rsidP="00FF7DAB">
      <w:pPr>
        <w:spacing w:line="240" w:lineRule="auto"/>
        <w:jc w:val="left"/>
      </w:pPr>
      <w:bookmarkStart w:id="9" w:name="selectedDocDateB"/>
      <w:bookmarkEnd w:id="9"/>
      <w:r>
        <w:rPr>
          <w:rFonts w:eastAsia="David" w:hint="cs"/>
          <w:sz w:val="26"/>
          <w:szCs w:val="26"/>
          <w:rtl/>
        </w:rPr>
        <w:t>--------------------------------</w:t>
      </w:r>
    </w:p>
    <w:p w14:paraId="4F753F1D" w14:textId="77777777" w:rsidR="00C07555" w:rsidRDefault="00C9290D" w:rsidP="00FF7DAB">
      <w:pPr>
        <w:spacing w:line="240" w:lineRule="auto"/>
        <w:jc w:val="left"/>
      </w:pPr>
      <w:r>
        <w:rPr>
          <w:rFonts w:eastAsia="David" w:hint="cs"/>
          <w:sz w:val="26"/>
          <w:szCs w:val="26"/>
          <w:rtl/>
        </w:rPr>
        <w:t>הוגשה ליו"ר הכנסת והסגנים</w:t>
      </w:r>
    </w:p>
    <w:p w14:paraId="6003087C" w14:textId="77777777" w:rsidR="00C07555" w:rsidRDefault="00C9290D" w:rsidP="00FF7DAB">
      <w:pPr>
        <w:spacing w:line="240" w:lineRule="auto"/>
        <w:jc w:val="left"/>
      </w:pPr>
      <w:r>
        <w:rPr>
          <w:rFonts w:eastAsia="David" w:hint="cs"/>
          <w:sz w:val="26"/>
          <w:szCs w:val="26"/>
          <w:rtl/>
        </w:rPr>
        <w:t>והונחה על שולחן הכנסת ביום</w:t>
      </w:r>
    </w:p>
    <w:p w14:paraId="6F696BCA" w14:textId="77777777" w:rsidR="00C07555" w:rsidRDefault="00C9290D" w:rsidP="00FF7DAB">
      <w:pPr>
        <w:spacing w:line="240" w:lineRule="auto"/>
        <w:jc w:val="left"/>
      </w:pPr>
      <w:r>
        <w:rPr>
          <w:rFonts w:eastAsia="David" w:hint="cs"/>
          <w:sz w:val="26"/>
          <w:szCs w:val="26"/>
          <w:rtl/>
        </w:rPr>
        <w:t xml:space="preserve">כ"ח בסיוון התשפ"ב (27.06.2022) </w:t>
      </w:r>
    </w:p>
    <w:p w14:paraId="07DA15FC" w14:textId="77777777" w:rsidR="00C07555" w:rsidRDefault="00C07555" w:rsidP="00FF7DAB">
      <w:pPr>
        <w:spacing w:line="240" w:lineRule="auto"/>
        <w:jc w:val="left"/>
      </w:pPr>
    </w:p>
    <w:sectPr w:rsidR="00C07555" w:rsidSect="00FF7DA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F78FBF6"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9290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FF7DA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31CAA2D" w14:textId="77777777" w:rsidR="0071781B" w:rsidRDefault="0071781B" w:rsidP="0071781B">
      <w:pPr>
        <w:pStyle w:val="a4"/>
        <w:rPr>
          <w:rtl/>
        </w:rPr>
      </w:pPr>
      <w:r>
        <w:rPr>
          <w:rStyle w:val="a6"/>
        </w:rPr>
        <w:footnoteRef/>
      </w:r>
      <w:r>
        <w:rPr>
          <w:rFonts w:hint="cs"/>
          <w:rtl/>
        </w:rPr>
        <w:t xml:space="preserve"> ס"ח התשי"א, עמ' 204.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41D3"/>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6741C"/>
    <w:rsid w:val="006818A9"/>
    <w:rsid w:val="006823A7"/>
    <w:rsid w:val="006A2D81"/>
    <w:rsid w:val="006C1D0D"/>
    <w:rsid w:val="0070601E"/>
    <w:rsid w:val="00712C72"/>
    <w:rsid w:val="0071781B"/>
    <w:rsid w:val="00735FE9"/>
    <w:rsid w:val="00763CAA"/>
    <w:rsid w:val="00765F66"/>
    <w:rsid w:val="00784B5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E4245"/>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3B05"/>
    <w:rsid w:val="00B975AD"/>
    <w:rsid w:val="00BC45FB"/>
    <w:rsid w:val="00BF148D"/>
    <w:rsid w:val="00C07555"/>
    <w:rsid w:val="00C23B1A"/>
    <w:rsid w:val="00C310EB"/>
    <w:rsid w:val="00C9176A"/>
    <w:rsid w:val="00C9290D"/>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EF67E4"/>
    <w:rsid w:val="00F628D6"/>
    <w:rsid w:val="00F67051"/>
    <w:rsid w:val="00F86A1E"/>
    <w:rsid w:val="00FA5E88"/>
    <w:rsid w:val="00FF7D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297C91E-8F0C-4DA8-9306-85E24E58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DA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F7DA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F7DA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F7DA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F7DA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F7DAB"/>
    <w:pPr>
      <w:spacing w:line="259" w:lineRule="auto"/>
      <w:outlineLvl w:val="4"/>
    </w:pPr>
    <w:rPr>
      <w:color w:val="000000" w:themeColor="text1"/>
    </w:rPr>
  </w:style>
  <w:style w:type="character" w:default="1" w:styleId="a0">
    <w:name w:val="Default Paragraph Font"/>
    <w:uiPriority w:val="1"/>
    <w:semiHidden/>
    <w:unhideWhenUsed/>
    <w:rsid w:val="00FF7DA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F7DAB"/>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F7DA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F7DAB"/>
    <w:rPr>
      <w:sz w:val="36"/>
      <w:szCs w:val="52"/>
    </w:rPr>
  </w:style>
  <w:style w:type="paragraph" w:customStyle="1" w:styleId="Cover3-Haknesset">
    <w:name w:val="Cover 3-Haknesset"/>
    <w:basedOn w:val="Cover1-Reshumot"/>
    <w:rsid w:val="00FF7DAB"/>
    <w:rPr>
      <w:b/>
      <w:bCs/>
      <w:spacing w:val="60"/>
    </w:rPr>
  </w:style>
  <w:style w:type="paragraph" w:customStyle="1" w:styleId="Cover4-Date">
    <w:name w:val="Cover 4-Date"/>
    <w:basedOn w:val="a"/>
    <w:rsid w:val="00FF7DA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F7DA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F7DA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F7DAB"/>
    <w:pPr>
      <w:spacing w:before="120" w:after="120"/>
    </w:pPr>
    <w:rPr>
      <w:color w:val="FF0000"/>
      <w:w w:val="80"/>
    </w:rPr>
  </w:style>
  <w:style w:type="paragraph" w:styleId="a3">
    <w:name w:val="endnote text"/>
    <w:basedOn w:val="a"/>
    <w:semiHidden/>
    <w:rsid w:val="00FF7DAB"/>
    <w:pPr>
      <w:ind w:left="227" w:hanging="227"/>
    </w:pPr>
    <w:rPr>
      <w:sz w:val="14"/>
      <w:szCs w:val="22"/>
    </w:rPr>
  </w:style>
  <w:style w:type="paragraph" w:customStyle="1" w:styleId="TableText">
    <w:name w:val="Table Text"/>
    <w:basedOn w:val="a"/>
    <w:rsid w:val="00FF7DA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F7DAB"/>
    <w:pPr>
      <w:outlineLvl w:val="2"/>
    </w:pPr>
  </w:style>
  <w:style w:type="paragraph" w:customStyle="1" w:styleId="TableBlock">
    <w:name w:val="Table Block"/>
    <w:basedOn w:val="TableText"/>
    <w:rsid w:val="00FF7DAB"/>
    <w:pPr>
      <w:jc w:val="both"/>
    </w:pPr>
  </w:style>
  <w:style w:type="paragraph" w:customStyle="1" w:styleId="TableHead">
    <w:name w:val="Table Head"/>
    <w:basedOn w:val="TableText"/>
    <w:rsid w:val="00FF7DA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F7DAB"/>
    <w:pPr>
      <w:outlineLvl w:val="9"/>
    </w:pPr>
  </w:style>
  <w:style w:type="paragraph" w:customStyle="1" w:styleId="Hesber">
    <w:name w:val="Hesber"/>
    <w:basedOn w:val="a"/>
    <w:rsid w:val="00FF7DAB"/>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FF7DA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FF7DAB"/>
    <w:rPr>
      <w:vertAlign w:val="superscript"/>
    </w:rPr>
  </w:style>
  <w:style w:type="paragraph" w:customStyle="1" w:styleId="HesberHeading">
    <w:name w:val="Hesber Heading"/>
    <w:basedOn w:val="Hesber"/>
    <w:rsid w:val="00FF7DAB"/>
    <w:pPr>
      <w:tabs>
        <w:tab w:val="left" w:pos="624"/>
        <w:tab w:val="left" w:pos="1247"/>
      </w:tabs>
    </w:pPr>
    <w:rPr>
      <w:b/>
      <w:bCs/>
    </w:rPr>
  </w:style>
  <w:style w:type="paragraph" w:customStyle="1" w:styleId="HesberWriters">
    <w:name w:val="Hesber Writers"/>
    <w:basedOn w:val="Hesber"/>
    <w:rsid w:val="00FF7DAB"/>
    <w:pPr>
      <w:spacing w:before="120" w:after="120"/>
      <w:ind w:left="1418"/>
      <w:jc w:val="right"/>
    </w:pPr>
    <w:rPr>
      <w:b/>
      <w:bCs/>
    </w:rPr>
  </w:style>
  <w:style w:type="paragraph" w:customStyle="1" w:styleId="Hesber1st">
    <w:name w:val="Hesber 1st"/>
    <w:basedOn w:val="Hesber"/>
    <w:rsid w:val="00FF7DAB"/>
    <w:pPr>
      <w:tabs>
        <w:tab w:val="left" w:pos="680"/>
        <w:tab w:val="left" w:pos="1020"/>
      </w:tabs>
      <w:ind w:firstLine="0"/>
    </w:pPr>
  </w:style>
  <w:style w:type="character" w:styleId="a7">
    <w:name w:val="endnote reference"/>
    <w:basedOn w:val="a0"/>
    <w:semiHidden/>
    <w:rsid w:val="00FF7DAB"/>
    <w:rPr>
      <w:vertAlign w:val="superscript"/>
    </w:rPr>
  </w:style>
  <w:style w:type="paragraph" w:customStyle="1" w:styleId="TableBlockOutdent">
    <w:name w:val="Table BlockOutdent"/>
    <w:basedOn w:val="TableBlock"/>
    <w:rsid w:val="00FF7DAB"/>
    <w:pPr>
      <w:ind w:left="624" w:hanging="624"/>
    </w:pPr>
  </w:style>
  <w:style w:type="paragraph" w:styleId="a8">
    <w:name w:val="header"/>
    <w:basedOn w:val="a"/>
    <w:rsid w:val="00FF7DAB"/>
    <w:pPr>
      <w:tabs>
        <w:tab w:val="center" w:pos="4153"/>
        <w:tab w:val="right" w:pos="8306"/>
      </w:tabs>
    </w:pPr>
  </w:style>
  <w:style w:type="paragraph" w:styleId="a9">
    <w:name w:val="footer"/>
    <w:basedOn w:val="a"/>
    <w:rsid w:val="00FF7DAB"/>
    <w:pPr>
      <w:tabs>
        <w:tab w:val="center" w:pos="4153"/>
        <w:tab w:val="right" w:pos="8306"/>
      </w:tabs>
    </w:pPr>
  </w:style>
  <w:style w:type="paragraph" w:customStyle="1" w:styleId="HeadDivreiHesber">
    <w:name w:val="Head DivreiHesber"/>
    <w:basedOn w:val="a"/>
    <w:rsid w:val="00FF7DA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F7DA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FF7DA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71781B"/>
    <w:rPr>
      <w:rFonts w:ascii="Arial" w:eastAsia="Arial Unicode MS" w:hAnsi="Arial" w:cs="David"/>
      <w:snapToGrid w:val="0"/>
      <w:sz w:val="14"/>
    </w:rPr>
  </w:style>
  <w:style w:type="character" w:customStyle="1" w:styleId="10">
    <w:name w:val="כותרת 1 תו"/>
    <w:basedOn w:val="a0"/>
    <w:link w:val="1"/>
    <w:uiPriority w:val="9"/>
    <w:rsid w:val="00FF7DAB"/>
    <w:rPr>
      <w:rFonts w:asciiTheme="majorHAnsi" w:eastAsiaTheme="majorEastAsia" w:hAnsiTheme="majorHAnsi" w:cs="David"/>
      <w:bCs/>
      <w:sz w:val="32"/>
      <w:szCs w:val="36"/>
    </w:rPr>
  </w:style>
  <w:style w:type="character" w:customStyle="1" w:styleId="20">
    <w:name w:val="כותרת 2 תו"/>
    <w:basedOn w:val="a0"/>
    <w:link w:val="2"/>
    <w:rsid w:val="00FF7DAB"/>
    <w:rPr>
      <w:rFonts w:asciiTheme="majorHAnsi" w:eastAsiaTheme="majorEastAsia" w:hAnsiTheme="majorHAnsi" w:cs="David"/>
      <w:bCs/>
      <w:sz w:val="26"/>
      <w:szCs w:val="36"/>
      <w:u w:val="single"/>
    </w:rPr>
  </w:style>
  <w:style w:type="character" w:customStyle="1" w:styleId="30">
    <w:name w:val="כותרת 3 תו"/>
    <w:basedOn w:val="a0"/>
    <w:link w:val="3"/>
    <w:rsid w:val="00FF7DAB"/>
    <w:rPr>
      <w:rFonts w:asciiTheme="majorHAnsi" w:eastAsiaTheme="majorEastAsia" w:hAnsiTheme="majorHAnsi" w:cs="David"/>
      <w:sz w:val="24"/>
      <w:szCs w:val="28"/>
      <w:u w:val="double"/>
    </w:rPr>
  </w:style>
  <w:style w:type="character" w:customStyle="1" w:styleId="40">
    <w:name w:val="כותרת 4 תו"/>
    <w:basedOn w:val="a0"/>
    <w:link w:val="4"/>
    <w:uiPriority w:val="9"/>
    <w:rsid w:val="00FF7DA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F7DAB"/>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FF7DAB"/>
    <w:pPr>
      <w:widowControl/>
      <w:spacing w:before="120" w:after="120"/>
      <w:outlineLvl w:val="9"/>
    </w:pPr>
    <w:rPr>
      <w:rtl/>
      <w:cs/>
    </w:rPr>
  </w:style>
  <w:style w:type="paragraph" w:styleId="TOC1">
    <w:name w:val="toc 1"/>
    <w:basedOn w:val="a"/>
    <w:next w:val="a"/>
    <w:autoRedefine/>
    <w:uiPriority w:val="39"/>
    <w:unhideWhenUsed/>
    <w:rsid w:val="00FF7DAB"/>
    <w:pPr>
      <w:tabs>
        <w:tab w:val="right" w:leader="dot" w:pos="9629"/>
      </w:tabs>
      <w:spacing w:after="100"/>
    </w:pPr>
    <w:rPr>
      <w:bCs/>
      <w:szCs w:val="22"/>
    </w:rPr>
  </w:style>
  <w:style w:type="paragraph" w:styleId="TOC2">
    <w:name w:val="toc 2"/>
    <w:basedOn w:val="a"/>
    <w:next w:val="a"/>
    <w:uiPriority w:val="39"/>
    <w:unhideWhenUsed/>
    <w:rsid w:val="00FF7DAB"/>
    <w:pPr>
      <w:tabs>
        <w:tab w:val="right" w:leader="dot" w:pos="9628"/>
      </w:tabs>
      <w:spacing w:after="100"/>
    </w:pPr>
    <w:rPr>
      <w:szCs w:val="22"/>
    </w:rPr>
  </w:style>
  <w:style w:type="character" w:styleId="Hyperlink">
    <w:name w:val="Hyperlink"/>
    <w:basedOn w:val="a0"/>
    <w:uiPriority w:val="99"/>
    <w:unhideWhenUsed/>
    <w:rsid w:val="00FF7DAB"/>
    <w:rPr>
      <w:color w:val="0000FF" w:themeColor="hyperlink"/>
      <w:u w:val="single"/>
    </w:rPr>
  </w:style>
  <w:style w:type="paragraph" w:styleId="TOC3">
    <w:name w:val="toc 3"/>
    <w:basedOn w:val="a"/>
    <w:next w:val="a"/>
    <w:uiPriority w:val="39"/>
    <w:unhideWhenUsed/>
    <w:rsid w:val="00FF7DAB"/>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F7DA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F7DAB"/>
    <w:pPr>
      <w:tabs>
        <w:tab w:val="right" w:leader="dot" w:pos="9628"/>
      </w:tabs>
      <w:spacing w:after="100"/>
      <w:ind w:left="567"/>
    </w:pPr>
    <w:rPr>
      <w:szCs w:val="22"/>
    </w:rPr>
  </w:style>
  <w:style w:type="paragraph" w:styleId="TOC6">
    <w:name w:val="toc 6"/>
    <w:basedOn w:val="a"/>
    <w:next w:val="a"/>
    <w:autoRedefine/>
    <w:semiHidden/>
    <w:unhideWhenUsed/>
    <w:rsid w:val="00FF7DAB"/>
    <w:pPr>
      <w:spacing w:after="100"/>
      <w:ind w:left="850"/>
    </w:pPr>
  </w:style>
  <w:style w:type="paragraph" w:styleId="TOC7">
    <w:name w:val="toc 7"/>
    <w:basedOn w:val="a"/>
    <w:next w:val="a"/>
    <w:autoRedefine/>
    <w:semiHidden/>
    <w:unhideWhenUsed/>
    <w:rsid w:val="00FF7DAB"/>
    <w:pPr>
      <w:spacing w:after="100"/>
      <w:ind w:left="1020"/>
    </w:pPr>
  </w:style>
  <w:style w:type="paragraph" w:styleId="TOC8">
    <w:name w:val="toc 8"/>
    <w:basedOn w:val="a"/>
    <w:next w:val="a"/>
    <w:autoRedefine/>
    <w:semiHidden/>
    <w:unhideWhenUsed/>
    <w:rsid w:val="00FF7DAB"/>
    <w:pPr>
      <w:spacing w:after="100"/>
      <w:ind w:left="1190"/>
    </w:pPr>
  </w:style>
  <w:style w:type="paragraph" w:styleId="TOC9">
    <w:name w:val="toc 9"/>
    <w:basedOn w:val="a"/>
    <w:next w:val="a"/>
    <w:autoRedefine/>
    <w:semiHidden/>
    <w:unhideWhenUsed/>
    <w:rsid w:val="00FF7DAB"/>
    <w:pPr>
      <w:spacing w:after="100"/>
      <w:ind w:left="1360"/>
    </w:pPr>
  </w:style>
  <w:style w:type="paragraph" w:customStyle="1" w:styleId="TableHead2">
    <w:name w:val="Table Head2"/>
    <w:basedOn w:val="TableHead"/>
    <w:qFormat/>
    <w:rsid w:val="00FF7DAB"/>
    <w:pPr>
      <w:outlineLvl w:val="9"/>
    </w:pPr>
  </w:style>
  <w:style w:type="paragraph" w:customStyle="1" w:styleId="TableSideHeading2">
    <w:name w:val="Table SideHeading2"/>
    <w:basedOn w:val="TableSideHeading"/>
    <w:autoRedefine/>
    <w:qFormat/>
    <w:rsid w:val="00FF7DAB"/>
    <w:pPr>
      <w:keepLines w:val="0"/>
      <w:outlineLvl w:val="9"/>
    </w:pPr>
  </w:style>
  <w:style w:type="paragraph" w:customStyle="1" w:styleId="0">
    <w:name w:val="סגנון שורה ראשונה:  0  ס''מ"/>
    <w:basedOn w:val="2"/>
    <w:rsid w:val="00FF7DAB"/>
    <w:rPr>
      <w:rFonts w:eastAsia="Times New Roman"/>
    </w:rPr>
  </w:style>
  <w:style w:type="paragraph" w:styleId="af">
    <w:name w:val="List Paragraph"/>
    <w:basedOn w:val="a"/>
    <w:uiPriority w:val="34"/>
    <w:qFormat/>
    <w:rsid w:val="00FF7DAB"/>
    <w:pPr>
      <w:widowControl/>
      <w:spacing w:line="259" w:lineRule="auto"/>
    </w:pPr>
    <w:rPr>
      <w:rFonts w:asciiTheme="minorHAnsi" w:hAnsiTheme="minorHAnsi"/>
      <w:sz w:val="22"/>
    </w:rPr>
  </w:style>
  <w:style w:type="table" w:styleId="af0">
    <w:name w:val="Table Grid"/>
    <w:basedOn w:val="a1"/>
    <w:rsid w:val="00FF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F7D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F7D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FF7DA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F7DA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28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www.w3.org/XML/1998/namespace"/>
    <ds:schemaRef ds:uri="http://schemas.microsoft.com/office/infopath/2007/PartnerControls"/>
    <ds:schemaRef ds:uri="290d5b49-c690-4c6f-bbb9-1e50dab33ee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BBF45B3-63B2-4D24-BA65-2A55ED1B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E368A-3E5F-4BCD-BA73-34DB74CE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664</Words>
  <Characters>3320</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2013-07-04T08:25:00Z</cp:lastPrinted>
  <dcterms:created xsi:type="dcterms:W3CDTF">2015-04-20T09:58:00Z</dcterms:created>
  <dcterms:modified xsi:type="dcterms:W3CDTF">2022-06-23T06:41:00Z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2193586</vt:r8>
  </property>
</Properties>
</file>