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2194105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226D4BB5" w:rsidR="00E13C27" w:rsidRPr="00CF1AA2" w:rsidRDefault="008F6665" w:rsidP="003E61EA">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אלי כהן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F8C677F"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3E61EA">
        <w:rPr>
          <w:rtl/>
        </w:rPr>
        <w:tab/>
      </w:r>
      <w:r>
        <w:rPr>
          <w:rFonts w:hint="cs"/>
          <w:rtl/>
        </w:rPr>
        <w:t>פ/3975/24</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ליישוב תחת איום </w:t>
      </w:r>
      <w:proofErr w:type="spellStart"/>
      <w:r>
        <w:rPr>
          <w:rFonts w:hint="cs"/>
          <w:rtl/>
        </w:rPr>
        <w:t>מיידי</w:t>
      </w:r>
      <w:proofErr w:type="spellEnd"/>
      <w:r>
        <w:rPr>
          <w:rFonts w:hint="cs"/>
          <w:rtl/>
        </w:rPr>
        <w:t xml:space="preserve"> (הוראת שעה), </w:t>
      </w:r>
      <w:proofErr w:type="spellStart"/>
      <w:r>
        <w:rPr>
          <w:rFonts w:hint="cs"/>
          <w:rtl/>
        </w:rPr>
        <w:t>התשפ"ב</w:t>
      </w:r>
      <w:proofErr w:type="spellEnd"/>
      <w:r>
        <w:rPr>
          <w:rFonts w:hint="cs"/>
          <w:rtl/>
        </w:rPr>
        <w:t>–2022</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3C4742" w14:paraId="45C71436" w14:textId="77777777" w:rsidTr="003E61EA">
        <w:trPr>
          <w:cantSplit/>
        </w:trPr>
        <w:tc>
          <w:tcPr>
            <w:tcW w:w="1871" w:type="dxa"/>
          </w:tcPr>
          <w:p w14:paraId="7BF987C4" w14:textId="77777777" w:rsidR="003C4742" w:rsidRDefault="003C4742" w:rsidP="00D0109D">
            <w:pPr>
              <w:pStyle w:val="TableSideHeading"/>
            </w:pPr>
            <w:r>
              <w:rPr>
                <w:rFonts w:hint="cs"/>
                <w:rtl/>
              </w:rPr>
              <w:t xml:space="preserve">יישוב תחת איום </w:t>
            </w:r>
            <w:proofErr w:type="spellStart"/>
            <w:r>
              <w:rPr>
                <w:rFonts w:hint="cs"/>
                <w:rtl/>
              </w:rPr>
              <w:t>מיידי</w:t>
            </w:r>
            <w:proofErr w:type="spellEnd"/>
          </w:p>
        </w:tc>
        <w:tc>
          <w:tcPr>
            <w:tcW w:w="624" w:type="dxa"/>
          </w:tcPr>
          <w:p w14:paraId="2EDA6251" w14:textId="77777777" w:rsidR="003C4742" w:rsidRPr="00531F08" w:rsidRDefault="003C4742" w:rsidP="00D0109D">
            <w:pPr>
              <w:pStyle w:val="TableText"/>
            </w:pPr>
            <w:r>
              <w:rPr>
                <w:rFonts w:hint="cs"/>
                <w:rtl/>
              </w:rPr>
              <w:t>1</w:t>
            </w:r>
            <w:r w:rsidRPr="00531F08">
              <w:rPr>
                <w:rFonts w:hint="cs"/>
                <w:rtl/>
              </w:rPr>
              <w:t>.</w:t>
            </w:r>
          </w:p>
        </w:tc>
        <w:tc>
          <w:tcPr>
            <w:tcW w:w="7143" w:type="dxa"/>
          </w:tcPr>
          <w:p w14:paraId="0AFA7780" w14:textId="77777777" w:rsidR="003C4742" w:rsidRDefault="003C4742" w:rsidP="003E61EA">
            <w:pPr>
              <w:pStyle w:val="TableBlock"/>
            </w:pPr>
            <w:r>
              <w:rPr>
                <w:rFonts w:hint="cs"/>
                <w:rtl/>
              </w:rPr>
              <w:t xml:space="preserve">מי שהיה במשך כל שנת המס 2020 או שנת המס 2021 תושב ביישוב תחת איום </w:t>
            </w:r>
            <w:proofErr w:type="spellStart"/>
            <w:r>
              <w:rPr>
                <w:rFonts w:hint="cs"/>
                <w:rtl/>
              </w:rPr>
              <w:t>מיידי</w:t>
            </w:r>
            <w:proofErr w:type="spellEnd"/>
            <w:r>
              <w:rPr>
                <w:rFonts w:hint="cs"/>
                <w:rtl/>
              </w:rPr>
              <w:t xml:space="preserve"> זכאי באותה שנה לזיכוי ממס בשיעור של 10% מהכנסתו החייבת מיגיעה אישית עד לתקרת הכנסה של 162,000 שקלים חדשים, ובלבד שאם הוא זכאי לזיכוי כאמור וכן לזיכוי אחר לפי הוראות סעיף 11 לפקודת מס הכנסה</w:t>
            </w:r>
            <w:r w:rsidRPr="003E61EA">
              <w:rPr>
                <w:rStyle w:val="a6"/>
                <w:rFonts w:ascii="David" w:hAnsi="David"/>
                <w:sz w:val="26"/>
                <w:szCs w:val="18"/>
                <w:rtl/>
              </w:rPr>
              <w:footnoteReference w:id="2"/>
            </w:r>
            <w:r>
              <w:rPr>
                <w:rFonts w:hint="cs"/>
                <w:rtl/>
              </w:rPr>
              <w:t xml:space="preserve">, </w:t>
            </w:r>
            <w:r w:rsidRPr="00873CE1">
              <w:rPr>
                <w:rFonts w:hint="cs"/>
                <w:rtl/>
              </w:rPr>
              <w:t>הברירה בידו לב</w:t>
            </w:r>
            <w:r>
              <w:rPr>
                <w:rFonts w:hint="cs"/>
                <w:rtl/>
              </w:rPr>
              <w:t xml:space="preserve">חור באחד מהם; לעניין זה </w:t>
            </w:r>
            <w:r>
              <w:rPr>
                <w:rtl/>
              </w:rPr>
              <w:t>–</w:t>
            </w:r>
          </w:p>
        </w:tc>
      </w:tr>
      <w:tr w:rsidR="003C4742" w:rsidRPr="00EC0AF0" w14:paraId="39492A17" w14:textId="77777777" w:rsidTr="003E61EA">
        <w:trPr>
          <w:cantSplit/>
        </w:trPr>
        <w:tc>
          <w:tcPr>
            <w:tcW w:w="1871" w:type="dxa"/>
          </w:tcPr>
          <w:p w14:paraId="015F23A1" w14:textId="77777777" w:rsidR="003C4742" w:rsidRDefault="003C4742" w:rsidP="00D0109D">
            <w:pPr>
              <w:pStyle w:val="TableSideHeading"/>
            </w:pPr>
          </w:p>
        </w:tc>
        <w:tc>
          <w:tcPr>
            <w:tcW w:w="624" w:type="dxa"/>
          </w:tcPr>
          <w:p w14:paraId="39E679F5" w14:textId="77777777" w:rsidR="003C4742" w:rsidRDefault="003C4742" w:rsidP="00D0109D">
            <w:pPr>
              <w:pStyle w:val="TableText"/>
            </w:pPr>
          </w:p>
        </w:tc>
        <w:tc>
          <w:tcPr>
            <w:tcW w:w="7143" w:type="dxa"/>
          </w:tcPr>
          <w:p w14:paraId="59E174C2" w14:textId="77777777" w:rsidR="003C4742" w:rsidRPr="00EC0AF0" w:rsidRDefault="003C4742" w:rsidP="003E61EA">
            <w:pPr>
              <w:pStyle w:val="TableBlockOutdent"/>
            </w:pPr>
            <w:r w:rsidRPr="00EC0AF0">
              <w:rPr>
                <w:rFonts w:hint="cs"/>
                <w:rtl/>
              </w:rPr>
              <w:t xml:space="preserve">"יישוב תחת איום </w:t>
            </w:r>
            <w:proofErr w:type="spellStart"/>
            <w:r w:rsidRPr="00EC0AF0">
              <w:rPr>
                <w:rFonts w:hint="cs"/>
                <w:rtl/>
              </w:rPr>
              <w:t>מיידי</w:t>
            </w:r>
            <w:proofErr w:type="spellEnd"/>
            <w:r w:rsidRPr="00EC0AF0">
              <w:rPr>
                <w:rFonts w:hint="cs"/>
                <w:rtl/>
              </w:rPr>
              <w:t xml:space="preserve">" </w:t>
            </w:r>
            <w:r w:rsidRPr="00EC0AF0">
              <w:rPr>
                <w:rtl/>
              </w:rPr>
              <w:t>–</w:t>
            </w:r>
            <w:r w:rsidRPr="00EC0AF0">
              <w:rPr>
                <w:rFonts w:hint="cs"/>
                <w:rtl/>
              </w:rPr>
              <w:t xml:space="preserve"> יישוב ש</w:t>
            </w:r>
            <w:r>
              <w:rPr>
                <w:rFonts w:hint="cs"/>
                <w:rtl/>
              </w:rPr>
              <w:t xml:space="preserve">בו </w:t>
            </w:r>
            <w:r w:rsidRPr="00EC0AF0">
              <w:rPr>
                <w:rFonts w:hint="cs"/>
                <w:rtl/>
              </w:rPr>
              <w:t xml:space="preserve">זמן </w:t>
            </w:r>
            <w:r>
              <w:rPr>
                <w:rFonts w:hint="cs"/>
                <w:rtl/>
              </w:rPr>
              <w:t xml:space="preserve">הכניסה למרחב </w:t>
            </w:r>
            <w:r w:rsidRPr="00EC0AF0">
              <w:rPr>
                <w:rFonts w:hint="cs"/>
                <w:rtl/>
              </w:rPr>
              <w:t>מוגן בהתאם להוראות פיקוד העורף אינו עולה על 30 שניות.</w:t>
            </w:r>
          </w:p>
        </w:tc>
      </w:tr>
      <w:tr w:rsidR="003C4742" w:rsidRPr="00EC0AF0" w14:paraId="7D4C9EC2" w14:textId="77777777" w:rsidTr="003E61EA">
        <w:trPr>
          <w:cantSplit/>
        </w:trPr>
        <w:tc>
          <w:tcPr>
            <w:tcW w:w="1871" w:type="dxa"/>
          </w:tcPr>
          <w:p w14:paraId="46E0989C" w14:textId="77777777" w:rsidR="003C4742" w:rsidRDefault="003C4742" w:rsidP="00D0109D">
            <w:pPr>
              <w:pStyle w:val="TableSideHeading"/>
            </w:pPr>
          </w:p>
        </w:tc>
        <w:tc>
          <w:tcPr>
            <w:tcW w:w="624" w:type="dxa"/>
          </w:tcPr>
          <w:p w14:paraId="314B73DC" w14:textId="77777777" w:rsidR="003C4742" w:rsidRDefault="003C4742" w:rsidP="00D0109D">
            <w:pPr>
              <w:pStyle w:val="TableText"/>
            </w:pPr>
          </w:p>
        </w:tc>
        <w:tc>
          <w:tcPr>
            <w:tcW w:w="7143" w:type="dxa"/>
          </w:tcPr>
          <w:p w14:paraId="36A89AEF" w14:textId="77777777" w:rsidR="003C4742" w:rsidRPr="00EC0AF0" w:rsidRDefault="003C4742" w:rsidP="003E61EA">
            <w:pPr>
              <w:pStyle w:val="TableBlockOutdent"/>
              <w:rPr>
                <w:rtl/>
              </w:rPr>
            </w:pPr>
            <w:r w:rsidRPr="00EC0AF0">
              <w:rPr>
                <w:rFonts w:hint="cs"/>
                <w:rtl/>
              </w:rPr>
              <w:t xml:space="preserve">"תושב" </w:t>
            </w:r>
            <w:r w:rsidRPr="00EC0AF0">
              <w:rPr>
                <w:rtl/>
              </w:rPr>
              <w:t>–</w:t>
            </w:r>
            <w:r w:rsidRPr="00EC0AF0">
              <w:rPr>
                <w:rFonts w:hint="cs"/>
                <w:rtl/>
              </w:rPr>
              <w:t xml:space="preserve"> יחיד שמרכז חייו באותו יישוב." </w:t>
            </w:r>
          </w:p>
        </w:tc>
      </w:tr>
    </w:tbl>
    <w:p w14:paraId="7F6961CA" w14:textId="77777777" w:rsidR="002D1EE3" w:rsidRDefault="002D1EE3" w:rsidP="002D1EE3">
      <w:pPr>
        <w:pStyle w:val="HeadDivreiHesber"/>
        <w:rPr>
          <w:rtl/>
        </w:rPr>
      </w:pPr>
      <w:r w:rsidRPr="0027450A">
        <w:rPr>
          <w:rFonts w:hint="cs"/>
          <w:rtl/>
        </w:rPr>
        <w:t>דברי הסבר</w:t>
      </w:r>
    </w:p>
    <w:p w14:paraId="676B57F6" w14:textId="77777777" w:rsidR="003C4742" w:rsidRDefault="003C4742" w:rsidP="003E61EA">
      <w:pPr>
        <w:pStyle w:val="Hesber"/>
        <w:spacing w:line="240" w:lineRule="auto"/>
        <w:rPr>
          <w:rtl/>
        </w:rPr>
      </w:pPr>
      <w:r>
        <w:rPr>
          <w:rtl/>
        </w:rPr>
        <w:t xml:space="preserve">למעלה מעשור נורים טילים מרצועת עזה לעבר ערי ישראל. העיר אשקלון וסביבתה נמצאות תחת איום מתמיד וירי בלתי פוסק. תכליתה של הצעת חוק זו היא </w:t>
      </w:r>
      <w:proofErr w:type="spellStart"/>
      <w:r>
        <w:rPr>
          <w:rtl/>
        </w:rPr>
        <w:t>ליתן</w:t>
      </w:r>
      <w:proofErr w:type="spellEnd"/>
      <w:r>
        <w:rPr>
          <w:rtl/>
        </w:rPr>
        <w:t xml:space="preserve"> מענה לאותם יישובים הנמצאים תחת איום </w:t>
      </w:r>
      <w:proofErr w:type="spellStart"/>
      <w:r>
        <w:rPr>
          <w:rtl/>
        </w:rPr>
        <w:t>מיידי</w:t>
      </w:r>
      <w:proofErr w:type="spellEnd"/>
      <w:r>
        <w:rPr>
          <w:rtl/>
        </w:rPr>
        <w:t>.</w:t>
      </w:r>
    </w:p>
    <w:p w14:paraId="3CC45F67" w14:textId="544E5107" w:rsidR="003C4742" w:rsidRDefault="003C4742" w:rsidP="003E61EA">
      <w:pPr>
        <w:pStyle w:val="Hesber"/>
        <w:spacing w:line="240" w:lineRule="auto"/>
        <w:rPr>
          <w:rtl/>
        </w:rPr>
      </w:pPr>
      <w:r>
        <w:rPr>
          <w:rtl/>
        </w:rPr>
        <w:t xml:space="preserve">בהצעת החוק מוצע לקבוע כי מי שהיה במשך כל שנת המס 2020 או שנת המס 2021, תושב ביישוב שבו זמן הכניסה למרחב מוגן בהתאם להוראות פיקוד העורף אינו עולה על 30 שניות, יהיה זכאי באותה שנה לזיכוי ממס בשיעור של 10% מהכנסתו החייבת מיגיעה אישית עד לתקרה של 162 אלף שקלים חדשים. </w:t>
      </w:r>
    </w:p>
    <w:p w14:paraId="548CD300" w14:textId="77777777" w:rsidR="003C4742" w:rsidRDefault="003C4742" w:rsidP="003E61EA">
      <w:pPr>
        <w:pStyle w:val="Hesber"/>
        <w:spacing w:line="240" w:lineRule="auto"/>
        <w:rPr>
          <w:rtl/>
        </w:rPr>
      </w:pPr>
      <w:r>
        <w:rPr>
          <w:rtl/>
        </w:rPr>
        <w:t>אם אותו תושב זכאי להטבה גם לפי סעיף 11 לפקודת מס הכנסה, שקובע הטבות מס ליישובים, הוא יוכל לבחור בין זיכוי כמוצע בהצעה זו לבין זיכוי לפי סעיף 11 לפקודה כאמור.</w:t>
      </w:r>
    </w:p>
    <w:p w14:paraId="0FCC1D62" w14:textId="0C07F321" w:rsidR="002821F8" w:rsidRDefault="002821F8" w:rsidP="003E61EA">
      <w:pPr>
        <w:pStyle w:val="Hesber"/>
        <w:spacing w:line="240" w:lineRule="auto"/>
        <w:rPr>
          <w:rtl/>
        </w:rPr>
      </w:pPr>
      <w:r>
        <w:rPr>
          <w:rFonts w:hint="cs"/>
          <w:rtl/>
        </w:rPr>
        <w:t>הצעת חוק דומה בעיקרה הונחה על שולחן הכנסת העשרים ושלוש על ידי חברת הכנסת מאי גולן (פ/2226/23).</w:t>
      </w:r>
    </w:p>
    <w:p w14:paraId="248FF12D" w14:textId="568885F6" w:rsidR="002821F8" w:rsidRDefault="002821F8" w:rsidP="003E61EA">
      <w:pPr>
        <w:pStyle w:val="Hesber"/>
        <w:spacing w:line="240" w:lineRule="auto"/>
        <w:rPr>
          <w:rtl/>
        </w:rPr>
      </w:pPr>
      <w:r>
        <w:rPr>
          <w:rFonts w:hint="cs"/>
          <w:rtl/>
        </w:rPr>
        <w:t>הצע</w:t>
      </w:r>
      <w:r w:rsidR="00AB0870">
        <w:rPr>
          <w:rFonts w:hint="cs"/>
          <w:rtl/>
        </w:rPr>
        <w:t>ו</w:t>
      </w:r>
      <w:r>
        <w:rPr>
          <w:rFonts w:hint="cs"/>
          <w:rtl/>
        </w:rPr>
        <w:t>ת חוק זה</w:t>
      </w:r>
      <w:r w:rsidR="00AB0870">
        <w:rPr>
          <w:rFonts w:hint="cs"/>
          <w:rtl/>
        </w:rPr>
        <w:t>ות</w:t>
      </w:r>
      <w:r>
        <w:rPr>
          <w:rFonts w:hint="cs"/>
          <w:rtl/>
        </w:rPr>
        <w:t xml:space="preserve"> הונח</w:t>
      </w:r>
      <w:r w:rsidR="00AB0870">
        <w:rPr>
          <w:rFonts w:hint="cs"/>
          <w:rtl/>
        </w:rPr>
        <w:t>ו</w:t>
      </w:r>
      <w:r>
        <w:rPr>
          <w:rFonts w:hint="cs"/>
          <w:rtl/>
        </w:rPr>
        <w:t xml:space="preserve"> על שולחן הכנסת העשרים ושלוש על ידי חבר הכנסת אלכס קושניר וקבוצת חברי הכנסת (פ/60/23; פ/2359/23).</w:t>
      </w:r>
    </w:p>
    <w:p w14:paraId="41240425" w14:textId="77777777" w:rsidR="002821F8" w:rsidRDefault="002821F8" w:rsidP="003E61EA">
      <w:pPr>
        <w:pStyle w:val="Hesber"/>
        <w:spacing w:line="240" w:lineRule="auto"/>
        <w:rPr>
          <w:rtl/>
        </w:rPr>
      </w:pPr>
      <w:r>
        <w:rPr>
          <w:rFonts w:hint="cs"/>
          <w:rtl/>
        </w:rPr>
        <w:t xml:space="preserve">הצעת החוק זהה </w:t>
      </w:r>
      <w:proofErr w:type="spellStart"/>
      <w:r>
        <w:rPr>
          <w:rFonts w:hint="cs"/>
          <w:rtl/>
        </w:rPr>
        <w:t>לפ</w:t>
      </w:r>
      <w:proofErr w:type="spellEnd"/>
      <w:r>
        <w:rPr>
          <w:rFonts w:hint="cs"/>
          <w:rtl/>
        </w:rPr>
        <w:t xml:space="preserve">/60/23 </w:t>
      </w:r>
      <w:proofErr w:type="spellStart"/>
      <w:r>
        <w:rPr>
          <w:rFonts w:hint="cs"/>
          <w:rtl/>
        </w:rPr>
        <w:t>ולפ</w:t>
      </w:r>
      <w:proofErr w:type="spellEnd"/>
      <w:r>
        <w:rPr>
          <w:rFonts w:hint="cs"/>
          <w:rtl/>
        </w:rPr>
        <w:t>/2359/23 ולפיכך לא נבדקה מחדש על ידי הלשכה המשפטית של הכנסת.</w:t>
      </w:r>
    </w:p>
    <w:p w14:paraId="54FC16BF" w14:textId="77777777" w:rsidR="00606F28" w:rsidRDefault="003E61EA" w:rsidP="003E61EA">
      <w:pPr>
        <w:spacing w:line="240" w:lineRule="auto"/>
        <w:jc w:val="left"/>
      </w:pPr>
      <w:bookmarkStart w:id="8" w:name="selectedDocDateB"/>
      <w:bookmarkStart w:id="9" w:name="_GoBack"/>
      <w:bookmarkEnd w:id="8"/>
      <w:bookmarkEnd w:id="9"/>
      <w:r>
        <w:rPr>
          <w:rFonts w:eastAsia="David" w:hint="cs"/>
          <w:sz w:val="26"/>
          <w:szCs w:val="26"/>
          <w:rtl/>
        </w:rPr>
        <w:t>--------------------------------</w:t>
      </w:r>
    </w:p>
    <w:p w14:paraId="66017726" w14:textId="77777777" w:rsidR="00606F28" w:rsidRDefault="003E61EA" w:rsidP="003E61EA">
      <w:pPr>
        <w:spacing w:line="240" w:lineRule="auto"/>
        <w:jc w:val="left"/>
      </w:pPr>
      <w:r>
        <w:rPr>
          <w:rFonts w:eastAsia="David" w:hint="cs"/>
          <w:sz w:val="26"/>
          <w:szCs w:val="26"/>
          <w:rtl/>
        </w:rPr>
        <w:t>הוגשה ליו"ר הכנסת והסגנים</w:t>
      </w:r>
    </w:p>
    <w:p w14:paraId="6144DDDF" w14:textId="77777777" w:rsidR="00606F28" w:rsidRDefault="003E61EA" w:rsidP="003E61EA">
      <w:pPr>
        <w:spacing w:line="240" w:lineRule="auto"/>
        <w:jc w:val="left"/>
      </w:pPr>
      <w:r>
        <w:rPr>
          <w:rFonts w:eastAsia="David" w:hint="cs"/>
          <w:sz w:val="26"/>
          <w:szCs w:val="26"/>
          <w:rtl/>
        </w:rPr>
        <w:t>והונחה על שולחן הכנסת ביום</w:t>
      </w:r>
    </w:p>
    <w:p w14:paraId="2A009186" w14:textId="77777777" w:rsidR="00606F28" w:rsidRDefault="003E61EA" w:rsidP="003E61EA">
      <w:pPr>
        <w:spacing w:line="240" w:lineRule="auto"/>
        <w:jc w:val="left"/>
      </w:pPr>
      <w:r>
        <w:rPr>
          <w:rFonts w:eastAsia="David" w:hint="cs"/>
          <w:sz w:val="26"/>
          <w:szCs w:val="26"/>
          <w:rtl/>
        </w:rPr>
        <w:t xml:space="preserve">כ"א בסיוון </w:t>
      </w:r>
      <w:proofErr w:type="spellStart"/>
      <w:r>
        <w:rPr>
          <w:rFonts w:eastAsia="David" w:hint="cs"/>
          <w:sz w:val="26"/>
          <w:szCs w:val="26"/>
          <w:rtl/>
        </w:rPr>
        <w:t>התשפ"ב</w:t>
      </w:r>
      <w:proofErr w:type="spellEnd"/>
      <w:r>
        <w:rPr>
          <w:rFonts w:eastAsia="David" w:hint="cs"/>
          <w:sz w:val="26"/>
          <w:szCs w:val="26"/>
          <w:rtl/>
        </w:rPr>
        <w:t xml:space="preserve"> (20.06.2022) </w:t>
      </w:r>
    </w:p>
    <w:p w14:paraId="0F2336DB" w14:textId="77777777" w:rsidR="00606F28" w:rsidRDefault="00606F28" w:rsidP="003E61EA">
      <w:pPr>
        <w:spacing w:line="240" w:lineRule="auto"/>
        <w:jc w:val="left"/>
      </w:pPr>
    </w:p>
    <w:sectPr w:rsidR="00606F28" w:rsidSect="003E61EA">
      <w:footerReference w:type="even" r:id="rId11"/>
      <w:footerReference w:type="default" r:id="rId12"/>
      <w:pgSz w:w="11907" w:h="16840" w:code="9"/>
      <w:pgMar w:top="1135"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E61E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3E61E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F7373CE" w14:textId="77777777" w:rsidR="003C4742" w:rsidRDefault="003C4742" w:rsidP="003C4742">
      <w:pPr>
        <w:pStyle w:val="a4"/>
      </w:pPr>
      <w:r>
        <w:rPr>
          <w:rStyle w:val="a6"/>
        </w:rPr>
        <w:footnoteRef/>
      </w:r>
      <w:r>
        <w:rPr>
          <w:rtl/>
        </w:rPr>
        <w:t xml:space="preserve"> </w:t>
      </w:r>
      <w:r>
        <w:rPr>
          <w:rFonts w:hint="cs"/>
          <w:rtl/>
        </w:rPr>
        <w:t>דיני מדינת ישראל, נוסח חדש 6,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21F8"/>
    <w:rsid w:val="00292712"/>
    <w:rsid w:val="002A487D"/>
    <w:rsid w:val="002C2E29"/>
    <w:rsid w:val="002C3041"/>
    <w:rsid w:val="002D1EE3"/>
    <w:rsid w:val="002F1D80"/>
    <w:rsid w:val="003232A2"/>
    <w:rsid w:val="00325C14"/>
    <w:rsid w:val="0036422C"/>
    <w:rsid w:val="003710F6"/>
    <w:rsid w:val="00386E88"/>
    <w:rsid w:val="00396585"/>
    <w:rsid w:val="003C4742"/>
    <w:rsid w:val="003D6E38"/>
    <w:rsid w:val="003D74A0"/>
    <w:rsid w:val="003E61EA"/>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06F28"/>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0870"/>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07521E8-5A4E-4A4E-B35E-4B9D84E8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E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E61E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E61E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E61E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E61EA"/>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E61EA"/>
    <w:pPr>
      <w:spacing w:line="259" w:lineRule="auto"/>
      <w:outlineLvl w:val="4"/>
    </w:pPr>
    <w:rPr>
      <w:color w:val="000000" w:themeColor="text1"/>
    </w:rPr>
  </w:style>
  <w:style w:type="character" w:default="1" w:styleId="a0">
    <w:name w:val="Default Paragraph Font"/>
    <w:uiPriority w:val="1"/>
    <w:semiHidden/>
    <w:unhideWhenUsed/>
    <w:rsid w:val="003E61E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E61EA"/>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E61E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E61EA"/>
    <w:rPr>
      <w:sz w:val="36"/>
      <w:szCs w:val="52"/>
    </w:rPr>
  </w:style>
  <w:style w:type="paragraph" w:customStyle="1" w:styleId="Cover3-Haknesset">
    <w:name w:val="Cover 3-Haknesset"/>
    <w:basedOn w:val="Cover1-Reshumot"/>
    <w:rsid w:val="003E61EA"/>
    <w:rPr>
      <w:b/>
      <w:bCs/>
      <w:spacing w:val="60"/>
    </w:rPr>
  </w:style>
  <w:style w:type="paragraph" w:customStyle="1" w:styleId="Cover4-Date">
    <w:name w:val="Cover 4-Date"/>
    <w:basedOn w:val="a"/>
    <w:rsid w:val="003E61E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E61E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E61E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E61EA"/>
    <w:pPr>
      <w:spacing w:before="120" w:after="120"/>
    </w:pPr>
    <w:rPr>
      <w:color w:val="FF0000"/>
      <w:w w:val="80"/>
    </w:rPr>
  </w:style>
  <w:style w:type="paragraph" w:styleId="a3">
    <w:name w:val="endnote text"/>
    <w:basedOn w:val="a"/>
    <w:semiHidden/>
    <w:rsid w:val="003E61EA"/>
    <w:pPr>
      <w:ind w:left="227" w:hanging="227"/>
    </w:pPr>
    <w:rPr>
      <w:sz w:val="14"/>
      <w:szCs w:val="22"/>
    </w:rPr>
  </w:style>
  <w:style w:type="paragraph" w:customStyle="1" w:styleId="TableText">
    <w:name w:val="Table Text"/>
    <w:basedOn w:val="a"/>
    <w:rsid w:val="003E61E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E61EA"/>
    <w:pPr>
      <w:outlineLvl w:val="2"/>
    </w:pPr>
  </w:style>
  <w:style w:type="paragraph" w:customStyle="1" w:styleId="TableBlock">
    <w:name w:val="Table Block"/>
    <w:basedOn w:val="TableText"/>
    <w:rsid w:val="003E61EA"/>
    <w:pPr>
      <w:jc w:val="both"/>
    </w:pPr>
  </w:style>
  <w:style w:type="paragraph" w:customStyle="1" w:styleId="TableHead">
    <w:name w:val="Table Head"/>
    <w:basedOn w:val="TableText"/>
    <w:rsid w:val="003E61E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E61EA"/>
    <w:pPr>
      <w:outlineLvl w:val="9"/>
    </w:pPr>
  </w:style>
  <w:style w:type="paragraph" w:customStyle="1" w:styleId="Hesber">
    <w:name w:val="Hesber"/>
    <w:basedOn w:val="a"/>
    <w:rsid w:val="003E61EA"/>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3E61EA"/>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3E61EA"/>
    <w:rPr>
      <w:vertAlign w:val="superscript"/>
    </w:rPr>
  </w:style>
  <w:style w:type="paragraph" w:customStyle="1" w:styleId="HesberHeading">
    <w:name w:val="Hesber Heading"/>
    <w:basedOn w:val="Hesber"/>
    <w:rsid w:val="003E61EA"/>
    <w:pPr>
      <w:tabs>
        <w:tab w:val="left" w:pos="624"/>
        <w:tab w:val="left" w:pos="1247"/>
      </w:tabs>
    </w:pPr>
    <w:rPr>
      <w:b/>
      <w:bCs/>
    </w:rPr>
  </w:style>
  <w:style w:type="paragraph" w:customStyle="1" w:styleId="HesberWriters">
    <w:name w:val="Hesber Writers"/>
    <w:basedOn w:val="Hesber"/>
    <w:rsid w:val="003E61EA"/>
    <w:pPr>
      <w:spacing w:before="120" w:after="120"/>
      <w:ind w:left="1418"/>
      <w:jc w:val="right"/>
    </w:pPr>
    <w:rPr>
      <w:b/>
      <w:bCs/>
    </w:rPr>
  </w:style>
  <w:style w:type="paragraph" w:customStyle="1" w:styleId="Hesber1st">
    <w:name w:val="Hesber 1st"/>
    <w:basedOn w:val="Hesber"/>
    <w:rsid w:val="003E61EA"/>
    <w:pPr>
      <w:tabs>
        <w:tab w:val="left" w:pos="680"/>
        <w:tab w:val="left" w:pos="1020"/>
      </w:tabs>
      <w:ind w:firstLine="0"/>
    </w:pPr>
  </w:style>
  <w:style w:type="character" w:styleId="a7">
    <w:name w:val="endnote reference"/>
    <w:basedOn w:val="a0"/>
    <w:semiHidden/>
    <w:rsid w:val="003E61EA"/>
    <w:rPr>
      <w:vertAlign w:val="superscript"/>
    </w:rPr>
  </w:style>
  <w:style w:type="paragraph" w:customStyle="1" w:styleId="TableBlockOutdent">
    <w:name w:val="Table BlockOutdent"/>
    <w:basedOn w:val="TableBlock"/>
    <w:rsid w:val="003E61EA"/>
    <w:pPr>
      <w:ind w:left="624" w:hanging="624"/>
    </w:pPr>
  </w:style>
  <w:style w:type="paragraph" w:styleId="a8">
    <w:name w:val="header"/>
    <w:basedOn w:val="a"/>
    <w:rsid w:val="003E61EA"/>
    <w:pPr>
      <w:tabs>
        <w:tab w:val="center" w:pos="4153"/>
        <w:tab w:val="right" w:pos="8306"/>
      </w:tabs>
    </w:pPr>
  </w:style>
  <w:style w:type="paragraph" w:styleId="a9">
    <w:name w:val="footer"/>
    <w:basedOn w:val="a"/>
    <w:rsid w:val="003E61EA"/>
    <w:pPr>
      <w:tabs>
        <w:tab w:val="center" w:pos="4153"/>
        <w:tab w:val="right" w:pos="8306"/>
      </w:tabs>
    </w:pPr>
  </w:style>
  <w:style w:type="paragraph" w:customStyle="1" w:styleId="HeadDivreiHesber">
    <w:name w:val="Head DivreiHesber"/>
    <w:basedOn w:val="a"/>
    <w:rsid w:val="003E61E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E61EA"/>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E61E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C4742"/>
    <w:rPr>
      <w:rFonts w:ascii="Arial" w:eastAsia="Arial Unicode MS" w:hAnsi="Arial" w:cs="David"/>
      <w:snapToGrid w:val="0"/>
      <w:sz w:val="14"/>
    </w:rPr>
  </w:style>
  <w:style w:type="character" w:customStyle="1" w:styleId="10">
    <w:name w:val="כותרת 1 תו"/>
    <w:basedOn w:val="a0"/>
    <w:link w:val="1"/>
    <w:uiPriority w:val="9"/>
    <w:rsid w:val="003E61EA"/>
    <w:rPr>
      <w:rFonts w:asciiTheme="majorHAnsi" w:eastAsiaTheme="majorEastAsia" w:hAnsiTheme="majorHAnsi" w:cs="David"/>
      <w:bCs/>
      <w:sz w:val="32"/>
      <w:szCs w:val="36"/>
    </w:rPr>
  </w:style>
  <w:style w:type="character" w:customStyle="1" w:styleId="20">
    <w:name w:val="כותרת 2 תו"/>
    <w:basedOn w:val="a0"/>
    <w:link w:val="2"/>
    <w:rsid w:val="003E61EA"/>
    <w:rPr>
      <w:rFonts w:asciiTheme="majorHAnsi" w:eastAsiaTheme="majorEastAsia" w:hAnsiTheme="majorHAnsi" w:cs="David"/>
      <w:bCs/>
      <w:sz w:val="26"/>
      <w:szCs w:val="36"/>
      <w:u w:val="single"/>
    </w:rPr>
  </w:style>
  <w:style w:type="character" w:customStyle="1" w:styleId="30">
    <w:name w:val="כותרת 3 תו"/>
    <w:basedOn w:val="a0"/>
    <w:link w:val="3"/>
    <w:rsid w:val="003E61EA"/>
    <w:rPr>
      <w:rFonts w:asciiTheme="majorHAnsi" w:eastAsiaTheme="majorEastAsia" w:hAnsiTheme="majorHAnsi" w:cs="David"/>
      <w:sz w:val="24"/>
      <w:szCs w:val="28"/>
      <w:u w:val="double"/>
    </w:rPr>
  </w:style>
  <w:style w:type="character" w:customStyle="1" w:styleId="40">
    <w:name w:val="כותרת 4 תו"/>
    <w:basedOn w:val="a0"/>
    <w:link w:val="4"/>
    <w:uiPriority w:val="9"/>
    <w:rsid w:val="003E61E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E61EA"/>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3E61EA"/>
    <w:pPr>
      <w:widowControl/>
      <w:spacing w:before="120" w:after="120"/>
      <w:outlineLvl w:val="9"/>
    </w:pPr>
    <w:rPr>
      <w:rtl/>
      <w:cs/>
    </w:rPr>
  </w:style>
  <w:style w:type="paragraph" w:styleId="TOC1">
    <w:name w:val="toc 1"/>
    <w:basedOn w:val="a"/>
    <w:next w:val="a"/>
    <w:autoRedefine/>
    <w:uiPriority w:val="39"/>
    <w:unhideWhenUsed/>
    <w:rsid w:val="003E61EA"/>
    <w:pPr>
      <w:tabs>
        <w:tab w:val="right" w:leader="dot" w:pos="9629"/>
      </w:tabs>
      <w:spacing w:after="100"/>
    </w:pPr>
    <w:rPr>
      <w:bCs/>
      <w:szCs w:val="22"/>
    </w:rPr>
  </w:style>
  <w:style w:type="paragraph" w:styleId="TOC2">
    <w:name w:val="toc 2"/>
    <w:basedOn w:val="a"/>
    <w:next w:val="a"/>
    <w:uiPriority w:val="39"/>
    <w:unhideWhenUsed/>
    <w:rsid w:val="003E61EA"/>
    <w:pPr>
      <w:tabs>
        <w:tab w:val="right" w:leader="dot" w:pos="9628"/>
      </w:tabs>
      <w:spacing w:after="100"/>
    </w:pPr>
    <w:rPr>
      <w:szCs w:val="22"/>
    </w:rPr>
  </w:style>
  <w:style w:type="character" w:styleId="Hyperlink">
    <w:name w:val="Hyperlink"/>
    <w:basedOn w:val="a0"/>
    <w:uiPriority w:val="99"/>
    <w:unhideWhenUsed/>
    <w:rsid w:val="003E61EA"/>
    <w:rPr>
      <w:color w:val="0000FF" w:themeColor="hyperlink"/>
      <w:u w:val="single"/>
    </w:rPr>
  </w:style>
  <w:style w:type="paragraph" w:styleId="TOC3">
    <w:name w:val="toc 3"/>
    <w:basedOn w:val="a"/>
    <w:next w:val="a"/>
    <w:uiPriority w:val="39"/>
    <w:unhideWhenUsed/>
    <w:rsid w:val="003E61EA"/>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E61E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E61EA"/>
    <w:pPr>
      <w:tabs>
        <w:tab w:val="right" w:leader="dot" w:pos="9628"/>
      </w:tabs>
      <w:spacing w:after="100"/>
      <w:ind w:left="567"/>
    </w:pPr>
    <w:rPr>
      <w:szCs w:val="22"/>
    </w:rPr>
  </w:style>
  <w:style w:type="paragraph" w:styleId="TOC6">
    <w:name w:val="toc 6"/>
    <w:basedOn w:val="a"/>
    <w:next w:val="a"/>
    <w:autoRedefine/>
    <w:semiHidden/>
    <w:unhideWhenUsed/>
    <w:rsid w:val="003E61EA"/>
    <w:pPr>
      <w:spacing w:after="100"/>
      <w:ind w:left="850"/>
    </w:pPr>
  </w:style>
  <w:style w:type="paragraph" w:styleId="TOC7">
    <w:name w:val="toc 7"/>
    <w:basedOn w:val="a"/>
    <w:next w:val="a"/>
    <w:autoRedefine/>
    <w:semiHidden/>
    <w:unhideWhenUsed/>
    <w:rsid w:val="003E61EA"/>
    <w:pPr>
      <w:spacing w:after="100"/>
      <w:ind w:left="1020"/>
    </w:pPr>
  </w:style>
  <w:style w:type="paragraph" w:styleId="TOC8">
    <w:name w:val="toc 8"/>
    <w:basedOn w:val="a"/>
    <w:next w:val="a"/>
    <w:autoRedefine/>
    <w:semiHidden/>
    <w:unhideWhenUsed/>
    <w:rsid w:val="003E61EA"/>
    <w:pPr>
      <w:spacing w:after="100"/>
      <w:ind w:left="1190"/>
    </w:pPr>
  </w:style>
  <w:style w:type="paragraph" w:styleId="TOC9">
    <w:name w:val="toc 9"/>
    <w:basedOn w:val="a"/>
    <w:next w:val="a"/>
    <w:autoRedefine/>
    <w:semiHidden/>
    <w:unhideWhenUsed/>
    <w:rsid w:val="003E61EA"/>
    <w:pPr>
      <w:spacing w:after="100"/>
      <w:ind w:left="1360"/>
    </w:pPr>
  </w:style>
  <w:style w:type="paragraph" w:customStyle="1" w:styleId="TableHead2">
    <w:name w:val="Table Head2"/>
    <w:basedOn w:val="TableHead"/>
    <w:qFormat/>
    <w:rsid w:val="003E61EA"/>
    <w:pPr>
      <w:outlineLvl w:val="9"/>
    </w:pPr>
  </w:style>
  <w:style w:type="paragraph" w:customStyle="1" w:styleId="TableSideHeading2">
    <w:name w:val="Table SideHeading2"/>
    <w:basedOn w:val="TableSideHeading"/>
    <w:autoRedefine/>
    <w:qFormat/>
    <w:rsid w:val="003E61EA"/>
    <w:pPr>
      <w:keepLines w:val="0"/>
      <w:outlineLvl w:val="9"/>
    </w:pPr>
  </w:style>
  <w:style w:type="paragraph" w:customStyle="1" w:styleId="0">
    <w:name w:val="סגנון שורה ראשונה:  0  ס''מ"/>
    <w:basedOn w:val="2"/>
    <w:rsid w:val="003E61EA"/>
    <w:rPr>
      <w:rFonts w:eastAsia="Times New Roman"/>
    </w:rPr>
  </w:style>
  <w:style w:type="paragraph" w:styleId="af">
    <w:name w:val="List Paragraph"/>
    <w:basedOn w:val="a"/>
    <w:uiPriority w:val="34"/>
    <w:qFormat/>
    <w:rsid w:val="003E61EA"/>
    <w:pPr>
      <w:widowControl/>
      <w:spacing w:line="259" w:lineRule="auto"/>
    </w:pPr>
    <w:rPr>
      <w:rFonts w:asciiTheme="minorHAnsi" w:hAnsiTheme="minorHAnsi"/>
      <w:sz w:val="22"/>
    </w:rPr>
  </w:style>
  <w:style w:type="table" w:styleId="af0">
    <w:name w:val="Table Grid"/>
    <w:basedOn w:val="a1"/>
    <w:rsid w:val="003E6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E61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E61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3E61E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E61E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290d5b49-c690-4c6f-bbb9-1e50dab33eee"/>
    <ds:schemaRef ds:uri="http://purl.org/dc/dcmitype/"/>
  </ds:schemaRefs>
</ds:datastoreItem>
</file>

<file path=customXml/itemProps2.xml><?xml version="1.0" encoding="utf-8"?>
<ds:datastoreItem xmlns:ds="http://schemas.openxmlformats.org/officeDocument/2006/customXml" ds:itemID="{87B78914-0613-497E-B273-3E187354C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7CC74239-D1E7-4039-8EEE-2F79EF47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263</Words>
  <Characters>1501</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2022-06-15T07:31:00Z</cp:lastPrinted>
  <dcterms:created xsi:type="dcterms:W3CDTF">2015-04-20T09:58:00Z</dcterms:created>
  <dcterms:modified xsi:type="dcterms:W3CDTF">2022-06-15T07:31:00Z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2194105</vt:r8>
  </property>
</Properties>
</file>