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2194078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743FE6E5" w:rsidR="00E13C27" w:rsidRPr="00CF1AA2" w:rsidRDefault="008F6665" w:rsidP="00730D93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לימור מגן תלם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958DDA3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730D93">
        <w:rPr>
          <w:rtl/>
        </w:rPr>
        <w:tab/>
      </w:r>
      <w:bookmarkStart w:id="7" w:name="_GoBack"/>
      <w:bookmarkEnd w:id="7"/>
      <w:r>
        <w:rPr>
          <w:rFonts w:hint="cs"/>
          <w:rtl/>
        </w:rPr>
        <w:t>פ/4003/24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>הצעת חוק הגנת הצרכן (תיקון – איסור התניית תשלום בכרטיס אשראי בסכום רכישה מזערי), התשפ"ב–2022</w:t>
      </w:r>
      <w:bookmarkEnd w:id="8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2"/>
        <w:gridCol w:w="624"/>
        <w:gridCol w:w="4647"/>
      </w:tblGrid>
      <w:tr w:rsidR="001867BC" w14:paraId="51440233" w14:textId="77777777" w:rsidTr="00730D93">
        <w:trPr>
          <w:cantSplit/>
        </w:trPr>
        <w:tc>
          <w:tcPr>
            <w:tcW w:w="1871" w:type="dxa"/>
            <w:hideMark/>
          </w:tcPr>
          <w:p w14:paraId="56322FCD" w14:textId="77777777" w:rsidR="001867BC" w:rsidRDefault="001867BC">
            <w:pPr>
              <w:pStyle w:val="TableSideHeading"/>
            </w:pPr>
            <w:r>
              <w:rPr>
                <w:rtl/>
              </w:rPr>
              <w:t>הוספת סעיף 12א</w:t>
            </w:r>
          </w:p>
        </w:tc>
        <w:tc>
          <w:tcPr>
            <w:tcW w:w="624" w:type="dxa"/>
            <w:hideMark/>
          </w:tcPr>
          <w:p w14:paraId="5E60BFAF" w14:textId="77777777" w:rsidR="001867BC" w:rsidRPr="00730D93" w:rsidRDefault="001867BC" w:rsidP="00730D93">
            <w:pPr>
              <w:pStyle w:val="TableText"/>
              <w:tabs>
                <w:tab w:val="left" w:pos="624"/>
                <w:tab w:val="left" w:pos="1247"/>
              </w:tabs>
              <w:jc w:val="both"/>
              <w:rPr>
                <w:rtl/>
              </w:rPr>
            </w:pPr>
            <w:r w:rsidRPr="00730D93">
              <w:rPr>
                <w:rtl/>
              </w:rPr>
              <w:t>1.</w:t>
            </w:r>
          </w:p>
        </w:tc>
        <w:tc>
          <w:tcPr>
            <w:tcW w:w="7143" w:type="dxa"/>
            <w:gridSpan w:val="3"/>
            <w:hideMark/>
          </w:tcPr>
          <w:p w14:paraId="40A69236" w14:textId="77777777" w:rsidR="001867BC" w:rsidRPr="00730D93" w:rsidRDefault="001867BC" w:rsidP="00730D93">
            <w:pPr>
              <w:pStyle w:val="TableBlock"/>
              <w:rPr>
                <w:rtl/>
              </w:rPr>
            </w:pPr>
            <w:r w:rsidRPr="00730D93">
              <w:rPr>
                <w:rtl/>
              </w:rPr>
              <w:t>בחוק הגנת הצרכן, התשמ"א–1981</w:t>
            </w:r>
            <w:r w:rsidRPr="00730D93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730D93">
              <w:rPr>
                <w:rtl/>
              </w:rPr>
              <w:t xml:space="preserve"> (להלן – החוק העיקרי), אחרי סעיף 12  יבוא:</w:t>
            </w:r>
          </w:p>
        </w:tc>
      </w:tr>
      <w:tr w:rsidR="001867BC" w14:paraId="5969E839" w14:textId="77777777" w:rsidTr="00730D93">
        <w:trPr>
          <w:cantSplit/>
        </w:trPr>
        <w:tc>
          <w:tcPr>
            <w:tcW w:w="1871" w:type="dxa"/>
          </w:tcPr>
          <w:p w14:paraId="39153D8A" w14:textId="77777777" w:rsidR="001867BC" w:rsidRDefault="001867BC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7EE696E5" w14:textId="77777777" w:rsidR="001867BC" w:rsidRDefault="001867BC">
            <w:pPr>
              <w:pStyle w:val="TableText"/>
              <w:keepLines w:val="0"/>
            </w:pPr>
          </w:p>
        </w:tc>
        <w:tc>
          <w:tcPr>
            <w:tcW w:w="1872" w:type="dxa"/>
            <w:hideMark/>
          </w:tcPr>
          <w:p w14:paraId="6F37BF22" w14:textId="77777777" w:rsidR="001867BC" w:rsidRDefault="001867BC">
            <w:pPr>
              <w:pStyle w:val="TableInnerSideHeading"/>
            </w:pPr>
            <w:r>
              <w:rPr>
                <w:sz w:val="26"/>
                <w:rtl/>
              </w:rPr>
              <w:t>"איסור התניית תשלום באמצעות כרטיס אשראי בסכום רכישה מזערי</w:t>
            </w:r>
          </w:p>
        </w:tc>
        <w:tc>
          <w:tcPr>
            <w:tcW w:w="624" w:type="dxa"/>
            <w:hideMark/>
          </w:tcPr>
          <w:p w14:paraId="48AC6394" w14:textId="77777777" w:rsidR="001867BC" w:rsidRDefault="001867BC">
            <w:pPr>
              <w:pStyle w:val="TableText"/>
              <w:rPr>
                <w:rtl/>
              </w:rPr>
            </w:pPr>
            <w:r>
              <w:rPr>
                <w:rtl/>
              </w:rPr>
              <w:t>12א.</w:t>
            </w:r>
          </w:p>
        </w:tc>
        <w:tc>
          <w:tcPr>
            <w:tcW w:w="4647" w:type="dxa"/>
            <w:hideMark/>
          </w:tcPr>
          <w:p w14:paraId="1874F1B8" w14:textId="77777777" w:rsidR="001867BC" w:rsidRDefault="001867BC" w:rsidP="00730D93">
            <w:pPr>
              <w:pStyle w:val="TableBlock"/>
              <w:rPr>
                <w:rtl/>
              </w:rPr>
            </w:pPr>
            <w:r>
              <w:rPr>
                <w:rtl/>
              </w:rPr>
              <w:t>עוסק המקבל תשלום בכרטיס אשראי כהגדרתו בסעיף 14ב(ב) לא יתנה את ביצוע התשלום באמצעות כרטיס אשראי בסכום רכישה מזערי."</w:t>
            </w:r>
          </w:p>
        </w:tc>
      </w:tr>
      <w:tr w:rsidR="001867BC" w14:paraId="304A8A98" w14:textId="77777777" w:rsidTr="00730D93">
        <w:trPr>
          <w:cantSplit/>
        </w:trPr>
        <w:tc>
          <w:tcPr>
            <w:tcW w:w="1871" w:type="dxa"/>
            <w:hideMark/>
          </w:tcPr>
          <w:p w14:paraId="4EFEBE61" w14:textId="77777777" w:rsidR="001867BC" w:rsidRPr="00730D93" w:rsidRDefault="001867BC" w:rsidP="00730D93">
            <w:pPr>
              <w:pStyle w:val="TableSideHeading"/>
              <w:tabs>
                <w:tab w:val="left" w:pos="624"/>
                <w:tab w:val="left" w:pos="1247"/>
              </w:tabs>
              <w:outlineLvl w:val="9"/>
              <w:rPr>
                <w:rtl/>
              </w:rPr>
            </w:pPr>
            <w:r w:rsidRPr="00730D93">
              <w:rPr>
                <w:rtl/>
              </w:rPr>
              <w:t>תיקון סעיף 22ג</w:t>
            </w:r>
          </w:p>
        </w:tc>
        <w:tc>
          <w:tcPr>
            <w:tcW w:w="624" w:type="dxa"/>
            <w:hideMark/>
          </w:tcPr>
          <w:p w14:paraId="1DDA69C1" w14:textId="77777777" w:rsidR="001867BC" w:rsidRPr="00730D93" w:rsidRDefault="001867BC" w:rsidP="00730D93">
            <w:pPr>
              <w:pStyle w:val="TableText"/>
              <w:tabs>
                <w:tab w:val="left" w:pos="624"/>
                <w:tab w:val="left" w:pos="1247"/>
              </w:tabs>
              <w:jc w:val="both"/>
            </w:pPr>
            <w:r w:rsidRPr="00730D93">
              <w:rPr>
                <w:rtl/>
              </w:rPr>
              <w:t>2.</w:t>
            </w:r>
          </w:p>
        </w:tc>
        <w:tc>
          <w:tcPr>
            <w:tcW w:w="7143" w:type="dxa"/>
            <w:gridSpan w:val="3"/>
            <w:hideMark/>
          </w:tcPr>
          <w:p w14:paraId="5F17D4C6" w14:textId="77777777" w:rsidR="001867BC" w:rsidRPr="00730D93" w:rsidRDefault="001867BC" w:rsidP="00730D93">
            <w:pPr>
              <w:pStyle w:val="TableBlock"/>
              <w:tabs>
                <w:tab w:val="left" w:pos="624"/>
                <w:tab w:val="left" w:pos="1247"/>
              </w:tabs>
            </w:pPr>
            <w:r w:rsidRPr="00730D93">
              <w:rPr>
                <w:rtl/>
              </w:rPr>
              <w:t>בסעיף 22ג(ב) לחוק העיקרי, אחרי פסקה (7) יבוא:</w:t>
            </w:r>
          </w:p>
        </w:tc>
      </w:tr>
      <w:tr w:rsidR="001867BC" w14:paraId="66A64C96" w14:textId="77777777" w:rsidTr="00730D93">
        <w:trPr>
          <w:cantSplit/>
        </w:trPr>
        <w:tc>
          <w:tcPr>
            <w:tcW w:w="1871" w:type="dxa"/>
          </w:tcPr>
          <w:p w14:paraId="36B3BAD1" w14:textId="77777777" w:rsidR="001867BC" w:rsidRPr="00730D93" w:rsidRDefault="001867BC" w:rsidP="00730D93">
            <w:pPr>
              <w:pStyle w:val="TableSideHeading"/>
              <w:tabs>
                <w:tab w:val="left" w:pos="624"/>
                <w:tab w:val="left" w:pos="1247"/>
              </w:tabs>
              <w:outlineLvl w:val="9"/>
              <w:rPr>
                <w:rtl/>
              </w:rPr>
            </w:pPr>
          </w:p>
        </w:tc>
        <w:tc>
          <w:tcPr>
            <w:tcW w:w="624" w:type="dxa"/>
          </w:tcPr>
          <w:p w14:paraId="2812B659" w14:textId="77777777" w:rsidR="001867BC" w:rsidRPr="00730D93" w:rsidRDefault="001867BC" w:rsidP="00730D93">
            <w:pPr>
              <w:pStyle w:val="TableText"/>
              <w:tabs>
                <w:tab w:val="left" w:pos="624"/>
                <w:tab w:val="left" w:pos="1247"/>
              </w:tabs>
              <w:jc w:val="both"/>
            </w:pPr>
          </w:p>
        </w:tc>
        <w:tc>
          <w:tcPr>
            <w:tcW w:w="7143" w:type="dxa"/>
            <w:gridSpan w:val="3"/>
            <w:hideMark/>
          </w:tcPr>
          <w:p w14:paraId="70EA46AD" w14:textId="77777777" w:rsidR="001867BC" w:rsidRPr="00730D93" w:rsidRDefault="001867BC" w:rsidP="00730D93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 w:rsidRPr="00730D93">
              <w:rPr>
                <w:rtl/>
              </w:rPr>
              <w:t>"(7א)</w:t>
            </w:r>
            <w:r w:rsidRPr="00730D93">
              <w:rPr>
                <w:rtl/>
              </w:rPr>
              <w:tab/>
              <w:t>התנה קבלת תשלום בכרטיס אשראי ברכישה בסכום מזערי בניגוד להוראות סעיף 12א."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55F5C99" w14:textId="77777777" w:rsidR="001867BC" w:rsidRDefault="001867BC" w:rsidP="001867BC">
      <w:pPr>
        <w:pStyle w:val="Hesber"/>
        <w:rPr>
          <w:rtl/>
        </w:rPr>
      </w:pPr>
      <w:r>
        <w:rPr>
          <w:rtl/>
        </w:rPr>
        <w:t>עסקים שונים המעניקים ללקוחותיהם אפשרות תשלום באמצעות כרטיס אשראי, מתנים את הרכישה באמצעות תשלום בכרטיס אשראי, בסכום רכישה מזערי.</w:t>
      </w:r>
    </w:p>
    <w:p w14:paraId="06700438" w14:textId="77777777" w:rsidR="001867BC" w:rsidRDefault="001867BC" w:rsidP="001867BC">
      <w:pPr>
        <w:pStyle w:val="Hesber"/>
        <w:rPr>
          <w:rtl/>
        </w:rPr>
      </w:pPr>
      <w:r>
        <w:rPr>
          <w:rtl/>
        </w:rPr>
        <w:t>תופעה זו נפוצה בעיקר בחנויות נוחות שבתחנות דלק, בפיצוציות ובחנויות שונות, וצרכן שמעוניין לרכוש שתייה או דבר מאכל שמחירו שקלים ספורים, נאלץ לרכוש מוצרים נוספים בסך כולל של 30-50 שקלים חדשים, כדי שבעל העסק יסכים לקבל תשלום באמצעות כרטיס אשראי.</w:t>
      </w:r>
    </w:p>
    <w:p w14:paraId="522F118D" w14:textId="178E46BF" w:rsidR="001867BC" w:rsidRDefault="001867BC" w:rsidP="001867BC">
      <w:pPr>
        <w:pStyle w:val="Hesber"/>
        <w:rPr>
          <w:rtl/>
        </w:rPr>
      </w:pPr>
      <w:r>
        <w:rPr>
          <w:rtl/>
        </w:rPr>
        <w:t>התניה זו גורמת לצרכן, שבדרך כלל הוא צרכן שבוי, לרכוש מוצרים נוספים, שאינו מעוניין בהם ואין לו כל צורך בהם.</w:t>
      </w:r>
    </w:p>
    <w:p w14:paraId="72C13CF7" w14:textId="77777777" w:rsidR="001867BC" w:rsidRDefault="001867BC" w:rsidP="001867BC">
      <w:pPr>
        <w:pStyle w:val="Hesber"/>
        <w:rPr>
          <w:rtl/>
        </w:rPr>
      </w:pPr>
      <w:r>
        <w:rPr>
          <w:rtl/>
        </w:rPr>
        <w:lastRenderedPageBreak/>
        <w:t xml:space="preserve">מוצע לתקן את חוק הגנת הצרכן, התשמ"א–1981, ולקבוע שעוסק שמקבל תשלום באמצעות כרטיסי אשראי, לא יתנה את התשלום באמצעות כרטיס אשראי בסכום רכישה מינימלי. </w:t>
      </w:r>
    </w:p>
    <w:p w14:paraId="7A4CBB66" w14:textId="77777777" w:rsidR="001867BC" w:rsidRDefault="001867BC" w:rsidP="001867BC">
      <w:pPr>
        <w:pStyle w:val="Hesber"/>
        <w:rPr>
          <w:rtl/>
        </w:rPr>
      </w:pPr>
      <w:r>
        <w:rPr>
          <w:rtl/>
        </w:rPr>
        <w:t>כמו כן, מוצע להסמיך את הממונה על הגנת הצרכן והסחר ההוגן להטיל על עוסק שסירב לקבל תשלום באופן האמור עיצום כספי בסכום של 45,000 שקלים חדשים, ואם הוא אינו תאגיד – בסכום של 25,000 שקלים חדשים.</w:t>
      </w:r>
    </w:p>
    <w:p w14:paraId="6CBE3901" w14:textId="77777777" w:rsidR="001867BC" w:rsidRDefault="001867BC" w:rsidP="001867BC">
      <w:pPr>
        <w:pStyle w:val="Hesber"/>
        <w:rPr>
          <w:rtl/>
        </w:rPr>
      </w:pPr>
      <w:r>
        <w:rPr>
          <w:rtl/>
        </w:rPr>
        <w:t xml:space="preserve">הצעת חוק דומה בעיקרה הונחה על שולחן הכנסת העשרים על ידי חבר הכנסת משה גפני וקבוצת חברי הכנסת (פ/3097/20). </w:t>
      </w:r>
    </w:p>
    <w:p w14:paraId="7F6961CB" w14:textId="45957E8E" w:rsidR="00E13C27" w:rsidRDefault="001867BC" w:rsidP="001867BC">
      <w:pPr>
        <w:pStyle w:val="Hesber"/>
        <w:rPr>
          <w:rtl/>
        </w:rPr>
      </w:pPr>
      <w:r>
        <w:rPr>
          <w:rtl/>
        </w:rPr>
        <w:t>הצע</w:t>
      </w:r>
      <w:r>
        <w:rPr>
          <w:rFonts w:hint="cs"/>
          <w:rtl/>
        </w:rPr>
        <w:t>ו</w:t>
      </w:r>
      <w:r>
        <w:rPr>
          <w:rtl/>
        </w:rPr>
        <w:t>ת חוק זה</w:t>
      </w:r>
      <w:r>
        <w:rPr>
          <w:rFonts w:hint="cs"/>
          <w:rtl/>
        </w:rPr>
        <w:t>ות</w:t>
      </w:r>
      <w:r>
        <w:rPr>
          <w:rtl/>
        </w:rPr>
        <w:t xml:space="preserve"> הונח</w:t>
      </w:r>
      <w:r>
        <w:rPr>
          <w:rFonts w:hint="cs"/>
          <w:rtl/>
        </w:rPr>
        <w:t>ו</w:t>
      </w:r>
      <w:r>
        <w:rPr>
          <w:rtl/>
        </w:rPr>
        <w:t xml:space="preserve"> על שולחן הכנסת העשרים וארבע על ידי חברת הכנסת קרן ברק (פ/772/24)</w:t>
      </w:r>
      <w:r>
        <w:rPr>
          <w:rFonts w:hint="cs"/>
          <w:rtl/>
        </w:rPr>
        <w:t xml:space="preserve"> ועל ידי חבר הכנסת אורי מקלב וקבוצת חברי הכנסת (</w:t>
      </w:r>
      <w:r w:rsidRPr="001867BC">
        <w:rPr>
          <w:rtl/>
        </w:rPr>
        <w:t>פ/3732/24</w:t>
      </w:r>
      <w:r>
        <w:rPr>
          <w:rFonts w:hint="cs"/>
          <w:rtl/>
        </w:rPr>
        <w:t>).</w:t>
      </w:r>
    </w:p>
    <w:p w14:paraId="5210534A" w14:textId="77777777" w:rsidR="003E292A" w:rsidRDefault="003E292A" w:rsidP="003E292A">
      <w:pPr>
        <w:pStyle w:val="Hesber"/>
      </w:pPr>
      <w:r>
        <w:rPr>
          <w:rtl/>
        </w:rPr>
        <w:t>הצעת החוק זהה לפ/3732/24 ולפיכך לא נבדקה מחדש על ידי הלשכה המשפטית של הכנסת.</w:t>
      </w:r>
    </w:p>
    <w:p w14:paraId="4251694F" w14:textId="77777777" w:rsidR="003E292A" w:rsidRPr="003E292A" w:rsidRDefault="003E292A" w:rsidP="003E292A">
      <w:pPr>
        <w:pStyle w:val="Hesber"/>
        <w:ind w:firstLine="0"/>
        <w:rPr>
          <w:rtl/>
        </w:rPr>
      </w:pPr>
    </w:p>
    <w:p w14:paraId="2064554C" w14:textId="77777777" w:rsidR="001C55E9" w:rsidRDefault="00AA46D0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44290BF1" w14:textId="77777777" w:rsidR="001C55E9" w:rsidRDefault="00AA46D0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75BBF364" w14:textId="77777777" w:rsidR="001C55E9" w:rsidRDefault="00AA46D0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4675312C" w14:textId="77777777" w:rsidR="001C55E9" w:rsidRDefault="00AA46D0">
      <w:pPr>
        <w:jc w:val="left"/>
      </w:pPr>
      <w:r>
        <w:rPr>
          <w:rFonts w:eastAsia="David" w:hint="cs"/>
          <w:sz w:val="26"/>
          <w:szCs w:val="26"/>
          <w:rtl/>
        </w:rPr>
        <w:t xml:space="preserve">כ"א בסיוון התשפ"ב (20.06.2022) </w:t>
      </w:r>
    </w:p>
    <w:p w14:paraId="1E864727" w14:textId="77777777" w:rsidR="001C55E9" w:rsidRDefault="001C55E9">
      <w:pPr>
        <w:spacing w:line="276" w:lineRule="auto"/>
        <w:jc w:val="left"/>
      </w:pPr>
    </w:p>
    <w:sectPr w:rsidR="001C55E9" w:rsidSect="00730D93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3BB8F961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AA46D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730D93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4D50C82" w14:textId="77777777" w:rsidR="001867BC" w:rsidRDefault="001867BC" w:rsidP="001867B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ס"ח התשמ"א, עמ' 248.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867BC"/>
    <w:rsid w:val="001A0623"/>
    <w:rsid w:val="001C23B0"/>
    <w:rsid w:val="001C55E9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3E292A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0D93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A46D0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6872722-BEAB-4315-AD21-C8EDB5D1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93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0D93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730D93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730D93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730D93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30D93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730D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30D93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730D93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730D93"/>
    <w:rPr>
      <w:sz w:val="36"/>
      <w:szCs w:val="52"/>
    </w:rPr>
  </w:style>
  <w:style w:type="paragraph" w:customStyle="1" w:styleId="Cover3-Haknesset">
    <w:name w:val="Cover 3-Haknesset"/>
    <w:basedOn w:val="Cover1-Reshumot"/>
    <w:rsid w:val="00730D93"/>
    <w:rPr>
      <w:b/>
      <w:bCs/>
      <w:spacing w:val="60"/>
    </w:rPr>
  </w:style>
  <w:style w:type="paragraph" w:customStyle="1" w:styleId="Cover4-Date">
    <w:name w:val="Cover 4-Date"/>
    <w:basedOn w:val="a"/>
    <w:rsid w:val="00730D9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730D93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730D93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730D93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730D93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730D93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730D93"/>
    <w:pPr>
      <w:outlineLvl w:val="2"/>
    </w:pPr>
  </w:style>
  <w:style w:type="paragraph" w:customStyle="1" w:styleId="TableBlock">
    <w:name w:val="Table Block"/>
    <w:basedOn w:val="TableText"/>
    <w:rsid w:val="00730D93"/>
    <w:pPr>
      <w:jc w:val="both"/>
    </w:pPr>
  </w:style>
  <w:style w:type="paragraph" w:customStyle="1" w:styleId="TableHead">
    <w:name w:val="Table Head"/>
    <w:basedOn w:val="TableText"/>
    <w:rsid w:val="00730D93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730D93"/>
    <w:pPr>
      <w:outlineLvl w:val="9"/>
    </w:pPr>
  </w:style>
  <w:style w:type="paragraph" w:customStyle="1" w:styleId="Hesber">
    <w:name w:val="Hesber"/>
    <w:basedOn w:val="a"/>
    <w:rsid w:val="00730D93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730D93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730D93"/>
    <w:rPr>
      <w:vertAlign w:val="superscript"/>
    </w:rPr>
  </w:style>
  <w:style w:type="paragraph" w:customStyle="1" w:styleId="HesberHeading">
    <w:name w:val="Hesber Heading"/>
    <w:basedOn w:val="Hesber"/>
    <w:rsid w:val="00730D93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730D93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730D93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730D93"/>
    <w:rPr>
      <w:vertAlign w:val="superscript"/>
    </w:rPr>
  </w:style>
  <w:style w:type="paragraph" w:customStyle="1" w:styleId="TableBlockOutdent">
    <w:name w:val="Table BlockOutdent"/>
    <w:basedOn w:val="TableBlock"/>
    <w:rsid w:val="00730D93"/>
    <w:pPr>
      <w:ind w:left="624" w:hanging="624"/>
    </w:pPr>
  </w:style>
  <w:style w:type="paragraph" w:styleId="a8">
    <w:name w:val="header"/>
    <w:basedOn w:val="a"/>
    <w:rsid w:val="00730D9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30D93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730D93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730D93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730D93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1867BC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730D93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730D93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730D93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730D93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730D93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730D93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730D93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730D93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730D93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730D93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730D93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730D93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730D93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730D93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730D93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730D93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730D93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730D93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730D93"/>
    <w:rPr>
      <w:rFonts w:eastAsia="Times New Roman"/>
    </w:rPr>
  </w:style>
  <w:style w:type="paragraph" w:styleId="af">
    <w:name w:val="List Paragraph"/>
    <w:basedOn w:val="a"/>
    <w:uiPriority w:val="34"/>
    <w:qFormat/>
    <w:rsid w:val="00730D93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730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30D9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730D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730D93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730D93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3EF57-36BE-46F4-A84E-0D0FBBDFB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90d5b49-c690-4c6f-bbb9-1e50dab33ee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EE9301-08BE-4604-8159-87EE7A18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337</Words>
  <Characters>1689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2013-07-04T08:25:00Z</cp:lastPrinted>
  <dcterms:created xsi:type="dcterms:W3CDTF">2015-04-20T09:58:00Z</dcterms:created>
  <dcterms:modified xsi:type="dcterms:W3CDTF">2022-06-16T06:38:00Z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2194078</vt:r8>
  </property>
</Properties>
</file>