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2193457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מירב בן ארי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6EDAB39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050028">
        <w:rPr>
          <w:rtl/>
        </w:rPr>
        <w:tab/>
      </w:r>
      <w:r>
        <w:rPr>
          <w:rFonts w:hint="cs"/>
          <w:rtl/>
        </w:rPr>
        <w:t>פ/3984/24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290E32F7" w:rsidR="00E13C27" w:rsidRPr="00F67051" w:rsidRDefault="00A443CF" w:rsidP="008B57BB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הביטוח הלאומי (תיקון – קביעת אחוזי נכות ללקויי שמיעה – דו-צידי וחד-צידי), התשפ"ב</w:t>
      </w:r>
      <w:r w:rsidR="008B57BB">
        <w:rPr>
          <w:rFonts w:hint="eastAsia"/>
          <w:rtl/>
        </w:rPr>
        <w:t>–</w:t>
      </w:r>
      <w:r>
        <w:rPr>
          <w:rFonts w:hint="cs"/>
          <w:rtl/>
        </w:rPr>
        <w:t>2022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D270E9" w:rsidRPr="00532D55" w14:paraId="3CF4F865" w14:textId="77777777" w:rsidTr="00050028">
        <w:trPr>
          <w:cantSplit/>
        </w:trPr>
        <w:tc>
          <w:tcPr>
            <w:tcW w:w="1871" w:type="dxa"/>
          </w:tcPr>
          <w:p w14:paraId="0F377795" w14:textId="77777777" w:rsidR="00D270E9" w:rsidRPr="00A227F2" w:rsidRDefault="00D270E9" w:rsidP="00A227F2">
            <w:pPr>
              <w:pStyle w:val="TableSideHeading"/>
              <w:outlineLvl w:val="9"/>
            </w:pPr>
            <w:r w:rsidRPr="00A227F2">
              <w:rPr>
                <w:rFonts w:hint="cs"/>
                <w:rtl/>
              </w:rPr>
              <w:t>תיקון סעיף 222</w:t>
            </w:r>
          </w:p>
        </w:tc>
        <w:tc>
          <w:tcPr>
            <w:tcW w:w="624" w:type="dxa"/>
          </w:tcPr>
          <w:p w14:paraId="5DF3527D" w14:textId="77777777" w:rsidR="00D270E9" w:rsidRPr="00A227F2" w:rsidRDefault="00D270E9" w:rsidP="00A227F2">
            <w:pPr>
              <w:pStyle w:val="TableText"/>
              <w:jc w:val="both"/>
            </w:pPr>
            <w:r w:rsidRPr="00A227F2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2"/>
          </w:tcPr>
          <w:p w14:paraId="5AB06A90" w14:textId="77777777" w:rsidR="00D270E9" w:rsidRPr="00A227F2" w:rsidRDefault="00D270E9" w:rsidP="00050028">
            <w:pPr>
              <w:pStyle w:val="TableBlock"/>
            </w:pPr>
            <w:r w:rsidRPr="00A227F2">
              <w:rPr>
                <w:rFonts w:hint="cs"/>
                <w:rtl/>
              </w:rPr>
              <w:t>בחוק הביטוח הלאומי [נוסח משולב], התשנ''ה</w:t>
            </w:r>
            <w:r w:rsidRPr="00A227F2">
              <w:rPr>
                <w:rFonts w:hint="eastAsia"/>
                <w:rtl/>
              </w:rPr>
              <w:t>–</w:t>
            </w:r>
            <w:r w:rsidRPr="00A227F2">
              <w:rPr>
                <w:rFonts w:hint="cs"/>
                <w:rtl/>
              </w:rPr>
              <w:t>1995</w:t>
            </w:r>
            <w:r w:rsidRPr="00050028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A227F2">
              <w:rPr>
                <w:rFonts w:hint="cs"/>
                <w:rtl/>
              </w:rPr>
              <w:t>, בסעיף 222, אחרי סעיף קטן (ד) יבוא:</w:t>
            </w:r>
          </w:p>
        </w:tc>
      </w:tr>
      <w:tr w:rsidR="00D270E9" w:rsidRPr="00532D55" w14:paraId="0A689A21" w14:textId="77777777" w:rsidTr="00050028">
        <w:trPr>
          <w:cantSplit/>
        </w:trPr>
        <w:tc>
          <w:tcPr>
            <w:tcW w:w="1871" w:type="dxa"/>
          </w:tcPr>
          <w:p w14:paraId="1CEA0B9E" w14:textId="77777777" w:rsidR="00D270E9" w:rsidRPr="00A227F2" w:rsidRDefault="00D270E9" w:rsidP="00A227F2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59CC6677" w14:textId="77777777" w:rsidR="00D270E9" w:rsidRPr="00A227F2" w:rsidRDefault="00D270E9" w:rsidP="00A227F2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1183DAAB" w14:textId="77777777" w:rsidR="00D270E9" w:rsidRPr="00A227F2" w:rsidRDefault="00D270E9" w:rsidP="00050028">
            <w:pPr>
              <w:pStyle w:val="TableBlock"/>
              <w:rPr>
                <w:rtl/>
              </w:rPr>
            </w:pPr>
            <w:r w:rsidRPr="00A227F2">
              <w:rPr>
                <w:rFonts w:hint="cs"/>
                <w:rtl/>
              </w:rPr>
              <w:t>"(ה)</w:t>
            </w:r>
            <w:r w:rsidRPr="00A227F2">
              <w:rPr>
                <w:rtl/>
              </w:rPr>
              <w:tab/>
            </w:r>
            <w:r w:rsidRPr="00A227F2">
              <w:rPr>
                <w:rFonts w:hint="cs"/>
                <w:rtl/>
              </w:rPr>
              <w:t>על אף האמור בתקנות לפי סעיף זה ולפי סעיף 222א, תשולם גמלה חודשית להשתתפות המוסד בהוצאות לסידורים מיוחדים בסכום כלהלן בעד ילדים  כמפורט להלן, והכול מרגע האבחון:</w:t>
            </w:r>
          </w:p>
        </w:tc>
      </w:tr>
      <w:tr w:rsidR="00D270E9" w:rsidRPr="00532D55" w14:paraId="66AD9C03" w14:textId="77777777" w:rsidTr="00050028">
        <w:trPr>
          <w:cantSplit/>
        </w:trPr>
        <w:tc>
          <w:tcPr>
            <w:tcW w:w="1871" w:type="dxa"/>
          </w:tcPr>
          <w:p w14:paraId="69EDACD1" w14:textId="77777777" w:rsidR="00D270E9" w:rsidRPr="00A227F2" w:rsidRDefault="00D270E9" w:rsidP="00A227F2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5E0BBD0B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3603727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519" w:type="dxa"/>
          </w:tcPr>
          <w:p w14:paraId="1D3072B7" w14:textId="77777777" w:rsidR="00D270E9" w:rsidRPr="00532D55" w:rsidRDefault="00D270E9" w:rsidP="00050028">
            <w:pPr>
              <w:pStyle w:val="TableBlock"/>
            </w:pPr>
            <w:r w:rsidRPr="00532D55">
              <w:rPr>
                <w:rFonts w:hint="cs"/>
                <w:rtl/>
              </w:rPr>
              <w:t>(1)</w:t>
            </w:r>
            <w:r w:rsidRPr="00532D55">
              <w:rPr>
                <w:rtl/>
              </w:rPr>
              <w:tab/>
            </w:r>
            <w:r w:rsidRPr="00532D55">
              <w:rPr>
                <w:rFonts w:hint="cs"/>
                <w:rtl/>
              </w:rPr>
              <w:t xml:space="preserve">סכום השווה ל-75% מקצבת יחיד מלאה </w:t>
            </w:r>
            <w:r w:rsidRPr="00532D55">
              <w:rPr>
                <w:rFonts w:hint="eastAsia"/>
                <w:rtl/>
              </w:rPr>
              <w:t>–</w:t>
            </w:r>
            <w:r w:rsidRPr="00532D55">
              <w:rPr>
                <w:rFonts w:hint="cs"/>
                <w:rtl/>
              </w:rPr>
              <w:t xml:space="preserve"> בעד ילד עם ירידה בשמיעה באחת מאוזניו של 45 דציבלים לפחות בתדירויות הדיבור;</w:t>
            </w:r>
          </w:p>
        </w:tc>
      </w:tr>
      <w:tr w:rsidR="00D270E9" w:rsidRPr="00532D55" w14:paraId="7F1F9545" w14:textId="77777777" w:rsidTr="00050028">
        <w:trPr>
          <w:cantSplit/>
        </w:trPr>
        <w:tc>
          <w:tcPr>
            <w:tcW w:w="1871" w:type="dxa"/>
          </w:tcPr>
          <w:p w14:paraId="2D470E82" w14:textId="77777777" w:rsidR="00D270E9" w:rsidRPr="00A227F2" w:rsidRDefault="00D270E9" w:rsidP="00A227F2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1A046EE4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71ED641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519" w:type="dxa"/>
          </w:tcPr>
          <w:p w14:paraId="350E42A5" w14:textId="77777777" w:rsidR="00D270E9" w:rsidRPr="00532D55" w:rsidRDefault="00D270E9" w:rsidP="00050028">
            <w:pPr>
              <w:pStyle w:val="TableBlock"/>
              <w:rPr>
                <w:rtl/>
              </w:rPr>
            </w:pPr>
            <w:r w:rsidRPr="00532D55">
              <w:rPr>
                <w:rFonts w:hint="cs"/>
                <w:rtl/>
              </w:rPr>
              <w:t>(2)</w:t>
            </w:r>
            <w:r w:rsidRPr="00532D55">
              <w:rPr>
                <w:rtl/>
              </w:rPr>
              <w:tab/>
            </w:r>
            <w:r w:rsidRPr="00532D55">
              <w:rPr>
                <w:rFonts w:hint="cs"/>
                <w:rtl/>
              </w:rPr>
              <w:t xml:space="preserve">סכום השווה ל-75% מקצבת יחיד מלאה </w:t>
            </w:r>
            <w:r w:rsidRPr="00532D55">
              <w:rPr>
                <w:rFonts w:hint="eastAsia"/>
                <w:rtl/>
              </w:rPr>
              <w:t>–</w:t>
            </w:r>
            <w:r w:rsidRPr="00532D55">
              <w:rPr>
                <w:rFonts w:hint="cs"/>
                <w:rtl/>
              </w:rPr>
              <w:t xml:space="preserve"> בעד ילד עם ירידה בשמיעה בשתי </w:t>
            </w:r>
            <w:r w:rsidRPr="00A227F2">
              <w:rPr>
                <w:rFonts w:hint="cs"/>
                <w:rtl/>
              </w:rPr>
              <w:t>אוזניו</w:t>
            </w:r>
            <w:r w:rsidRPr="00532D55">
              <w:rPr>
                <w:rFonts w:hint="cs"/>
                <w:rtl/>
              </w:rPr>
              <w:t xml:space="preserve"> של 40 דציבלים לפחות בתדירויות הדיבור;</w:t>
            </w:r>
          </w:p>
        </w:tc>
      </w:tr>
      <w:tr w:rsidR="00D270E9" w:rsidRPr="00532D55" w14:paraId="1C724441" w14:textId="77777777" w:rsidTr="00050028">
        <w:trPr>
          <w:cantSplit/>
        </w:trPr>
        <w:tc>
          <w:tcPr>
            <w:tcW w:w="1871" w:type="dxa"/>
          </w:tcPr>
          <w:p w14:paraId="79AE7664" w14:textId="77777777" w:rsidR="00D270E9" w:rsidRPr="00A227F2" w:rsidRDefault="00D270E9" w:rsidP="00A227F2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3500E41F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E3C5499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519" w:type="dxa"/>
          </w:tcPr>
          <w:p w14:paraId="6B865B87" w14:textId="77777777" w:rsidR="00D270E9" w:rsidRPr="00532D55" w:rsidRDefault="00D270E9" w:rsidP="00050028">
            <w:pPr>
              <w:pStyle w:val="TableBlock"/>
              <w:rPr>
                <w:rtl/>
              </w:rPr>
            </w:pPr>
            <w:r w:rsidRPr="00532D55">
              <w:rPr>
                <w:rFonts w:hint="cs"/>
                <w:rtl/>
              </w:rPr>
              <w:t>(3)</w:t>
            </w:r>
            <w:r w:rsidRPr="00532D55">
              <w:rPr>
                <w:rtl/>
              </w:rPr>
              <w:tab/>
            </w:r>
            <w:r w:rsidRPr="00532D55">
              <w:rPr>
                <w:rFonts w:hint="cs"/>
                <w:rtl/>
              </w:rPr>
              <w:t xml:space="preserve">סכום השווה ל-50% מקצבת יחיד מלאה </w:t>
            </w:r>
            <w:r w:rsidRPr="00532D55">
              <w:rPr>
                <w:rFonts w:hint="eastAsia"/>
                <w:rtl/>
              </w:rPr>
              <w:t>–</w:t>
            </w:r>
            <w:r w:rsidRPr="00532D55">
              <w:rPr>
                <w:rFonts w:hint="cs"/>
                <w:rtl/>
              </w:rPr>
              <w:t xml:space="preserve"> בעד ילד עם ירידה בשמיעה </w:t>
            </w:r>
            <w:r w:rsidRPr="00A227F2">
              <w:rPr>
                <w:rFonts w:hint="cs"/>
                <w:rtl/>
              </w:rPr>
              <w:t>באחת</w:t>
            </w:r>
            <w:r w:rsidRPr="00532D55">
              <w:rPr>
                <w:rFonts w:hint="cs"/>
                <w:rtl/>
              </w:rPr>
              <w:t xml:space="preserve"> מאוזניו של 40 דציבלים לפחות בתדירויות הדיבור (בלא תיקון);</w:t>
            </w:r>
          </w:p>
        </w:tc>
      </w:tr>
      <w:tr w:rsidR="00D270E9" w:rsidRPr="00532D55" w14:paraId="7E2EE42E" w14:textId="77777777" w:rsidTr="00050028">
        <w:trPr>
          <w:cantSplit/>
        </w:trPr>
        <w:tc>
          <w:tcPr>
            <w:tcW w:w="1871" w:type="dxa"/>
          </w:tcPr>
          <w:p w14:paraId="66B12EFA" w14:textId="77777777" w:rsidR="00D270E9" w:rsidRPr="00A227F2" w:rsidRDefault="00D270E9" w:rsidP="00A227F2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366423F5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AC44080" w14:textId="77777777" w:rsidR="00D270E9" w:rsidRPr="00A227F2" w:rsidRDefault="00D270E9" w:rsidP="00A227F2">
            <w:pPr>
              <w:pStyle w:val="TableText"/>
              <w:jc w:val="both"/>
            </w:pPr>
          </w:p>
        </w:tc>
        <w:tc>
          <w:tcPr>
            <w:tcW w:w="6519" w:type="dxa"/>
          </w:tcPr>
          <w:p w14:paraId="15EB47D1" w14:textId="77777777" w:rsidR="00D270E9" w:rsidRPr="00532D55" w:rsidRDefault="00D270E9" w:rsidP="00050028">
            <w:pPr>
              <w:pStyle w:val="TableBlock"/>
              <w:rPr>
                <w:rtl/>
              </w:rPr>
            </w:pPr>
            <w:r w:rsidRPr="00532D55">
              <w:rPr>
                <w:rFonts w:hint="cs"/>
                <w:rtl/>
              </w:rPr>
              <w:t>(4)</w:t>
            </w:r>
            <w:r w:rsidRPr="00532D55">
              <w:rPr>
                <w:rtl/>
              </w:rPr>
              <w:tab/>
            </w:r>
            <w:r w:rsidRPr="00532D55">
              <w:rPr>
                <w:rFonts w:hint="cs"/>
                <w:rtl/>
              </w:rPr>
              <w:t xml:space="preserve">סכום השווה ל-50% מקצבת יחיד מלאה </w:t>
            </w:r>
            <w:r w:rsidRPr="00532D55">
              <w:rPr>
                <w:rFonts w:hint="eastAsia"/>
                <w:rtl/>
              </w:rPr>
              <w:t>–</w:t>
            </w:r>
            <w:r w:rsidRPr="00532D55">
              <w:rPr>
                <w:rFonts w:hint="cs"/>
                <w:rtl/>
              </w:rPr>
              <w:t xml:space="preserve"> בעד ילד עם ירידה </w:t>
            </w:r>
            <w:r w:rsidRPr="00A227F2">
              <w:rPr>
                <w:rFonts w:hint="cs"/>
                <w:rtl/>
              </w:rPr>
              <w:t>בשמיעה</w:t>
            </w:r>
            <w:r w:rsidRPr="00532D55">
              <w:rPr>
                <w:rFonts w:hint="cs"/>
                <w:rtl/>
              </w:rPr>
              <w:t xml:space="preserve"> בשתי אוזניו של 35 דציבלים לפחות בתדירויות הדיבור (בלא תיקון)."</w:t>
            </w:r>
          </w:p>
        </w:tc>
      </w:tr>
    </w:tbl>
    <w:p w14:paraId="7F6961AE" w14:textId="77777777" w:rsidR="00E13C27" w:rsidRDefault="00E13C27" w:rsidP="00C0052D">
      <w:pPr>
        <w:pStyle w:val="HeadDivreiHesber"/>
        <w:spacing w:before="0" w:after="0"/>
        <w:jc w:val="left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23E4A35" w14:textId="0D783238" w:rsidR="00C0052D" w:rsidRPr="007C5BFD" w:rsidRDefault="00C0052D" w:rsidP="00BB22F4">
      <w:pPr>
        <w:pStyle w:val="Hesber"/>
        <w:rPr>
          <w:rtl/>
        </w:rPr>
      </w:pPr>
      <w:r w:rsidRPr="007C5BFD">
        <w:rPr>
          <w:rFonts w:hint="cs"/>
          <w:rtl/>
        </w:rPr>
        <w:t>ב</w:t>
      </w:r>
      <w:r w:rsidRPr="007C5BFD">
        <w:rPr>
          <w:rtl/>
        </w:rPr>
        <w:t xml:space="preserve">תקנות </w:t>
      </w:r>
      <w:r w:rsidRPr="007C5BFD">
        <w:rPr>
          <w:rFonts w:hint="cs"/>
          <w:rtl/>
        </w:rPr>
        <w:t>הביטוח הלאומי (</w:t>
      </w:r>
      <w:r w:rsidRPr="007C5BFD">
        <w:rPr>
          <w:rtl/>
        </w:rPr>
        <w:t>ילד נכה</w:t>
      </w:r>
      <w:r w:rsidRPr="007C5BFD">
        <w:rPr>
          <w:rFonts w:hint="cs"/>
          <w:rtl/>
        </w:rPr>
        <w:t>), התש''ע</w:t>
      </w:r>
      <w:r w:rsidRPr="007C5BFD">
        <w:rPr>
          <w:rFonts w:hint="eastAsia"/>
          <w:rtl/>
        </w:rPr>
        <w:t>–</w:t>
      </w:r>
      <w:r w:rsidRPr="007C5BFD">
        <w:rPr>
          <w:rFonts w:hint="cs"/>
          <w:rtl/>
        </w:rPr>
        <w:t xml:space="preserve">2010 (להלן </w:t>
      </w:r>
      <w:r w:rsidRPr="007C5BFD">
        <w:rPr>
          <w:rFonts w:hint="eastAsia"/>
          <w:rtl/>
        </w:rPr>
        <w:t>–</w:t>
      </w:r>
      <w:r w:rsidRPr="007C5BFD">
        <w:rPr>
          <w:rFonts w:hint="cs"/>
          <w:rtl/>
        </w:rPr>
        <w:t xml:space="preserve"> התקנות),</w:t>
      </w:r>
      <w:r w:rsidRPr="007C5BFD">
        <w:rPr>
          <w:rtl/>
        </w:rPr>
        <w:t xml:space="preserve"> </w:t>
      </w:r>
      <w:r w:rsidRPr="007C5BFD">
        <w:rPr>
          <w:rFonts w:hint="cs"/>
          <w:rtl/>
        </w:rPr>
        <w:t>נקבע</w:t>
      </w:r>
      <w:r w:rsidRPr="007C5BFD">
        <w:rPr>
          <w:rtl/>
        </w:rPr>
        <w:t xml:space="preserve"> כי ילד </w:t>
      </w:r>
      <w:r w:rsidR="00BB22F4">
        <w:rPr>
          <w:rFonts w:hint="cs"/>
          <w:rtl/>
        </w:rPr>
        <w:t>המתמודד עם</w:t>
      </w:r>
      <w:r w:rsidRPr="007C5BFD">
        <w:rPr>
          <w:rtl/>
        </w:rPr>
        <w:t xml:space="preserve"> </w:t>
      </w:r>
      <w:r w:rsidR="009F4F5C">
        <w:rPr>
          <w:rFonts w:hint="cs"/>
          <w:rtl/>
        </w:rPr>
        <w:t>ירידה</w:t>
      </w:r>
      <w:r w:rsidRPr="007C5BFD">
        <w:rPr>
          <w:rtl/>
        </w:rPr>
        <w:t xml:space="preserve"> </w:t>
      </w:r>
      <w:r w:rsidR="009F4F5C">
        <w:rPr>
          <w:rFonts w:hint="cs"/>
          <w:rtl/>
        </w:rPr>
        <w:t>ב</w:t>
      </w:r>
      <w:r w:rsidRPr="007C5BFD">
        <w:rPr>
          <w:rtl/>
        </w:rPr>
        <w:t>שמיעה יהיה זכאי לקצבת ילד נכה</w:t>
      </w:r>
      <w:r w:rsidRPr="007C5BFD">
        <w:rPr>
          <w:rFonts w:hint="cs"/>
          <w:rtl/>
        </w:rPr>
        <w:t>.</w:t>
      </w:r>
      <w:r w:rsidRPr="007C5BFD">
        <w:rPr>
          <w:rtl/>
        </w:rPr>
        <w:t xml:space="preserve"> </w:t>
      </w:r>
      <w:r w:rsidRPr="007C5BFD">
        <w:rPr>
          <w:rFonts w:hint="cs"/>
          <w:rtl/>
        </w:rPr>
        <w:t>לפי הקבוע בתקנות, ילד נכה, ה</w:t>
      </w:r>
      <w:r w:rsidR="00BB22F4">
        <w:rPr>
          <w:rFonts w:hint="cs"/>
          <w:rtl/>
        </w:rPr>
        <w:t xml:space="preserve">מתמודד עם </w:t>
      </w:r>
      <w:r w:rsidRPr="007C5BFD">
        <w:rPr>
          <w:rtl/>
        </w:rPr>
        <w:t>ירידה בשמיעה של 40-44 דציבלים בתדירות הדיבור בשתי אוזניו</w:t>
      </w:r>
      <w:r w:rsidRPr="007C5BFD">
        <w:rPr>
          <w:rFonts w:hint="cs"/>
          <w:rtl/>
        </w:rPr>
        <w:t>,</w:t>
      </w:r>
      <w:r w:rsidRPr="007C5BFD">
        <w:rPr>
          <w:rtl/>
        </w:rPr>
        <w:t xml:space="preserve"> וזקוק למכשיר שמיעה באופן קבוע</w:t>
      </w:r>
      <w:r w:rsidRPr="007C5BFD">
        <w:rPr>
          <w:rFonts w:hint="cs"/>
          <w:rtl/>
        </w:rPr>
        <w:t>,</w:t>
      </w:r>
      <w:r w:rsidRPr="007C5BFD">
        <w:rPr>
          <w:rtl/>
        </w:rPr>
        <w:t xml:space="preserve"> זכאי ל-50% מקצב</w:t>
      </w:r>
      <w:r w:rsidRPr="007C5BFD">
        <w:rPr>
          <w:rFonts w:hint="cs"/>
          <w:rtl/>
        </w:rPr>
        <w:t>ת יחיד מלאה</w:t>
      </w:r>
      <w:r w:rsidRPr="007C5BFD">
        <w:rPr>
          <w:rtl/>
        </w:rPr>
        <w:t xml:space="preserve"> ואילו ילד</w:t>
      </w:r>
      <w:r w:rsidRPr="007C5BFD">
        <w:rPr>
          <w:rFonts w:hint="cs"/>
          <w:rtl/>
        </w:rPr>
        <w:t xml:space="preserve"> נכה,</w:t>
      </w:r>
      <w:r w:rsidRPr="007C5BFD">
        <w:rPr>
          <w:rtl/>
        </w:rPr>
        <w:t xml:space="preserve"> עם ירידה בשמיעה של 45 דציבלים לפחות בתדירות הדיבור בשתי </w:t>
      </w:r>
      <w:r w:rsidRPr="007C5BFD">
        <w:rPr>
          <w:rtl/>
        </w:rPr>
        <w:lastRenderedPageBreak/>
        <w:t>אוזניו</w:t>
      </w:r>
      <w:r w:rsidRPr="007C5BFD">
        <w:rPr>
          <w:rFonts w:hint="cs"/>
          <w:rtl/>
        </w:rPr>
        <w:t>,</w:t>
      </w:r>
      <w:r w:rsidRPr="007C5BFD">
        <w:rPr>
          <w:rtl/>
        </w:rPr>
        <w:t xml:space="preserve"> זכאי לקצב</w:t>
      </w:r>
      <w:r w:rsidRPr="007C5BFD">
        <w:rPr>
          <w:rFonts w:hint="cs"/>
          <w:rtl/>
        </w:rPr>
        <w:t>ת יחיד מלאה.</w:t>
      </w:r>
      <w:r w:rsidRPr="007C5BFD">
        <w:rPr>
          <w:rtl/>
        </w:rPr>
        <w:t xml:space="preserve"> עם זאת, </w:t>
      </w:r>
      <w:r w:rsidRPr="007C5BFD">
        <w:rPr>
          <w:rFonts w:hint="cs"/>
          <w:rtl/>
        </w:rPr>
        <w:t xml:space="preserve">ירידת שמיעה בקרב ילדים בטווח שבין 30-45 </w:t>
      </w:r>
      <w:r>
        <w:rPr>
          <w:rFonts w:hint="cs"/>
          <w:rtl/>
        </w:rPr>
        <w:t>דציבלים</w:t>
      </w:r>
      <w:r w:rsidRPr="007C5BFD">
        <w:rPr>
          <w:rFonts w:hint="cs"/>
          <w:rtl/>
        </w:rPr>
        <w:t xml:space="preserve"> משפיעה גם היא על התפקוד השמיעתי ומחייבת טיפולים אינטנסיביים והתאמת מכשירי שמיעה.</w:t>
      </w:r>
    </w:p>
    <w:p w14:paraId="3AB1A381" w14:textId="4DF09D05" w:rsidR="00C0052D" w:rsidRPr="007C5BFD" w:rsidRDefault="00C0052D" w:rsidP="00BB22F4">
      <w:pPr>
        <w:pStyle w:val="Hesber"/>
        <w:rPr>
          <w:rtl/>
        </w:rPr>
      </w:pPr>
      <w:r w:rsidRPr="007C5BFD">
        <w:rPr>
          <w:rFonts w:hint="cs"/>
          <w:rtl/>
        </w:rPr>
        <w:t xml:space="preserve">בנוסף, </w:t>
      </w:r>
      <w:r>
        <w:rPr>
          <w:rFonts w:hint="cs"/>
          <w:rtl/>
        </w:rPr>
        <w:t>ילדים ה</w:t>
      </w:r>
      <w:r w:rsidR="00BB22F4">
        <w:rPr>
          <w:rFonts w:hint="cs"/>
          <w:rtl/>
        </w:rPr>
        <w:t xml:space="preserve">מתמודדים עם </w:t>
      </w:r>
      <w:r w:rsidRPr="007C5BFD">
        <w:rPr>
          <w:rFonts w:hint="cs"/>
          <w:rtl/>
        </w:rPr>
        <w:t xml:space="preserve">ירידת שמיעה קבועה באוזן אחת אינם מוכרים היום כלל ואינם זכאים לקצבת נכות, </w:t>
      </w:r>
      <w:r w:rsidR="00BB22F4">
        <w:rPr>
          <w:rFonts w:hint="cs"/>
          <w:rtl/>
        </w:rPr>
        <w:t>על אף</w:t>
      </w:r>
      <w:r w:rsidRPr="007C5BFD">
        <w:rPr>
          <w:rFonts w:hint="cs"/>
          <w:rtl/>
        </w:rPr>
        <w:t xml:space="preserve"> שלקות זאת גורמת להם לקושי תפקודי, לימודי וחברתי רב והם זקוקים לטיפול אינטנסיבי ע</w:t>
      </w:r>
      <w:r w:rsidR="009F4F5C">
        <w:rPr>
          <w:rFonts w:hint="cs"/>
          <w:rtl/>
        </w:rPr>
        <w:t>ל  ידי</w:t>
      </w:r>
      <w:r w:rsidRPr="007C5BFD">
        <w:rPr>
          <w:rFonts w:hint="cs"/>
          <w:rtl/>
        </w:rPr>
        <w:t xml:space="preserve"> גורמי הטיפול המקצועיים. </w:t>
      </w:r>
    </w:p>
    <w:p w14:paraId="4BDA53F2" w14:textId="5317D562" w:rsidR="00C0052D" w:rsidRPr="007C5BFD" w:rsidRDefault="009F4F5C" w:rsidP="009F4F5C">
      <w:pPr>
        <w:pStyle w:val="Hesber"/>
        <w:rPr>
          <w:rtl/>
        </w:rPr>
      </w:pPr>
      <w:r>
        <w:rPr>
          <w:rFonts w:hint="cs"/>
          <w:rtl/>
        </w:rPr>
        <w:t xml:space="preserve">הילדות היא </w:t>
      </w:r>
      <w:r w:rsidR="00C0052D" w:rsidRPr="007C5BFD">
        <w:rPr>
          <w:rFonts w:hint="cs"/>
          <w:rtl/>
        </w:rPr>
        <w:t xml:space="preserve">פרק זמן </w:t>
      </w:r>
      <w:r>
        <w:rPr>
          <w:rFonts w:hint="cs"/>
          <w:rtl/>
        </w:rPr>
        <w:t>משמעותי</w:t>
      </w:r>
      <w:r w:rsidR="00C0052D" w:rsidRPr="007C5BFD">
        <w:rPr>
          <w:rFonts w:hint="cs"/>
          <w:rtl/>
        </w:rPr>
        <w:t xml:space="preserve"> להתפתחותם של הילדים ו</w:t>
      </w:r>
      <w:r>
        <w:rPr>
          <w:rFonts w:hint="cs"/>
          <w:rtl/>
        </w:rPr>
        <w:t xml:space="preserve">היא משפיעה רבות על </w:t>
      </w:r>
      <w:r w:rsidR="00C0052D" w:rsidRPr="007C5BFD">
        <w:rPr>
          <w:rFonts w:hint="cs"/>
          <w:rtl/>
        </w:rPr>
        <w:t>תפקודם</w:t>
      </w:r>
      <w:r>
        <w:rPr>
          <w:rFonts w:hint="cs"/>
          <w:rtl/>
        </w:rPr>
        <w:t xml:space="preserve"> בהמשך</w:t>
      </w:r>
      <w:r w:rsidR="00C0052D" w:rsidRPr="007C5BFD">
        <w:rPr>
          <w:rFonts w:hint="cs"/>
          <w:rtl/>
        </w:rPr>
        <w:t xml:space="preserve">. </w:t>
      </w:r>
    </w:p>
    <w:p w14:paraId="11D33AB7" w14:textId="54F0BED9" w:rsidR="00C0052D" w:rsidRPr="007C5BFD" w:rsidRDefault="00C0052D" w:rsidP="00FD5309">
      <w:pPr>
        <w:pStyle w:val="Hesber"/>
        <w:rPr>
          <w:rtl/>
        </w:rPr>
      </w:pPr>
      <w:r w:rsidRPr="007C5BFD">
        <w:rPr>
          <w:rtl/>
        </w:rPr>
        <w:t xml:space="preserve">לפיכך מוצע לקבוע כי </w:t>
      </w:r>
      <w:r w:rsidRPr="007C5BFD">
        <w:rPr>
          <w:rFonts w:hint="cs"/>
          <w:rtl/>
        </w:rPr>
        <w:t>על אף</w:t>
      </w:r>
      <w:r w:rsidRPr="007C5BFD">
        <w:rPr>
          <w:rtl/>
        </w:rPr>
        <w:t xml:space="preserve"> </w:t>
      </w:r>
      <w:r w:rsidRPr="007C5BFD">
        <w:rPr>
          <w:rFonts w:hint="cs"/>
          <w:rtl/>
        </w:rPr>
        <w:t xml:space="preserve">הקבוע בתקנות, ילד נכה </w:t>
      </w:r>
      <w:r w:rsidR="009F4F5C">
        <w:rPr>
          <w:rFonts w:hint="cs"/>
          <w:rtl/>
        </w:rPr>
        <w:t>המתמודד עם</w:t>
      </w:r>
      <w:r w:rsidRPr="007C5BFD">
        <w:rPr>
          <w:rFonts w:hint="cs"/>
          <w:rtl/>
        </w:rPr>
        <w:t xml:space="preserve"> ירידה ב</w:t>
      </w:r>
      <w:r w:rsidRPr="007C5BFD">
        <w:rPr>
          <w:rtl/>
        </w:rPr>
        <w:t>שמיעה</w:t>
      </w:r>
      <w:r w:rsidRPr="007C5BFD">
        <w:rPr>
          <w:rFonts w:hint="cs"/>
          <w:rtl/>
        </w:rPr>
        <w:t xml:space="preserve"> באוזן אחת </w:t>
      </w:r>
      <w:r>
        <w:rPr>
          <w:rFonts w:hint="cs"/>
          <w:rtl/>
        </w:rPr>
        <w:t>ב</w:t>
      </w:r>
      <w:r w:rsidR="009F4F5C">
        <w:rPr>
          <w:rFonts w:hint="cs"/>
          <w:rtl/>
        </w:rPr>
        <w:t xml:space="preserve">שיעורים </w:t>
      </w:r>
      <w:r>
        <w:rPr>
          <w:rFonts w:hint="cs"/>
          <w:rtl/>
        </w:rPr>
        <w:t>ה</w:t>
      </w:r>
      <w:r w:rsidR="009F4F5C">
        <w:rPr>
          <w:rFonts w:hint="cs"/>
          <w:rtl/>
        </w:rPr>
        <w:t>מוצעים</w:t>
      </w:r>
      <w:r>
        <w:rPr>
          <w:rFonts w:hint="cs"/>
          <w:rtl/>
        </w:rPr>
        <w:t xml:space="preserve"> לעיל</w:t>
      </w:r>
      <w:r w:rsidR="009F4F5C">
        <w:rPr>
          <w:rFonts w:hint="cs"/>
          <w:rtl/>
        </w:rPr>
        <w:t>,</w:t>
      </w:r>
      <w:r>
        <w:rPr>
          <w:rFonts w:hint="cs"/>
          <w:rtl/>
        </w:rPr>
        <w:t xml:space="preserve"> יהיה זכאי לגמלת ילד נכה וכן</w:t>
      </w:r>
      <w:r w:rsidRPr="007C5BFD">
        <w:rPr>
          <w:rFonts w:hint="cs"/>
          <w:rtl/>
        </w:rPr>
        <w:t xml:space="preserve"> מוצע לשנות את </w:t>
      </w:r>
      <w:r>
        <w:rPr>
          <w:rFonts w:hint="cs"/>
          <w:rtl/>
        </w:rPr>
        <w:t>ה</w:t>
      </w:r>
      <w:r w:rsidR="009F4F5C">
        <w:rPr>
          <w:rFonts w:hint="cs"/>
          <w:rtl/>
        </w:rPr>
        <w:t>שיעורים המוצעים ל</w:t>
      </w:r>
      <w:r w:rsidRPr="007C5BFD">
        <w:rPr>
          <w:rFonts w:hint="cs"/>
          <w:rtl/>
        </w:rPr>
        <w:t xml:space="preserve">ילד נכה </w:t>
      </w:r>
      <w:r w:rsidR="00FD5309">
        <w:rPr>
          <w:rFonts w:hint="cs"/>
          <w:rtl/>
        </w:rPr>
        <w:t>עם</w:t>
      </w:r>
      <w:r>
        <w:rPr>
          <w:rFonts w:hint="cs"/>
          <w:rtl/>
        </w:rPr>
        <w:t xml:space="preserve"> ירידה בשמיעה בשתי אוזניו כמפורט בהצעת החוק. </w:t>
      </w:r>
    </w:p>
    <w:p w14:paraId="5BE3E9D1" w14:textId="55DDA113" w:rsidR="00D270E9" w:rsidRDefault="00D270E9" w:rsidP="00D270E9">
      <w:pPr>
        <w:pStyle w:val="Hesber"/>
        <w:rPr>
          <w:rtl/>
        </w:rPr>
      </w:pPr>
      <w:r>
        <w:rPr>
          <w:rtl/>
        </w:rPr>
        <w:t>הצעות חוק זהות הונחו על שולחן הכנסת העשרים ושלוש</w:t>
      </w:r>
      <w:r>
        <w:rPr>
          <w:rFonts w:hint="cs"/>
          <w:rtl/>
        </w:rPr>
        <w:t xml:space="preserve"> </w:t>
      </w:r>
      <w:r>
        <w:rPr>
          <w:rtl/>
        </w:rPr>
        <w:t>על ידי חברת הכנסת קטי קטרין שטרית וקבוצת חברי הכנסת</w:t>
      </w:r>
      <w:r>
        <w:rPr>
          <w:rFonts w:hint="cs"/>
          <w:rtl/>
        </w:rPr>
        <w:t xml:space="preserve"> (</w:t>
      </w:r>
      <w:r>
        <w:rPr>
          <w:rtl/>
        </w:rPr>
        <w:t>פ/83/23</w:t>
      </w:r>
      <w:r>
        <w:rPr>
          <w:rFonts w:hint="cs"/>
          <w:rtl/>
        </w:rPr>
        <w:t>)</w:t>
      </w:r>
      <w:r>
        <w:rPr>
          <w:rtl/>
        </w:rPr>
        <w:t xml:space="preserve"> ועל שולחן הכנסת העשרים וארבע על ידי חברת הכנסת קטי קטרין שטרית וקבוצת חברי הכנסת (פ/1367/24</w:t>
      </w:r>
      <w:r>
        <w:rPr>
          <w:rFonts w:hint="cs"/>
          <w:rtl/>
        </w:rPr>
        <w:t>;</w:t>
      </w:r>
      <w:r w:rsidRPr="00532D55">
        <w:rPr>
          <w:rtl/>
        </w:rPr>
        <w:t xml:space="preserve"> פ/3415/24</w:t>
      </w:r>
      <w:r>
        <w:rPr>
          <w:rtl/>
        </w:rPr>
        <w:t>)</w:t>
      </w:r>
      <w:r>
        <w:rPr>
          <w:rFonts w:hint="cs"/>
          <w:rtl/>
        </w:rPr>
        <w:t xml:space="preserve"> ועל ידי חברת הכנסת שירלי פינטו וקבוצת חברי הכנסת (פ/3419/24).</w:t>
      </w:r>
    </w:p>
    <w:p w14:paraId="38593A86" w14:textId="3BFB6F1F" w:rsidR="002A435E" w:rsidRDefault="002A435E" w:rsidP="00D270E9">
      <w:pPr>
        <w:pStyle w:val="Hesber"/>
        <w:rPr>
          <w:rtl/>
        </w:rPr>
      </w:pPr>
      <w:r>
        <w:rPr>
          <w:rFonts w:hint="cs"/>
          <w:rtl/>
        </w:rPr>
        <w:t>הצעת החוק זהה לפ/3415/24 ולפיכך לא נבדקה מחדש על ידי הלשכה המשפטית של הכנסת.</w:t>
      </w:r>
    </w:p>
    <w:p w14:paraId="26CE7A42" w14:textId="77777777" w:rsidR="00050028" w:rsidRDefault="00050028">
      <w:pPr>
        <w:jc w:val="left"/>
        <w:rPr>
          <w:rFonts w:eastAsia="David"/>
          <w:sz w:val="26"/>
          <w:szCs w:val="26"/>
          <w:rtl/>
        </w:rPr>
      </w:pPr>
      <w:bookmarkStart w:id="8" w:name="selectedDocDateB"/>
      <w:bookmarkEnd w:id="8"/>
    </w:p>
    <w:p w14:paraId="089EF213" w14:textId="77777777" w:rsidR="00D67FF9" w:rsidRDefault="00050028">
      <w:pPr>
        <w:jc w:val="left"/>
      </w:pPr>
      <w:bookmarkStart w:id="9" w:name="_GoBack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54B965F8" w14:textId="77777777" w:rsidR="00D67FF9" w:rsidRDefault="00050028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6789B53B" w14:textId="77777777" w:rsidR="00D67FF9" w:rsidRDefault="00050028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28FA85FB" w14:textId="77777777" w:rsidR="00D67FF9" w:rsidRDefault="00050028">
      <w:pPr>
        <w:jc w:val="left"/>
      </w:pPr>
      <w:r>
        <w:rPr>
          <w:rFonts w:eastAsia="David" w:hint="cs"/>
          <w:sz w:val="26"/>
          <w:szCs w:val="26"/>
          <w:rtl/>
        </w:rPr>
        <w:t xml:space="preserve">כ"א בסיוון התשפ"ב (20.06.2022) </w:t>
      </w:r>
    </w:p>
    <w:p w14:paraId="4C9198C7" w14:textId="77777777" w:rsidR="00D67FF9" w:rsidRDefault="00D67FF9">
      <w:pPr>
        <w:spacing w:line="276" w:lineRule="auto"/>
        <w:jc w:val="left"/>
      </w:pPr>
    </w:p>
    <w:sectPr w:rsidR="00D67FF9" w:rsidSect="0005002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50028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05002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7F4AEF2" w14:textId="77777777" w:rsidR="00D270E9" w:rsidRDefault="00D270E9" w:rsidP="00D270E9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ס''ח התשנ''ה,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0028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35E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A1B93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37E8"/>
    <w:rsid w:val="00865572"/>
    <w:rsid w:val="00874BBC"/>
    <w:rsid w:val="00892135"/>
    <w:rsid w:val="00895449"/>
    <w:rsid w:val="00897879"/>
    <w:rsid w:val="008A6870"/>
    <w:rsid w:val="008B57BB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9F4F5C"/>
    <w:rsid w:val="00A14672"/>
    <w:rsid w:val="00A227F2"/>
    <w:rsid w:val="00A26BD6"/>
    <w:rsid w:val="00A443CF"/>
    <w:rsid w:val="00A623D6"/>
    <w:rsid w:val="00A6611D"/>
    <w:rsid w:val="00A82CB7"/>
    <w:rsid w:val="00A942C1"/>
    <w:rsid w:val="00AA2F03"/>
    <w:rsid w:val="00AC36F7"/>
    <w:rsid w:val="00AC63A4"/>
    <w:rsid w:val="00AD239E"/>
    <w:rsid w:val="00B10265"/>
    <w:rsid w:val="00B15BC5"/>
    <w:rsid w:val="00B16A99"/>
    <w:rsid w:val="00B21211"/>
    <w:rsid w:val="00B35784"/>
    <w:rsid w:val="00B733A7"/>
    <w:rsid w:val="00B75C91"/>
    <w:rsid w:val="00B975AD"/>
    <w:rsid w:val="00BB22F4"/>
    <w:rsid w:val="00BC45FB"/>
    <w:rsid w:val="00BF148D"/>
    <w:rsid w:val="00C0052D"/>
    <w:rsid w:val="00C23B1A"/>
    <w:rsid w:val="00C310EB"/>
    <w:rsid w:val="00C9176A"/>
    <w:rsid w:val="00CF1AA2"/>
    <w:rsid w:val="00D142D3"/>
    <w:rsid w:val="00D17774"/>
    <w:rsid w:val="00D270E9"/>
    <w:rsid w:val="00D63620"/>
    <w:rsid w:val="00D67FF9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4CB2412-0202-425E-8B4D-5150DF4A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2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02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5002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5002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5002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002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5002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50028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5002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50028"/>
    <w:rPr>
      <w:sz w:val="36"/>
      <w:szCs w:val="52"/>
    </w:rPr>
  </w:style>
  <w:style w:type="paragraph" w:customStyle="1" w:styleId="Cover3-Haknesset">
    <w:name w:val="Cover 3-Haknesset"/>
    <w:basedOn w:val="Cover1-Reshumot"/>
    <w:rsid w:val="00050028"/>
    <w:rPr>
      <w:b/>
      <w:bCs/>
      <w:spacing w:val="60"/>
    </w:rPr>
  </w:style>
  <w:style w:type="paragraph" w:customStyle="1" w:styleId="Cover4-Date">
    <w:name w:val="Cover 4-Date"/>
    <w:basedOn w:val="a"/>
    <w:rsid w:val="0005002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5002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5002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5002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5002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5002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50028"/>
    <w:pPr>
      <w:outlineLvl w:val="2"/>
    </w:pPr>
  </w:style>
  <w:style w:type="paragraph" w:customStyle="1" w:styleId="TableBlock">
    <w:name w:val="Table Block"/>
    <w:basedOn w:val="TableText"/>
    <w:rsid w:val="00050028"/>
    <w:pPr>
      <w:jc w:val="both"/>
    </w:pPr>
  </w:style>
  <w:style w:type="paragraph" w:customStyle="1" w:styleId="TableHead">
    <w:name w:val="Table Head"/>
    <w:basedOn w:val="TableText"/>
    <w:rsid w:val="0005002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50028"/>
    <w:pPr>
      <w:outlineLvl w:val="9"/>
    </w:pPr>
  </w:style>
  <w:style w:type="paragraph" w:customStyle="1" w:styleId="Hesber">
    <w:name w:val="Hesber"/>
    <w:basedOn w:val="a"/>
    <w:rsid w:val="0005002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05002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050028"/>
    <w:rPr>
      <w:vertAlign w:val="superscript"/>
    </w:rPr>
  </w:style>
  <w:style w:type="paragraph" w:customStyle="1" w:styleId="HesberHeading">
    <w:name w:val="Hesber Heading"/>
    <w:basedOn w:val="Hesber"/>
    <w:rsid w:val="0005002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50028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50028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050028"/>
    <w:rPr>
      <w:vertAlign w:val="superscript"/>
    </w:rPr>
  </w:style>
  <w:style w:type="paragraph" w:customStyle="1" w:styleId="TableBlockOutdent">
    <w:name w:val="Table BlockOutdent"/>
    <w:basedOn w:val="TableBlock"/>
    <w:rsid w:val="00050028"/>
    <w:pPr>
      <w:ind w:left="624" w:hanging="624"/>
    </w:pPr>
  </w:style>
  <w:style w:type="paragraph" w:styleId="a8">
    <w:name w:val="header"/>
    <w:basedOn w:val="a"/>
    <w:rsid w:val="000500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05002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5002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5002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05002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C0052D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05002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5002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5002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5002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5002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05002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5002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5002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5002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50028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5002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5002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5002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5002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5002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5002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5002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5002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50028"/>
    <w:rPr>
      <w:rFonts w:eastAsia="Times New Roman"/>
    </w:rPr>
  </w:style>
  <w:style w:type="paragraph" w:styleId="af">
    <w:name w:val="List Paragraph"/>
    <w:basedOn w:val="a"/>
    <w:uiPriority w:val="34"/>
    <w:qFormat/>
    <w:rsid w:val="00050028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05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500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500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05002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5002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90C1-FD85-4181-A7FD-F34ACF77D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823FAB-465B-4BF0-B125-77D2D57C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16</cp:revision>
  <cp:lastPrinted>2022-06-15T09:44:00Z</cp:lastPrinted>
  <dcterms:created xsi:type="dcterms:W3CDTF">2015-04-20T09:58:00Z</dcterms:created>
  <dcterms:modified xsi:type="dcterms:W3CDTF">2022-06-15T09:45:00Z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2193457</vt:r8>
  </property>
</Properties>
</file>