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2193045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5E778D5E" w:rsidR="00E13C27" w:rsidRPr="00CF1AA2" w:rsidRDefault="008F6665" w:rsidP="00AA2462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שלמה קרעי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0792BE1B" w:rsidR="00E13C27" w:rsidRPr="00E06736" w:rsidRDefault="00904591" w:rsidP="00AA2462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פ/3897/24</w:t>
      </w:r>
      <w:bookmarkEnd w:id="6"/>
    </w:p>
    <w:p w14:paraId="7F6961AD" w14:textId="02C00FD0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יישום </w:t>
      </w:r>
      <w:proofErr w:type="spellStart"/>
      <w:r>
        <w:rPr>
          <w:rFonts w:hint="cs"/>
          <w:rtl/>
        </w:rPr>
        <w:t>תוכנית</w:t>
      </w:r>
      <w:proofErr w:type="spellEnd"/>
      <w:r>
        <w:rPr>
          <w:rFonts w:hint="cs"/>
          <w:rtl/>
        </w:rPr>
        <w:t xml:space="preserve"> ההתנתקות (תיקון – ביטול סעיפי הפינוי ושינוי שם החוק), </w:t>
      </w:r>
      <w:r w:rsidR="00AA2462">
        <w:rPr>
          <w:rtl/>
        </w:rPr>
        <w:br/>
      </w:r>
      <w:proofErr w:type="spellStart"/>
      <w:r>
        <w:rPr>
          <w:rFonts w:hint="cs"/>
          <w:rtl/>
        </w:rPr>
        <w:t>התשפ"ב</w:t>
      </w:r>
      <w:proofErr w:type="spellEnd"/>
      <w:r>
        <w:rPr>
          <w:rFonts w:hint="cs"/>
          <w:rtl/>
        </w:rPr>
        <w:t>–2022</w:t>
      </w:r>
      <w:bookmarkEnd w:id="7"/>
    </w:p>
    <w:p w14:paraId="16FAC9D1" w14:textId="77777777" w:rsidR="006F4B2F" w:rsidRDefault="006F4B2F" w:rsidP="006F4B2F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6F4B2F" w:rsidRPr="00AA2462" w:rsidDel="00376105" w14:paraId="0888EADC" w14:textId="77777777" w:rsidTr="00AA2462">
        <w:trPr>
          <w:cantSplit/>
        </w:trPr>
        <w:tc>
          <w:tcPr>
            <w:tcW w:w="1871" w:type="dxa"/>
          </w:tcPr>
          <w:p w14:paraId="2E1D0B9A" w14:textId="77777777" w:rsidR="006F4B2F" w:rsidRPr="00AA2462" w:rsidDel="00376105" w:rsidRDefault="006F4B2F" w:rsidP="00773208">
            <w:pPr>
              <w:pStyle w:val="TableSideHeading"/>
              <w:keepLines w:val="0"/>
              <w:rPr>
                <w:sz w:val="26"/>
              </w:rPr>
            </w:pPr>
            <w:r w:rsidRPr="00AA2462">
              <w:rPr>
                <w:sz w:val="26"/>
                <w:rtl/>
              </w:rPr>
              <w:t>תיקון שם החוק</w:t>
            </w:r>
          </w:p>
        </w:tc>
        <w:tc>
          <w:tcPr>
            <w:tcW w:w="624" w:type="dxa"/>
          </w:tcPr>
          <w:p w14:paraId="2B52E106" w14:textId="77777777" w:rsidR="006F4B2F" w:rsidRPr="00AA2462" w:rsidDel="00376105" w:rsidRDefault="006F4B2F" w:rsidP="00773208">
            <w:pPr>
              <w:pStyle w:val="TableText"/>
              <w:keepLines w:val="0"/>
              <w:rPr>
                <w:sz w:val="26"/>
              </w:rPr>
            </w:pPr>
            <w:r w:rsidRPr="00AA2462">
              <w:rPr>
                <w:sz w:val="26"/>
                <w:rtl/>
              </w:rPr>
              <w:t>1.</w:t>
            </w:r>
          </w:p>
        </w:tc>
        <w:tc>
          <w:tcPr>
            <w:tcW w:w="7143" w:type="dxa"/>
          </w:tcPr>
          <w:p w14:paraId="258F60FF" w14:textId="77777777" w:rsidR="006F4B2F" w:rsidRPr="00AA2462" w:rsidDel="00376105" w:rsidRDefault="006F4B2F" w:rsidP="00AA2462">
            <w:pPr>
              <w:pStyle w:val="TableBlock"/>
              <w:rPr>
                <w:sz w:val="26"/>
              </w:rPr>
            </w:pPr>
            <w:r w:rsidRPr="00AA2462">
              <w:rPr>
                <w:sz w:val="26"/>
                <w:rtl/>
              </w:rPr>
              <w:t xml:space="preserve">בחוק יישום </w:t>
            </w:r>
            <w:proofErr w:type="spellStart"/>
            <w:r w:rsidRPr="00AA2462">
              <w:rPr>
                <w:sz w:val="26"/>
                <w:rtl/>
              </w:rPr>
              <w:t>ת</w:t>
            </w:r>
            <w:r w:rsidRPr="00AA2462">
              <w:rPr>
                <w:rFonts w:hint="cs"/>
                <w:sz w:val="26"/>
                <w:rtl/>
              </w:rPr>
              <w:t>ו</w:t>
            </w:r>
            <w:r w:rsidRPr="00AA2462">
              <w:rPr>
                <w:sz w:val="26"/>
                <w:rtl/>
              </w:rPr>
              <w:t>כנית</w:t>
            </w:r>
            <w:proofErr w:type="spellEnd"/>
            <w:r w:rsidRPr="00AA2462">
              <w:rPr>
                <w:sz w:val="26"/>
                <w:rtl/>
              </w:rPr>
              <w:t xml:space="preserve"> ההתנתקות, </w:t>
            </w:r>
            <w:proofErr w:type="spellStart"/>
            <w:r w:rsidRPr="00AA2462">
              <w:rPr>
                <w:sz w:val="26"/>
                <w:rtl/>
              </w:rPr>
              <w:t>התשס"ה</w:t>
            </w:r>
            <w:proofErr w:type="spellEnd"/>
            <w:r w:rsidRPr="00AA2462">
              <w:rPr>
                <w:sz w:val="26"/>
                <w:rtl/>
              </w:rPr>
              <w:t>–2005</w:t>
            </w:r>
            <w:r w:rsidRPr="00AA2462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 w:rsidRPr="00AA2462">
              <w:rPr>
                <w:sz w:val="26"/>
                <w:rtl/>
              </w:rPr>
              <w:t xml:space="preserve"> (להלן – החוק העיקרי), בשם החוק, במקום "חוק יישום תכנית ההתנתקות" יבוא "חוק הפיצויים לנפגעי ההתנתקות". </w:t>
            </w:r>
          </w:p>
        </w:tc>
      </w:tr>
      <w:tr w:rsidR="006F4B2F" w:rsidRPr="00AA2462" w:rsidDel="00376105" w14:paraId="7C029F9F" w14:textId="77777777" w:rsidTr="00AA2462">
        <w:trPr>
          <w:cantSplit/>
        </w:trPr>
        <w:tc>
          <w:tcPr>
            <w:tcW w:w="1871" w:type="dxa"/>
          </w:tcPr>
          <w:p w14:paraId="07A6B3B2" w14:textId="77777777" w:rsidR="006F4B2F" w:rsidRPr="00AA2462" w:rsidRDefault="006F4B2F" w:rsidP="00773208">
            <w:pPr>
              <w:pStyle w:val="TableSideHeading"/>
              <w:keepLines w:val="0"/>
              <w:rPr>
                <w:sz w:val="26"/>
                <w:rtl/>
              </w:rPr>
            </w:pPr>
            <w:r w:rsidRPr="00AA2462">
              <w:rPr>
                <w:sz w:val="26"/>
                <w:rtl/>
              </w:rPr>
              <w:t>ביטול סעיפים 23 עד 30</w:t>
            </w:r>
          </w:p>
        </w:tc>
        <w:tc>
          <w:tcPr>
            <w:tcW w:w="624" w:type="dxa"/>
          </w:tcPr>
          <w:p w14:paraId="214868DE" w14:textId="77777777" w:rsidR="006F4B2F" w:rsidRPr="00AA2462" w:rsidRDefault="006F4B2F" w:rsidP="00773208">
            <w:pPr>
              <w:pStyle w:val="TableText"/>
              <w:keepLines w:val="0"/>
              <w:rPr>
                <w:sz w:val="26"/>
                <w:rtl/>
              </w:rPr>
            </w:pPr>
            <w:r w:rsidRPr="00AA2462">
              <w:rPr>
                <w:sz w:val="26"/>
                <w:rtl/>
              </w:rPr>
              <w:t>2.</w:t>
            </w:r>
          </w:p>
        </w:tc>
        <w:tc>
          <w:tcPr>
            <w:tcW w:w="7143" w:type="dxa"/>
          </w:tcPr>
          <w:p w14:paraId="71EBBEC6" w14:textId="77777777" w:rsidR="006F4B2F" w:rsidRPr="00AA2462" w:rsidRDefault="006F4B2F" w:rsidP="00AA2462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AA2462">
              <w:rPr>
                <w:sz w:val="26"/>
                <w:rtl/>
              </w:rPr>
              <w:t>סעיפים 23 עד 30(ב) לחוק העיקרי – בטלים.</w:t>
            </w:r>
          </w:p>
        </w:tc>
      </w:tr>
    </w:tbl>
    <w:p w14:paraId="0BB293F8" w14:textId="77777777" w:rsidR="006F4B2F" w:rsidRDefault="006F4B2F" w:rsidP="006F4B2F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CE358A6" w14:textId="77777777" w:rsidR="006F4B2F" w:rsidRPr="000C72E2" w:rsidRDefault="006F4B2F" w:rsidP="00AA2462">
      <w:pPr>
        <w:pStyle w:val="Hesber"/>
        <w:spacing w:line="240" w:lineRule="auto"/>
        <w:rPr>
          <w:rtl/>
        </w:rPr>
      </w:pPr>
      <w:r w:rsidRPr="000C72E2">
        <w:rPr>
          <w:rtl/>
        </w:rPr>
        <w:t xml:space="preserve">החוק ליישום </w:t>
      </w:r>
      <w:proofErr w:type="spellStart"/>
      <w:r w:rsidRPr="000C72E2">
        <w:rPr>
          <w:rtl/>
        </w:rPr>
        <w:t>ת</w:t>
      </w:r>
      <w:r>
        <w:rPr>
          <w:rFonts w:hint="cs"/>
          <w:rtl/>
        </w:rPr>
        <w:t>ו</w:t>
      </w:r>
      <w:r w:rsidRPr="000C72E2">
        <w:rPr>
          <w:rtl/>
        </w:rPr>
        <w:t>כנית</w:t>
      </w:r>
      <w:proofErr w:type="spellEnd"/>
      <w:r w:rsidRPr="000C72E2">
        <w:rPr>
          <w:rtl/>
        </w:rPr>
        <w:t xml:space="preserve"> ההתנתקות נועד להכשיר את עקירתם וגירושם של כ–10,000 איש מבתיהם, מפרנסתם וממרקם החיים שלהם במסגרת </w:t>
      </w:r>
      <w:proofErr w:type="spellStart"/>
      <w:r>
        <w:rPr>
          <w:rtl/>
        </w:rPr>
        <w:t>תוכנית</w:t>
      </w:r>
      <w:proofErr w:type="spellEnd"/>
      <w:r w:rsidRPr="000C72E2">
        <w:rPr>
          <w:rtl/>
        </w:rPr>
        <w:t xml:space="preserve"> ההתנתקות</w:t>
      </w:r>
      <w:r w:rsidRPr="000C72E2">
        <w:rPr>
          <w:rFonts w:hint="cs"/>
          <w:rtl/>
        </w:rPr>
        <w:t xml:space="preserve">, תוך הפקרת </w:t>
      </w:r>
      <w:proofErr w:type="spellStart"/>
      <w:r w:rsidRPr="000C72E2">
        <w:rPr>
          <w:rFonts w:hint="cs"/>
          <w:rtl/>
        </w:rPr>
        <w:t>האיזור</w:t>
      </w:r>
      <w:proofErr w:type="spellEnd"/>
      <w:r w:rsidRPr="000C72E2">
        <w:rPr>
          <w:rFonts w:hint="cs"/>
          <w:rtl/>
        </w:rPr>
        <w:t xml:space="preserve"> החשוב לידי החמאס.</w:t>
      </w:r>
    </w:p>
    <w:p w14:paraId="18CCC40E" w14:textId="77777777" w:rsidR="006F4B2F" w:rsidRPr="000C72E2" w:rsidRDefault="006F4B2F" w:rsidP="00AA2462">
      <w:pPr>
        <w:pStyle w:val="Hesber"/>
        <w:spacing w:line="240" w:lineRule="auto"/>
        <w:rPr>
          <w:rtl/>
        </w:rPr>
      </w:pPr>
      <w:r w:rsidRPr="000C72E2">
        <w:rPr>
          <w:rFonts w:hint="cs"/>
          <w:rtl/>
        </w:rPr>
        <w:t xml:space="preserve">תכלית </w:t>
      </w:r>
      <w:proofErr w:type="spellStart"/>
      <w:r>
        <w:rPr>
          <w:rFonts w:hint="cs"/>
          <w:rtl/>
        </w:rPr>
        <w:t>תוכנית</w:t>
      </w:r>
      <w:proofErr w:type="spellEnd"/>
      <w:r w:rsidRPr="000C72E2">
        <w:rPr>
          <w:rFonts w:hint="cs"/>
          <w:rtl/>
        </w:rPr>
        <w:t xml:space="preserve"> ההתנתקות כפי שהוצגה בהחלטת הממשלה מס' 1996 מיום י"ז בסיון </w:t>
      </w:r>
      <w:proofErr w:type="spellStart"/>
      <w:r w:rsidRPr="000C72E2">
        <w:rPr>
          <w:rFonts w:hint="cs"/>
          <w:rtl/>
        </w:rPr>
        <w:t>התשס"ד</w:t>
      </w:r>
      <w:proofErr w:type="spellEnd"/>
      <w:r w:rsidRPr="000C72E2">
        <w:rPr>
          <w:rFonts w:hint="cs"/>
          <w:rtl/>
        </w:rPr>
        <w:t xml:space="preserve"> (6.6.2004) הייתה: "להוביל למציאות ביטחונית, מדינית, כלכלית ודמוגרפית טובה יותר". כיום, ברי לכל כי </w:t>
      </w:r>
      <w:proofErr w:type="spellStart"/>
      <w:r>
        <w:rPr>
          <w:rFonts w:hint="cs"/>
          <w:rtl/>
        </w:rPr>
        <w:t>תוכנית</w:t>
      </w:r>
      <w:proofErr w:type="spellEnd"/>
      <w:r w:rsidRPr="000C72E2">
        <w:rPr>
          <w:rFonts w:hint="cs"/>
          <w:rtl/>
        </w:rPr>
        <w:t xml:space="preserve"> ההתנתקות לא רק נכשלה בהשגת תכלית זו אלא גרמה לנזקים אדירים למדינת ישראל בדיוק בתחומים אלה. לנוכח מצב דברים זה, מוצע לתקן את העיוות שגרמה </w:t>
      </w:r>
      <w:proofErr w:type="spellStart"/>
      <w:r>
        <w:rPr>
          <w:rFonts w:hint="cs"/>
          <w:rtl/>
        </w:rPr>
        <w:t>תוכנית</w:t>
      </w:r>
      <w:proofErr w:type="spellEnd"/>
      <w:r w:rsidRPr="000C72E2">
        <w:rPr>
          <w:rFonts w:hint="cs"/>
          <w:rtl/>
        </w:rPr>
        <w:t xml:space="preserve"> ההתנתקות. </w:t>
      </w:r>
    </w:p>
    <w:p w14:paraId="028A0835" w14:textId="77777777" w:rsidR="006F4B2F" w:rsidRPr="000C72E2" w:rsidRDefault="006F4B2F" w:rsidP="00AA2462">
      <w:pPr>
        <w:pStyle w:val="Hesber"/>
        <w:spacing w:line="240" w:lineRule="auto"/>
        <w:rPr>
          <w:rtl/>
        </w:rPr>
      </w:pPr>
      <w:r w:rsidRPr="000C72E2">
        <w:rPr>
          <w:rtl/>
        </w:rPr>
        <w:t xml:space="preserve">מוצע להותיר על כנם את הסעיפים מחוק ההתנתקות שמטרתם קביעת מנגנוני פיצוי למתיישבים שנעקרו מבתיהם, ולבטל את סעיפים 23(ב) עד 30 בהם נקבעו איסורי הכניסה והשהייה בשטחים שפונו במסגרת </w:t>
      </w:r>
      <w:proofErr w:type="spellStart"/>
      <w:r>
        <w:rPr>
          <w:rtl/>
        </w:rPr>
        <w:t>תוכנית</w:t>
      </w:r>
      <w:proofErr w:type="spellEnd"/>
      <w:r w:rsidRPr="000C72E2">
        <w:rPr>
          <w:rtl/>
        </w:rPr>
        <w:t xml:space="preserve"> ההתנתקות, וביטול הזכויות של מי שישבו בהם.  </w:t>
      </w:r>
    </w:p>
    <w:p w14:paraId="046998CC" w14:textId="77777777" w:rsidR="006F4B2F" w:rsidRPr="000C72E2" w:rsidRDefault="006F4B2F" w:rsidP="00AA2462">
      <w:pPr>
        <w:pStyle w:val="Hesber"/>
        <w:spacing w:line="240" w:lineRule="auto"/>
        <w:rPr>
          <w:rtl/>
        </w:rPr>
      </w:pPr>
      <w:r w:rsidRPr="000C72E2">
        <w:rPr>
          <w:rtl/>
        </w:rPr>
        <w:t xml:space="preserve">משכך, אך מתבקש הדבר כי שמו של חוק יישום </w:t>
      </w:r>
      <w:proofErr w:type="spellStart"/>
      <w:r>
        <w:rPr>
          <w:rtl/>
        </w:rPr>
        <w:t>תוכנית</w:t>
      </w:r>
      <w:proofErr w:type="spellEnd"/>
      <w:r w:rsidRPr="000C72E2">
        <w:rPr>
          <w:rtl/>
        </w:rPr>
        <w:t xml:space="preserve"> ההתנתקות ישונה וזה ייקרא מעתה "חוק הפיצויים לנפגעי ההתנתקות".</w:t>
      </w:r>
      <w:r w:rsidRPr="000C72E2">
        <w:rPr>
          <w:rFonts w:hint="cs"/>
          <w:rtl/>
        </w:rPr>
        <w:t xml:space="preserve"> ההתיישבות בצפון השומרון היא אינטרס ישראלי שיש למלא.</w:t>
      </w:r>
    </w:p>
    <w:p w14:paraId="62177EC9" w14:textId="6584272A" w:rsidR="006F4B2F" w:rsidRPr="00B51C29" w:rsidRDefault="006F4B2F" w:rsidP="00AA2462">
      <w:pPr>
        <w:pStyle w:val="Hesber"/>
        <w:spacing w:line="240" w:lineRule="auto"/>
        <w:rPr>
          <w:rFonts w:ascii="David" w:hAnsi="David"/>
          <w:sz w:val="24"/>
          <w:szCs w:val="24"/>
          <w:rtl/>
        </w:rPr>
      </w:pPr>
      <w:r w:rsidRPr="000C72E2">
        <w:rPr>
          <w:rtl/>
        </w:rPr>
        <w:t>הצעות חוק זהות הונחו על שולחן הכנסת העשרים ושלוש על ידי חבר הכ</w:t>
      </w:r>
      <w:r>
        <w:rPr>
          <w:rtl/>
        </w:rPr>
        <w:t xml:space="preserve">נסת </w:t>
      </w:r>
      <w:proofErr w:type="spellStart"/>
      <w:r>
        <w:rPr>
          <w:rtl/>
        </w:rPr>
        <w:t>מכלוף</w:t>
      </w:r>
      <w:proofErr w:type="spellEnd"/>
      <w:r>
        <w:rPr>
          <w:rtl/>
        </w:rPr>
        <w:t xml:space="preserve"> מיקי זוהר (פ/2016/24)</w:t>
      </w:r>
      <w:r w:rsidRPr="000C72E2">
        <w:rPr>
          <w:rtl/>
        </w:rPr>
        <w:t xml:space="preserve"> ועל שולחן הכנסת העשרים וארבע על ידי חבר הכנסת </w:t>
      </w:r>
      <w:proofErr w:type="spellStart"/>
      <w:r w:rsidRPr="000C72E2">
        <w:rPr>
          <w:rtl/>
        </w:rPr>
        <w:t>מכלוף</w:t>
      </w:r>
      <w:proofErr w:type="spellEnd"/>
      <w:r w:rsidRPr="000C72E2">
        <w:rPr>
          <w:rtl/>
        </w:rPr>
        <w:t xml:space="preserve"> מיקי זוהר (פ/356/24)</w:t>
      </w:r>
      <w:r w:rsidRPr="000C72E2">
        <w:rPr>
          <w:rFonts w:hint="cs"/>
          <w:rtl/>
        </w:rPr>
        <w:t xml:space="preserve">, </w:t>
      </w:r>
      <w:r w:rsidRPr="000C72E2">
        <w:rPr>
          <w:rtl/>
        </w:rPr>
        <w:t>על ידי חברת הכנסת אורית מלכה סטרוק (פ/3258/24)</w:t>
      </w:r>
      <w:r w:rsidR="00B51C29">
        <w:rPr>
          <w:rFonts w:hint="cs"/>
          <w:rtl/>
        </w:rPr>
        <w:t xml:space="preserve">, </w:t>
      </w:r>
      <w:r w:rsidRPr="000C72E2">
        <w:rPr>
          <w:rFonts w:hint="cs"/>
          <w:rtl/>
        </w:rPr>
        <w:t>על ידי חבר הכנסת יולי יואל אדלשטיי</w:t>
      </w:r>
      <w:r w:rsidR="00B51C29">
        <w:rPr>
          <w:rFonts w:hint="cs"/>
          <w:rtl/>
        </w:rPr>
        <w:t>ן וקבוצת חברי הכנסת (פ/3344/24) ועל ידי חבר הכנסת שלמה קרעי (פ/3450/</w:t>
      </w:r>
      <w:r w:rsidR="00B51C29" w:rsidRPr="00B51C29">
        <w:rPr>
          <w:rFonts w:ascii="David" w:hAnsi="David"/>
          <w:sz w:val="24"/>
          <w:szCs w:val="24"/>
          <w:rtl/>
        </w:rPr>
        <w:t>24</w:t>
      </w:r>
      <w:r w:rsidR="00B51C29" w:rsidRPr="00B51C29">
        <w:rPr>
          <w:rFonts w:ascii="David" w:hAnsi="David"/>
          <w:sz w:val="24"/>
          <w:szCs w:val="24"/>
        </w:rPr>
        <w:t>;</w:t>
      </w:r>
      <w:r w:rsidR="00B51C29" w:rsidRPr="00B51C29">
        <w:rPr>
          <w:rFonts w:ascii="David" w:hAnsi="David"/>
          <w:sz w:val="24"/>
          <w:szCs w:val="24"/>
          <w:rtl/>
        </w:rPr>
        <w:t xml:space="preserve"> הוסרה מסדר היום ביום כ"</w:t>
      </w:r>
      <w:r w:rsidR="00AC35B2">
        <w:rPr>
          <w:rFonts w:ascii="David" w:hAnsi="David" w:hint="cs"/>
          <w:sz w:val="24"/>
          <w:szCs w:val="24"/>
          <w:rtl/>
        </w:rPr>
        <w:t>ד</w:t>
      </w:r>
      <w:r w:rsidR="00B51C29" w:rsidRPr="00B51C29">
        <w:rPr>
          <w:rFonts w:ascii="David" w:hAnsi="David"/>
          <w:sz w:val="24"/>
          <w:szCs w:val="24"/>
          <w:rtl/>
        </w:rPr>
        <w:t xml:space="preserve"> באייר </w:t>
      </w:r>
      <w:proofErr w:type="spellStart"/>
      <w:r w:rsidR="00B51C29" w:rsidRPr="00B51C29">
        <w:rPr>
          <w:rFonts w:ascii="David" w:hAnsi="David"/>
          <w:sz w:val="24"/>
          <w:szCs w:val="24"/>
          <w:rtl/>
        </w:rPr>
        <w:t>התשפ"ב</w:t>
      </w:r>
      <w:proofErr w:type="spellEnd"/>
      <w:r w:rsidR="00B51C29" w:rsidRPr="00B51C29">
        <w:rPr>
          <w:rFonts w:ascii="David" w:hAnsi="David"/>
          <w:sz w:val="24"/>
          <w:szCs w:val="24"/>
          <w:rtl/>
        </w:rPr>
        <w:t xml:space="preserve"> (2</w:t>
      </w:r>
      <w:r w:rsidR="00AC35B2">
        <w:rPr>
          <w:rFonts w:ascii="David" w:hAnsi="David" w:hint="cs"/>
          <w:sz w:val="24"/>
          <w:szCs w:val="24"/>
          <w:rtl/>
        </w:rPr>
        <w:t>5</w:t>
      </w:r>
      <w:r w:rsidR="00B51C29" w:rsidRPr="00B51C29">
        <w:rPr>
          <w:rFonts w:ascii="David" w:hAnsi="David"/>
          <w:sz w:val="24"/>
          <w:szCs w:val="24"/>
          <w:rtl/>
        </w:rPr>
        <w:t xml:space="preserve"> במאי 2022)).</w:t>
      </w:r>
    </w:p>
    <w:p w14:paraId="7F6961CB" w14:textId="0FCE9C7A" w:rsidR="00E13C27" w:rsidRDefault="006F4B2F" w:rsidP="00AA2462">
      <w:pPr>
        <w:pStyle w:val="Hesber"/>
        <w:spacing w:line="240" w:lineRule="auto"/>
        <w:rPr>
          <w:rtl/>
        </w:rPr>
      </w:pPr>
      <w:r w:rsidRPr="000C72E2">
        <w:rPr>
          <w:rtl/>
        </w:rPr>
        <w:t xml:space="preserve">הצעת החוק זהה </w:t>
      </w:r>
      <w:proofErr w:type="spellStart"/>
      <w:r w:rsidRPr="000C72E2">
        <w:rPr>
          <w:rtl/>
        </w:rPr>
        <w:t>לפ</w:t>
      </w:r>
      <w:proofErr w:type="spellEnd"/>
      <w:r w:rsidRPr="000C72E2">
        <w:rPr>
          <w:rtl/>
        </w:rPr>
        <w:t>/</w:t>
      </w:r>
      <w:r>
        <w:rPr>
          <w:rFonts w:hint="cs"/>
          <w:rtl/>
        </w:rPr>
        <w:t>3450</w:t>
      </w:r>
      <w:r w:rsidRPr="000C72E2">
        <w:rPr>
          <w:rtl/>
        </w:rPr>
        <w:t>/24 ולפיכך לא נבדקה מחדש על ידי הלשכה המשפטית של הכנסת.</w:t>
      </w:r>
    </w:p>
    <w:p w14:paraId="3135AE94" w14:textId="77777777" w:rsidR="000370EE" w:rsidRDefault="00AA2462" w:rsidP="00AA2462">
      <w:pPr>
        <w:spacing w:line="240" w:lineRule="auto"/>
        <w:jc w:val="left"/>
      </w:pPr>
      <w:bookmarkStart w:id="8" w:name="selectedDocDateB"/>
      <w:bookmarkEnd w:id="8"/>
      <w:r>
        <w:rPr>
          <w:rFonts w:eastAsia="David" w:hint="cs"/>
          <w:sz w:val="26"/>
          <w:szCs w:val="26"/>
          <w:rtl/>
        </w:rPr>
        <w:t>--------------------------------</w:t>
      </w:r>
    </w:p>
    <w:p w14:paraId="73772327" w14:textId="77777777" w:rsidR="000370EE" w:rsidRDefault="00AA2462" w:rsidP="00AA2462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3C8C82A2" w14:textId="77777777" w:rsidR="000370EE" w:rsidRDefault="00AA2462" w:rsidP="00AA2462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757C573E" w14:textId="77777777" w:rsidR="000370EE" w:rsidRDefault="00AA2462" w:rsidP="00AA2462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ז' בסיוון התשפ"ב</w:t>
      </w:r>
      <w:r>
        <w:rPr>
          <w:rFonts w:eastAsia="David" w:hint="cs"/>
          <w:sz w:val="26"/>
          <w:szCs w:val="26"/>
          <w:rtl/>
        </w:rPr>
        <w:t xml:space="preserve"> (06.06.2022) </w:t>
      </w:r>
    </w:p>
    <w:p w14:paraId="31DE1E1B" w14:textId="77777777" w:rsidR="000370EE" w:rsidRDefault="000370EE">
      <w:pPr>
        <w:spacing w:line="276" w:lineRule="auto"/>
        <w:jc w:val="left"/>
      </w:pPr>
      <w:bookmarkStart w:id="9" w:name="_GoBack"/>
      <w:bookmarkEnd w:id="9"/>
    </w:p>
    <w:sectPr w:rsidR="000370EE" w:rsidSect="00AA2462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AA2462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AA2462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AC0A02F" w14:textId="77777777" w:rsidR="006F4B2F" w:rsidRDefault="006F4B2F" w:rsidP="006F4B2F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התשס"ה</w:t>
      </w:r>
      <w:proofErr w:type="spellEnd"/>
      <w:r>
        <w:rPr>
          <w:rFonts w:hint="cs"/>
          <w:rtl/>
        </w:rPr>
        <w:t>, עמ' 142.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370EE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6F4B2F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462"/>
    <w:rsid w:val="00AA2F03"/>
    <w:rsid w:val="00AC35B2"/>
    <w:rsid w:val="00AC36F7"/>
    <w:rsid w:val="00AC63A4"/>
    <w:rsid w:val="00AD239E"/>
    <w:rsid w:val="00B10265"/>
    <w:rsid w:val="00B16A99"/>
    <w:rsid w:val="00B21211"/>
    <w:rsid w:val="00B35784"/>
    <w:rsid w:val="00B51C29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40BC0FDA-6416-4CAA-9421-65DDBF43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62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2462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AA2462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AA2462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AA2462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A2462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AA246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A2462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AA2462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AA2462"/>
    <w:rPr>
      <w:sz w:val="36"/>
      <w:szCs w:val="52"/>
    </w:rPr>
  </w:style>
  <w:style w:type="paragraph" w:customStyle="1" w:styleId="Cover3-Haknesset">
    <w:name w:val="Cover 3-Haknesset"/>
    <w:basedOn w:val="Cover1-Reshumot"/>
    <w:rsid w:val="00AA2462"/>
    <w:rPr>
      <w:b/>
      <w:bCs/>
      <w:spacing w:val="60"/>
    </w:rPr>
  </w:style>
  <w:style w:type="paragraph" w:customStyle="1" w:styleId="Cover4-Date">
    <w:name w:val="Cover 4-Date"/>
    <w:basedOn w:val="a"/>
    <w:rsid w:val="00AA2462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AA2462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AA2462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AA2462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AA2462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AA2462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AA2462"/>
    <w:pPr>
      <w:outlineLvl w:val="2"/>
    </w:pPr>
  </w:style>
  <w:style w:type="paragraph" w:customStyle="1" w:styleId="TableBlock">
    <w:name w:val="Table Block"/>
    <w:basedOn w:val="TableText"/>
    <w:rsid w:val="00AA2462"/>
    <w:pPr>
      <w:jc w:val="both"/>
    </w:pPr>
  </w:style>
  <w:style w:type="paragraph" w:customStyle="1" w:styleId="TableHead">
    <w:name w:val="Table Head"/>
    <w:basedOn w:val="TableText"/>
    <w:rsid w:val="00AA2462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AA2462"/>
    <w:pPr>
      <w:outlineLvl w:val="9"/>
    </w:pPr>
  </w:style>
  <w:style w:type="paragraph" w:customStyle="1" w:styleId="Hesber">
    <w:name w:val="Hesber"/>
    <w:basedOn w:val="a"/>
    <w:rsid w:val="00AA2462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AA2462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AA2462"/>
    <w:rPr>
      <w:vertAlign w:val="superscript"/>
    </w:rPr>
  </w:style>
  <w:style w:type="paragraph" w:customStyle="1" w:styleId="HesberHeading">
    <w:name w:val="Hesber Heading"/>
    <w:basedOn w:val="Hesber"/>
    <w:rsid w:val="00AA2462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AA2462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AA2462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AA2462"/>
    <w:rPr>
      <w:vertAlign w:val="superscript"/>
    </w:rPr>
  </w:style>
  <w:style w:type="paragraph" w:customStyle="1" w:styleId="TableBlockOutdent">
    <w:name w:val="Table BlockOutdent"/>
    <w:basedOn w:val="TableBlock"/>
    <w:rsid w:val="00AA2462"/>
    <w:pPr>
      <w:ind w:left="624" w:hanging="624"/>
    </w:pPr>
  </w:style>
  <w:style w:type="paragraph" w:styleId="a8">
    <w:name w:val="header"/>
    <w:basedOn w:val="a"/>
    <w:rsid w:val="00AA2462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A2462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AA2462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AA2462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AA2462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6F4B2F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AA2462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AA2462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AA2462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AA2462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AA2462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A2462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AA2462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AA2462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AA2462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AA2462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AA2462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AA2462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AA2462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AA2462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AA2462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AA2462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AA2462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AA2462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AA2462"/>
    <w:rPr>
      <w:rFonts w:eastAsia="Times New Roman"/>
    </w:rPr>
  </w:style>
  <w:style w:type="paragraph" w:styleId="af">
    <w:name w:val="List Paragraph"/>
    <w:basedOn w:val="a"/>
    <w:uiPriority w:val="34"/>
    <w:qFormat/>
    <w:rsid w:val="00AA2462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AA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AA24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AA246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AA2462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AA2462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F59FC-BBD4-4D73-B8D4-8FEC99890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7CEE3-56BC-4007-A451-427E0CF6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7</cp:revision>
  <cp:lastPrinted>2013-07-04T08:25:00Z</cp:lastPrinted>
  <dcterms:created xsi:type="dcterms:W3CDTF">2015-04-20T09:58:00Z</dcterms:created>
  <dcterms:modified xsi:type="dcterms:W3CDTF">2022-06-01T07:01:00Z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2193045</vt:r8>
  </property>
</Properties>
</file>