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635A2" w:rsidR="002C2E29" w:rsidP="00E635A2" w:rsidRDefault="004033D8" w14:paraId="7F6961A1" w14:textId="77777777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name="LGS_Internal_ID" w:id="0"/>
      <w:r>
        <w:rPr>
          <w:rFonts w:hint="cs"/>
          <w:sz w:val="20"/>
          <w:szCs w:val="20"/>
          <w:rtl/>
        </w:rPr>
        <w:t>2192839</w:t>
      </w:r>
      <w:bookmarkEnd w:id="0"/>
    </w:p>
    <w:p w:rsidRPr="00DB7060" w:rsidR="00E13C27" w:rsidP="00A443CF" w:rsidRDefault="00E13C27" w14:paraId="7F6961A2" w14:textId="53D639AE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name="LGS_Knesset_Num" w:id="1"/>
      <w:r>
        <w:rPr>
          <w:rFonts w:hint="cs"/>
          <w:sz w:val="28"/>
          <w:szCs w:val="28"/>
          <w:rtl/>
        </w:rPr>
        <w:t>העשרים וארבע</w:t>
      </w:r>
      <w:bookmarkEnd w:id="1"/>
    </w:p>
    <w:p w:rsidRPr="00F67051" w:rsidR="00E13C27" w:rsidP="00E13C27" w:rsidRDefault="00E13C27" w14:paraId="7F6961A3" w14:textId="77777777">
      <w:pPr>
        <w:rPr>
          <w:b/>
          <w:bCs/>
          <w:sz w:val="26"/>
          <w:szCs w:val="26"/>
          <w:rtl/>
        </w:rPr>
      </w:pPr>
    </w:p>
    <w:p w:rsidR="00E13C27" w:rsidP="00930EFE" w:rsidRDefault="008F6665" w14:paraId="7F6961A6" w14:textId="77777777">
      <w:pPr>
        <w:pStyle w:val="David"/>
        <w:ind w:left="3544"/>
        <w:rPr>
          <w:b/>
          <w:bCs/>
          <w:rtl/>
        </w:rPr>
      </w:pPr>
      <w:bookmarkStart w:name="LGS_Initiators_List" w:id="2"/>
      <w:r>
        <w:rPr>
          <w:b/>
          <w:bCs/>
          <w:rtl/>
        </w:rPr>
        <w:t>יוזמת:</w:t>
      </w:r>
      <w:r>
        <w:tab/>
      </w:r>
      <w:r>
        <w:rPr>
          <w:b/>
          <w:bCs/>
          <w:rtl/>
        </w:rPr>
        <w:t xml:space="preserve">      חברת הכנסת</w:t>
      </w:r>
      <w:bookmarkEnd w:id="2"/>
      <w:r w:rsidRPr="00F67051" w:rsidR="00B35784">
        <w:rPr>
          <w:b/>
          <w:bCs/>
        </w:rPr>
        <w:tab/>
      </w:r>
      <w:bookmarkStart w:name="LGS_PM_Names" w:id="3"/>
      <w:r>
        <w:rPr>
          <w:rFonts w:hint="cs"/>
          <w:b/>
          <w:bCs/>
          <w:rtl/>
        </w:rPr>
        <w:t>חוה אתי עטייה</w:t>
      </w:r>
      <w:bookmarkEnd w:id="3"/>
    </w:p>
    <w:p w:rsidRPr="00CF1AA2" w:rsidR="00E13C27" w:rsidP="0036422C" w:rsidRDefault="007D585A" w14:paraId="7F6961AA" w14:textId="39F9D96B">
      <w:pPr>
        <w:pStyle w:val="David"/>
        <w:ind w:left="3544"/>
        <w:rPr>
          <w:b/>
          <w:bCs/>
          <w:sz w:val="16"/>
          <w:szCs w:val="16"/>
          <w:rtl/>
        </w:rPr>
      </w:pPr>
      <w:bookmarkStart w:name="LGS_Join_List" w:id="4"/>
      <w:r>
        <w:rPr>
          <w:rtl/>
        </w:rPr>
        <w:t xml:space="preserve"> </w:t>
      </w:r>
      <w:bookmarkEnd w:id="4"/>
      <w:r w:rsidRPr="00CF1AA2" w:rsidR="002200A1">
        <w:rPr>
          <w:rFonts w:hint="cs"/>
          <w:rtl/>
        </w:rPr>
        <w:tab/>
      </w:r>
      <w:bookmarkStart w:name="LGS_PM_NamesJoin" w:id="5"/>
      <w:r>
        <w:rPr>
          <w:rFonts w:hint="cs"/>
          <w:rtl/>
        </w:rPr>
        <w:t xml:space="preserve"> </w:t>
      </w:r>
      <w:bookmarkEnd w:id="5"/>
    </w:p>
    <w:p w:rsidRPr="00904591" w:rsidR="00904591" w:rsidP="0036422C" w:rsidRDefault="00266D86" w14:paraId="34DB4103" w14:textId="77777777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Pr="00E06736" w:rsidR="00E06736">
        <w:tab/>
      </w:r>
      <w:r w:rsidRPr="00E06736" w:rsidR="00E13C27">
        <w:rPr>
          <w:rFonts w:hint="cs"/>
          <w:rtl/>
        </w:rPr>
        <w:tab/>
      </w:r>
      <w:r w:rsidRPr="00E06736" w:rsidR="00E13C27">
        <w:rPr>
          <w:rFonts w:hint="cs"/>
          <w:rtl/>
        </w:rPr>
        <w:tab/>
      </w:r>
      <w:r w:rsidRPr="00E06736" w:rsidR="00E13C27">
        <w:rPr>
          <w:rFonts w:hint="cs"/>
          <w:rtl/>
        </w:rPr>
        <w:tab/>
      </w:r>
      <w:r w:rsidR="00904591">
        <w:t xml:space="preserve">           </w:t>
      </w:r>
    </w:p>
    <w:p w:rsidRPr="00E06736" w:rsidR="00E13C27" w:rsidP="00904591" w:rsidRDefault="002B2C09" w14:paraId="7F6961AB" w14:textId="2D6DE68A">
      <w:pPr>
        <w:pStyle w:val="David"/>
        <w:spacing w:line="240" w:lineRule="auto"/>
        <w:ind w:left="3544"/>
        <w:rPr>
          <w:rtl/>
        </w:rPr>
      </w:pPr>
      <w:r>
        <w:rPr>
          <w:rtl/>
        </w:rPr>
        <w:tab/>
      </w:r>
      <w:r>
        <w:rPr>
          <w:rFonts w:hint="cs"/>
          <w:rtl/>
        </w:rPr>
        <w:t xml:space="preserve">      </w:t>
      </w:r>
      <w:r w:rsidR="00904591">
        <w:t xml:space="preserve">                                            </w:t>
      </w:r>
      <w:r w:rsidR="008F1308">
        <w:t xml:space="preserve"> </w:t>
      </w:r>
      <w:bookmarkStart w:name="Private_Number" w:id="6"/>
      <w:r w:rsidR="00904591">
        <w:rPr>
          <w:rFonts w:hint="cs"/>
          <w:rtl/>
        </w:rPr>
        <w:t>פ/3917/24</w:t>
      </w:r>
      <w:bookmarkEnd w:id="6"/>
    </w:p>
    <w:p w:rsidR="00E13C27" w:rsidP="00E13C27" w:rsidRDefault="00E13C27" w14:paraId="7F6961AC" w14:textId="77777777">
      <w:pPr>
        <w:ind w:left="2880" w:firstLine="720"/>
        <w:rPr>
          <w:sz w:val="26"/>
          <w:szCs w:val="26"/>
          <w:rtl/>
        </w:rPr>
      </w:pPr>
    </w:p>
    <w:p w:rsidRPr="00F67051" w:rsidR="00E13C27" w:rsidP="008B12CB" w:rsidRDefault="00A443CF" w14:paraId="7F6961AD" w14:textId="6B31F234">
      <w:pPr>
        <w:pStyle w:val="HeadHatzaotHok"/>
        <w:rPr>
          <w:rtl/>
        </w:rPr>
      </w:pPr>
      <w:bookmarkStart w:name="LGS_Subject" w:id="7"/>
      <w:r xmlns:w="http://schemas.openxmlformats.org/wordprocessingml/2006/main">
        <w:rPr xmlns:w="http://schemas.openxmlformats.org/wordprocessingml/2006/main">
          <w:rFonts w:hint="cs"/>
          <w:rtl/>
        </w:rPr>
        <w:t xml:space="preserve">הצעת חוק ביטוח בריאות ממלכתי (תיקון – החזר עבור פינוי באמבולנס), התשפ"ב–2022</w:t>
      </w:r>
      <w:bookmarkEnd w:id="7"/>
    </w:p>
    <w:p w:rsidR="00E13C27" w:rsidP="0021633A" w:rsidRDefault="00E13C27" w14:paraId="7F6961AE" w14:textId="77777777">
      <w:pPr>
        <w:pStyle w:val="HeadDivreiHesber"/>
        <w:spacing w:before="0" w:after="0"/>
        <w:rPr>
          <w:rtl/>
        </w:rPr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624"/>
        <w:gridCol w:w="6519"/>
      </w:tblGrid>
      <w:tr w:rsidR="00CC696B" w:rsidTr="002B2C09" w14:paraId="676426E7" w14:textId="77777777">
        <w:trPr>
          <w:cantSplit/>
        </w:trPr>
        <w:tc>
          <w:tcPr>
            <w:tcW w:w="1871" w:type="dxa"/>
          </w:tcPr>
          <w:p w:rsidRPr="005C0F4D" w:rsidR="00CC696B" w:rsidP="007E42C4" w:rsidRDefault="00CC696B" w14:paraId="384246BE" w14:textId="77777777">
            <w:pPr>
              <w:pStyle w:val="TableSideHeading"/>
              <w:rPr>
                <w:rtl/>
              </w:rPr>
            </w:pPr>
            <w:r>
              <w:rPr>
                <w:rFonts w:hint="cs"/>
                <w:rtl/>
              </w:rPr>
              <w:t>תיקון התוספת השנייה</w:t>
            </w:r>
          </w:p>
        </w:tc>
        <w:tc>
          <w:tcPr>
            <w:tcW w:w="624" w:type="dxa"/>
          </w:tcPr>
          <w:p w:rsidRPr="005C0F4D" w:rsidR="00CC696B" w:rsidP="007E42C4" w:rsidRDefault="00CC696B" w14:paraId="61A0BA58" w14:textId="77777777">
            <w:pPr>
              <w:pStyle w:val="TableText"/>
              <w:rPr>
                <w:rtl/>
              </w:rPr>
            </w:pPr>
            <w:r>
              <w:rPr>
                <w:rtl/>
              </w:rPr>
              <w:t>1.</w:t>
            </w:r>
            <w:r>
              <w:t xml:space="preserve"> </w:t>
            </w:r>
            <w:r w:rsidRPr="00B37D43">
              <w:t xml:space="preserve"> </w:t>
            </w:r>
            <w:r>
              <w:rPr>
                <w:rtl/>
              </w:rPr>
              <w:t xml:space="preserve"> </w:t>
            </w:r>
          </w:p>
        </w:tc>
        <w:tc>
          <w:tcPr>
            <w:tcW w:w="7143" w:type="dxa"/>
            <w:gridSpan w:val="2"/>
          </w:tcPr>
          <w:p w:rsidRPr="008A358D" w:rsidR="00CC696B" w:rsidP="002B2C09" w:rsidRDefault="00CC696B" w14:paraId="6E199B35" w14:textId="6140833A">
            <w:pPr>
              <w:pStyle w:val="TableBlock"/>
              <w:rPr>
                <w:sz w:val="26"/>
                <w:rtl/>
              </w:rPr>
            </w:pPr>
            <w:r w:rsidRPr="008A358D">
              <w:rPr>
                <w:rFonts w:hint="cs"/>
                <w:sz w:val="26"/>
                <w:rtl/>
              </w:rPr>
              <w:t>בחוק ביטוח בריאות ממלכתי, התשנ"ד</w:t>
            </w:r>
            <w:r w:rsidR="002B2C09">
              <w:rPr>
                <w:rFonts w:hint="eastAsia"/>
                <w:sz w:val="26"/>
                <w:rtl/>
              </w:rPr>
              <w:t>–</w:t>
            </w:r>
            <w:r w:rsidRPr="008A358D">
              <w:rPr>
                <w:rFonts w:hint="cs"/>
                <w:sz w:val="26"/>
                <w:rtl/>
              </w:rPr>
              <w:t>1994</w:t>
            </w:r>
            <w:r w:rsidRPr="002B2C09">
              <w:rPr>
                <w:rStyle w:val="a6"/>
                <w:rFonts w:ascii="David" w:hAnsi="David"/>
                <w:sz w:val="26"/>
                <w:rtl/>
              </w:rPr>
              <w:footnoteReference w:id="2"/>
            </w:r>
            <w:r w:rsidRPr="008A358D">
              <w:rPr>
                <w:rFonts w:hint="cs"/>
                <w:sz w:val="26"/>
                <w:rtl/>
              </w:rPr>
              <w:t>, בתוספת השנייה</w:t>
            </w:r>
            <w:r w:rsidRPr="008A358D">
              <w:rPr>
                <w:rFonts w:hint="cs"/>
                <w:b/>
                <w:bCs/>
                <w:sz w:val="26"/>
                <w:rtl/>
              </w:rPr>
              <w:t xml:space="preserve"> </w:t>
            </w:r>
            <w:r w:rsidRPr="008A358D">
              <w:rPr>
                <w:rFonts w:hint="cs"/>
                <w:sz w:val="26"/>
                <w:rtl/>
              </w:rPr>
              <w:t>–</w:t>
            </w:r>
          </w:p>
        </w:tc>
      </w:tr>
      <w:tr w:rsidR="00CC696B" w:rsidTr="002B2C09" w14:paraId="5295C0CB" w14:textId="77777777">
        <w:trPr>
          <w:cantSplit/>
        </w:trPr>
        <w:tc>
          <w:tcPr>
            <w:tcW w:w="1871" w:type="dxa"/>
          </w:tcPr>
          <w:p w:rsidR="00CC696B" w:rsidP="007E42C4" w:rsidRDefault="00CC696B" w14:paraId="0835666E" w14:textId="77777777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:rsidR="00CC696B" w:rsidP="007E42C4" w:rsidRDefault="00CC696B" w14:paraId="03A73CC4" w14:textId="77777777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  <w:gridSpan w:val="2"/>
          </w:tcPr>
          <w:p w:rsidRPr="008A358D" w:rsidR="00CC696B" w:rsidP="002B2C09" w:rsidRDefault="00CC696B" w14:paraId="41D2E486" w14:textId="77777777">
            <w:pPr>
              <w:pStyle w:val="TableBlock"/>
              <w:rPr>
                <w:sz w:val="26"/>
                <w:rtl/>
              </w:rPr>
            </w:pPr>
            <w:r w:rsidRPr="008A358D">
              <w:rPr>
                <w:rFonts w:hint="cs"/>
                <w:sz w:val="26"/>
                <w:rtl/>
              </w:rPr>
              <w:t>(1)</w:t>
            </w:r>
            <w:r w:rsidRPr="008A358D">
              <w:rPr>
                <w:sz w:val="26"/>
                <w:rtl/>
              </w:rPr>
              <w:tab/>
            </w:r>
            <w:r w:rsidRPr="008A358D">
              <w:rPr>
                <w:rFonts w:hint="cs"/>
                <w:sz w:val="26"/>
                <w:rtl/>
              </w:rPr>
              <w:t>בפרט 28, אחרי פסקה (3) יבוא:</w:t>
            </w:r>
          </w:p>
        </w:tc>
      </w:tr>
      <w:tr w:rsidR="00CC696B" w:rsidTr="002B2C09" w14:paraId="4710B349" w14:textId="77777777">
        <w:trPr>
          <w:cantSplit/>
        </w:trPr>
        <w:tc>
          <w:tcPr>
            <w:tcW w:w="1871" w:type="dxa"/>
          </w:tcPr>
          <w:p w:rsidR="00CC696B" w:rsidP="007E42C4" w:rsidRDefault="00CC696B" w14:paraId="56121CF6" w14:textId="77777777">
            <w:pPr>
              <w:pStyle w:val="TableSideHeading"/>
            </w:pPr>
          </w:p>
        </w:tc>
        <w:tc>
          <w:tcPr>
            <w:tcW w:w="624" w:type="dxa"/>
          </w:tcPr>
          <w:p w:rsidR="00CC696B" w:rsidP="007E42C4" w:rsidRDefault="00CC696B" w14:paraId="0FEDF4D1" w14:textId="77777777">
            <w:pPr>
              <w:pStyle w:val="TableText"/>
            </w:pPr>
          </w:p>
        </w:tc>
        <w:tc>
          <w:tcPr>
            <w:tcW w:w="624" w:type="dxa"/>
          </w:tcPr>
          <w:p w:rsidR="00CC696B" w:rsidP="007E42C4" w:rsidRDefault="00CC696B" w14:paraId="36D5BB89" w14:textId="77777777">
            <w:pPr>
              <w:pStyle w:val="TableText"/>
            </w:pPr>
          </w:p>
        </w:tc>
        <w:tc>
          <w:tcPr>
            <w:tcW w:w="6519" w:type="dxa"/>
          </w:tcPr>
          <w:p w:rsidR="00CC696B" w:rsidP="002B2C09" w:rsidRDefault="00CC696B" w14:paraId="408846CB" w14:textId="77777777">
            <w:pPr>
              <w:pStyle w:val="TableBlock"/>
            </w:pPr>
            <w:r>
              <w:rPr>
                <w:rFonts w:hint="cs" w:ascii="FrankRuehl" w:hAnsi="FrankRuehl"/>
                <w:sz w:val="26"/>
                <w:rtl/>
              </w:rPr>
              <w:t>"(4)</w:t>
            </w:r>
            <w:r>
              <w:rPr>
                <w:rFonts w:ascii="FrankRuehl" w:hAnsi="FrankRuehl"/>
                <w:sz w:val="26"/>
                <w:rtl/>
              </w:rPr>
              <w:tab/>
            </w:r>
            <w:r w:rsidRPr="008A358D">
              <w:rPr>
                <w:rFonts w:hint="cs" w:ascii="FrankRuehl" w:hAnsi="FrankRuehl"/>
                <w:sz w:val="26"/>
                <w:rtl/>
              </w:rPr>
              <w:t>מ</w:t>
            </w:r>
            <w:r w:rsidRPr="008A358D">
              <w:rPr>
                <w:rFonts w:ascii="FrankRuehl" w:hAnsi="FrankRuehl"/>
                <w:sz w:val="26"/>
                <w:rtl/>
              </w:rPr>
              <w:t xml:space="preserve">בוטח המוסע לבית חולים בניידת טיפול נמרץ </w:t>
            </w:r>
            <w:r w:rsidRPr="008A358D">
              <w:rPr>
                <w:rFonts w:hint="cs" w:ascii="FrankRuehl" w:hAnsi="FrankRuehl"/>
                <w:sz w:val="26"/>
                <w:rtl/>
              </w:rPr>
              <w:t xml:space="preserve">או באמבולנס של מד"א </w:t>
            </w:r>
            <w:r w:rsidRPr="008A358D">
              <w:rPr>
                <w:rFonts w:ascii="FrankRuehl" w:hAnsi="FrankRuehl"/>
                <w:sz w:val="26"/>
                <w:rtl/>
              </w:rPr>
              <w:t>יקבל החזר מלא של ההוצאה במקרה ש</w:t>
            </w:r>
            <w:r>
              <w:rPr>
                <w:rFonts w:hint="cs" w:ascii="FrankRuehl" w:hAnsi="FrankRuehl"/>
                <w:sz w:val="26"/>
                <w:rtl/>
              </w:rPr>
              <w:t>נפטר בטרם אושפז;</w:t>
            </w:r>
          </w:p>
        </w:tc>
      </w:tr>
      <w:tr w:rsidR="00CC696B" w:rsidTr="002B2C09" w14:paraId="700F533E" w14:textId="77777777">
        <w:trPr>
          <w:cantSplit/>
        </w:trPr>
        <w:tc>
          <w:tcPr>
            <w:tcW w:w="1871" w:type="dxa"/>
          </w:tcPr>
          <w:p w:rsidR="00CC696B" w:rsidP="007E42C4" w:rsidRDefault="00CC696B" w14:paraId="66BAD3AE" w14:textId="77777777">
            <w:pPr>
              <w:pStyle w:val="TableSideHeading"/>
            </w:pPr>
          </w:p>
        </w:tc>
        <w:tc>
          <w:tcPr>
            <w:tcW w:w="624" w:type="dxa"/>
          </w:tcPr>
          <w:p w:rsidR="00CC696B" w:rsidP="007E42C4" w:rsidRDefault="00CC696B" w14:paraId="2857A416" w14:textId="77777777">
            <w:pPr>
              <w:pStyle w:val="TableText"/>
            </w:pPr>
          </w:p>
        </w:tc>
        <w:tc>
          <w:tcPr>
            <w:tcW w:w="624" w:type="dxa"/>
          </w:tcPr>
          <w:p w:rsidRPr="00F9038D" w:rsidR="00CC696B" w:rsidP="007E42C4" w:rsidRDefault="00CC696B" w14:paraId="453EACB8" w14:textId="77777777">
            <w:pPr>
              <w:pStyle w:val="TableText"/>
            </w:pPr>
          </w:p>
        </w:tc>
        <w:tc>
          <w:tcPr>
            <w:tcW w:w="6519" w:type="dxa"/>
          </w:tcPr>
          <w:p w:rsidRPr="00F9038D" w:rsidR="00CC696B" w:rsidP="008B12CB" w:rsidRDefault="00CC696B" w14:paraId="1074E8B0" w14:textId="3E31FBC4">
            <w:pPr>
              <w:pStyle w:val="TableBlock"/>
            </w:pPr>
            <w:r w:rsidRPr="00F9038D">
              <w:rPr>
                <w:rFonts w:hint="cs" w:ascii="FrankRuehl" w:hAnsi="FrankRuehl"/>
                <w:sz w:val="26"/>
                <w:rtl/>
              </w:rPr>
              <w:t>(5)</w:t>
            </w:r>
            <w:r w:rsidRPr="00F9038D">
              <w:rPr>
                <w:rFonts w:ascii="FrankRuehl" w:hAnsi="FrankRuehl"/>
                <w:sz w:val="26"/>
                <w:rtl/>
              </w:rPr>
              <w:tab/>
              <w:t xml:space="preserve">מבוטח </w:t>
            </w:r>
            <w:r w:rsidRPr="00F9038D">
              <w:rPr>
                <w:rFonts w:hint="cs" w:ascii="FrankRuehl" w:hAnsi="FrankRuehl"/>
                <w:sz w:val="26"/>
                <w:rtl/>
              </w:rPr>
              <w:t>סיעודי שמלאו לו 80</w:t>
            </w:r>
            <w:r w:rsidR="005A308C">
              <w:rPr>
                <w:rFonts w:hint="cs" w:ascii="FrankRuehl" w:hAnsi="FrankRuehl"/>
                <w:sz w:val="26"/>
                <w:rtl/>
              </w:rPr>
              <w:t xml:space="preserve"> והוא מרותק למיטה</w:t>
            </w:r>
            <w:r w:rsidRPr="00F9038D">
              <w:rPr>
                <w:rFonts w:hint="cs" w:ascii="FrankRuehl" w:hAnsi="FrankRuehl"/>
                <w:sz w:val="26"/>
                <w:rtl/>
              </w:rPr>
              <w:t xml:space="preserve">, </w:t>
            </w:r>
            <w:r w:rsidRPr="00F9038D">
              <w:rPr>
                <w:rFonts w:ascii="FrankRuehl" w:hAnsi="FrankRuehl"/>
                <w:sz w:val="26"/>
                <w:rtl/>
              </w:rPr>
              <w:t>המוסע לבית חולים בניידת טיפול נמר</w:t>
            </w:r>
            <w:r w:rsidRPr="00F9038D">
              <w:rPr>
                <w:rFonts w:hint="cs" w:ascii="FrankRuehl" w:hAnsi="FrankRuehl"/>
                <w:sz w:val="26"/>
                <w:rtl/>
              </w:rPr>
              <w:t>ץ או באמבולנס של מד"א</w:t>
            </w:r>
            <w:r w:rsidRPr="00F9038D">
              <w:rPr>
                <w:rFonts w:ascii="FrankRuehl" w:hAnsi="FrankRuehl"/>
                <w:sz w:val="26"/>
                <w:rtl/>
              </w:rPr>
              <w:t xml:space="preserve"> יקבל החזר מלא של ההוצאה</w:t>
            </w:r>
            <w:r w:rsidR="008B12CB">
              <w:rPr>
                <w:rFonts w:hint="cs"/>
                <w:sz w:val="26"/>
                <w:rtl/>
              </w:rPr>
              <w:t>;</w:t>
            </w:r>
            <w:r w:rsidR="00874411">
              <w:rPr>
                <w:rFonts w:hint="cs"/>
                <w:sz w:val="26"/>
                <w:rtl/>
              </w:rPr>
              <w:t xml:space="preserve"> </w:t>
            </w:r>
            <w:r w:rsidRPr="00F9038D">
              <w:rPr>
                <w:rFonts w:hint="cs"/>
                <w:sz w:val="26"/>
                <w:rtl/>
              </w:rPr>
              <w:t xml:space="preserve">לעניין זה, "מרותק </w:t>
            </w:r>
            <w:r w:rsidR="008B12CB">
              <w:rPr>
                <w:rFonts w:hint="cs"/>
                <w:sz w:val="26"/>
                <w:rtl/>
              </w:rPr>
              <w:t>ל</w:t>
            </w:r>
            <w:r w:rsidRPr="00F9038D">
              <w:rPr>
                <w:rFonts w:hint="cs"/>
                <w:sz w:val="26"/>
                <w:rtl/>
              </w:rPr>
              <w:t>מיטה" – מבוטח שזקוק לעזר</w:t>
            </w:r>
            <w:r w:rsidR="001926B3">
              <w:rPr>
                <w:rFonts w:hint="cs"/>
                <w:sz w:val="26"/>
                <w:rtl/>
              </w:rPr>
              <w:t>ה</w:t>
            </w:r>
            <w:r w:rsidRPr="00F9038D">
              <w:rPr>
                <w:rFonts w:hint="cs"/>
                <w:sz w:val="26"/>
                <w:rtl/>
              </w:rPr>
              <w:t xml:space="preserve"> מלאה של הזולת </w:t>
            </w:r>
            <w:r w:rsidR="001926B3">
              <w:rPr>
                <w:rFonts w:hint="cs"/>
                <w:sz w:val="26"/>
                <w:rtl/>
              </w:rPr>
              <w:t xml:space="preserve">במעבר </w:t>
            </w:r>
            <w:r w:rsidRPr="00F9038D">
              <w:rPr>
                <w:rFonts w:hint="cs"/>
                <w:sz w:val="26"/>
                <w:rtl/>
              </w:rPr>
              <w:t>ממיטה לכיסא ו</w:t>
            </w:r>
            <w:r w:rsidR="001926B3">
              <w:rPr>
                <w:rFonts w:hint="cs"/>
                <w:sz w:val="26"/>
                <w:rtl/>
              </w:rPr>
              <w:t>ל</w:t>
            </w:r>
            <w:r w:rsidRPr="00F9038D">
              <w:rPr>
                <w:rFonts w:hint="cs"/>
                <w:sz w:val="26"/>
                <w:rtl/>
              </w:rPr>
              <w:t>הפך</w:t>
            </w:r>
            <w:r>
              <w:rPr>
                <w:rFonts w:hint="cs"/>
                <w:sz w:val="26"/>
                <w:rtl/>
              </w:rPr>
              <w:t>.</w:t>
            </w:r>
            <w:r w:rsidR="001926B3">
              <w:rPr>
                <w:rFonts w:hint="cs"/>
                <w:sz w:val="26"/>
                <w:rtl/>
              </w:rPr>
              <w:t>"</w:t>
            </w:r>
          </w:p>
        </w:tc>
      </w:tr>
      <w:tr w:rsidR="00CC696B" w:rsidTr="002B2C09" w14:paraId="78B04CE7" w14:textId="77777777">
        <w:trPr>
          <w:cantSplit/>
        </w:trPr>
        <w:tc>
          <w:tcPr>
            <w:tcW w:w="1871" w:type="dxa"/>
          </w:tcPr>
          <w:p w:rsidR="00CC696B" w:rsidP="007E42C4" w:rsidRDefault="00CC696B" w14:paraId="16F97147" w14:textId="77777777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:rsidR="00CC696B" w:rsidP="007E42C4" w:rsidRDefault="00CC696B" w14:paraId="7A7B7F17" w14:textId="77777777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  <w:gridSpan w:val="2"/>
          </w:tcPr>
          <w:p w:rsidRPr="00CB563F" w:rsidR="00CC696B" w:rsidP="002B2C09" w:rsidRDefault="00CC696B" w14:paraId="6EC78E70" w14:textId="77777777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בחלק "שירותים בהשתתפות כספית עצמית של המבוטח", בפרט 3, אחרי פסקה (ג) יבוא: </w:t>
            </w:r>
          </w:p>
        </w:tc>
      </w:tr>
      <w:tr w:rsidR="00CC696B" w:rsidTr="002B2C09" w14:paraId="2B59AC1C" w14:textId="77777777">
        <w:trPr>
          <w:cantSplit/>
        </w:trPr>
        <w:tc>
          <w:tcPr>
            <w:tcW w:w="1871" w:type="dxa"/>
          </w:tcPr>
          <w:p w:rsidR="00CC696B" w:rsidP="007E42C4" w:rsidRDefault="00CC696B" w14:paraId="1E83419E" w14:textId="77777777">
            <w:pPr>
              <w:pStyle w:val="TableSideHeading"/>
            </w:pPr>
          </w:p>
        </w:tc>
        <w:tc>
          <w:tcPr>
            <w:tcW w:w="624" w:type="dxa"/>
          </w:tcPr>
          <w:p w:rsidR="00CC696B" w:rsidP="007E42C4" w:rsidRDefault="00CC696B" w14:paraId="2C78FC14" w14:textId="77777777">
            <w:pPr>
              <w:pStyle w:val="TableText"/>
            </w:pPr>
          </w:p>
        </w:tc>
        <w:tc>
          <w:tcPr>
            <w:tcW w:w="624" w:type="dxa"/>
          </w:tcPr>
          <w:p w:rsidR="00CC696B" w:rsidP="007E42C4" w:rsidRDefault="00CC696B" w14:paraId="386B4F27" w14:textId="77777777">
            <w:pPr>
              <w:pStyle w:val="TableText"/>
            </w:pPr>
          </w:p>
        </w:tc>
        <w:tc>
          <w:tcPr>
            <w:tcW w:w="6519" w:type="dxa"/>
          </w:tcPr>
          <w:p w:rsidR="00CC696B" w:rsidP="008B12CB" w:rsidRDefault="00CC696B" w14:paraId="07C85460" w14:textId="177E0080">
            <w:pPr>
              <w:pStyle w:val="TableBlock"/>
            </w:pPr>
            <w:r>
              <w:rPr>
                <w:rFonts w:hint="cs"/>
                <w:rtl/>
              </w:rPr>
              <w:t>"(ד)</w:t>
            </w:r>
            <w:r>
              <w:rPr>
                <w:rtl/>
              </w:rPr>
              <w:tab/>
              <w:t xml:space="preserve">מבוטח המוסע לבית חולים </w:t>
            </w:r>
            <w:r w:rsidRPr="001C74E7">
              <w:rPr>
                <w:rtl/>
              </w:rPr>
              <w:t xml:space="preserve">בניידת טיפול נמרץ </w:t>
            </w:r>
            <w:r>
              <w:rPr>
                <w:rFonts w:hint="cs"/>
                <w:rtl/>
              </w:rPr>
              <w:t>או באמבולנס של מד"א</w:t>
            </w:r>
            <w:r w:rsidRPr="001C74E7">
              <w:rPr>
                <w:rtl/>
              </w:rPr>
              <w:t xml:space="preserve">, יקבל החזר </w:t>
            </w:r>
            <w:r>
              <w:rPr>
                <w:rFonts w:hint="cs"/>
                <w:rtl/>
              </w:rPr>
              <w:t xml:space="preserve">מלא </w:t>
            </w:r>
            <w:r w:rsidRPr="001C74E7">
              <w:rPr>
                <w:rtl/>
              </w:rPr>
              <w:t xml:space="preserve">של ההוצאה תמורת קבלה, במקרה שנפטר בטרם אושפז; </w:t>
            </w:r>
          </w:p>
        </w:tc>
      </w:tr>
      <w:tr w:rsidR="00CC696B" w:rsidTr="002B2C09" w14:paraId="1681E327" w14:textId="77777777">
        <w:trPr>
          <w:cantSplit/>
        </w:trPr>
        <w:tc>
          <w:tcPr>
            <w:tcW w:w="1871" w:type="dxa"/>
          </w:tcPr>
          <w:p w:rsidR="00CC696B" w:rsidP="007E42C4" w:rsidRDefault="00CC696B" w14:paraId="2A2C81B8" w14:textId="77777777">
            <w:pPr>
              <w:pStyle w:val="TableSideHeading"/>
            </w:pPr>
          </w:p>
        </w:tc>
        <w:tc>
          <w:tcPr>
            <w:tcW w:w="624" w:type="dxa"/>
          </w:tcPr>
          <w:p w:rsidR="00CC696B" w:rsidP="007E42C4" w:rsidRDefault="00CC696B" w14:paraId="087937A1" w14:textId="77777777">
            <w:pPr>
              <w:pStyle w:val="TableText"/>
            </w:pPr>
          </w:p>
        </w:tc>
        <w:tc>
          <w:tcPr>
            <w:tcW w:w="624" w:type="dxa"/>
          </w:tcPr>
          <w:p w:rsidR="00CC696B" w:rsidP="007E42C4" w:rsidRDefault="00CC696B" w14:paraId="2D57CF6A" w14:textId="77777777">
            <w:pPr>
              <w:pStyle w:val="TableText"/>
            </w:pPr>
          </w:p>
        </w:tc>
        <w:tc>
          <w:tcPr>
            <w:tcW w:w="6519" w:type="dxa"/>
          </w:tcPr>
          <w:p w:rsidR="00CC696B" w:rsidP="002B2C09" w:rsidRDefault="00CC696B" w14:paraId="1CBCEAA1" w14:textId="66EE20A0">
            <w:pPr>
              <w:pStyle w:val="TableBlock"/>
            </w:pPr>
            <w:r>
              <w:rPr>
                <w:rFonts w:hint="cs" w:ascii="FrankRuehl" w:hAnsi="FrankRuehl"/>
                <w:sz w:val="26"/>
                <w:rtl/>
              </w:rPr>
              <w:t>(ה)</w:t>
            </w:r>
            <w:r>
              <w:rPr>
                <w:rFonts w:ascii="FrankRuehl" w:hAnsi="FrankRuehl"/>
                <w:sz w:val="26"/>
                <w:rtl/>
              </w:rPr>
              <w:tab/>
              <w:t xml:space="preserve">מבוטח </w:t>
            </w:r>
            <w:r>
              <w:rPr>
                <w:rFonts w:hint="cs" w:ascii="FrankRuehl" w:hAnsi="FrankRuehl"/>
                <w:sz w:val="26"/>
                <w:rtl/>
              </w:rPr>
              <w:t xml:space="preserve">סיעודי שמלאו לו 80 והוא מרותק </w:t>
            </w:r>
            <w:r w:rsidR="00874411">
              <w:rPr>
                <w:rFonts w:hint="cs" w:ascii="FrankRuehl" w:hAnsi="FrankRuehl"/>
                <w:sz w:val="26"/>
                <w:rtl/>
              </w:rPr>
              <w:t>ל</w:t>
            </w:r>
            <w:r>
              <w:rPr>
                <w:rFonts w:hint="cs" w:ascii="FrankRuehl" w:hAnsi="FrankRuehl"/>
                <w:sz w:val="26"/>
                <w:rtl/>
              </w:rPr>
              <w:t>מיטה, המ</w:t>
            </w:r>
            <w:r>
              <w:rPr>
                <w:rFonts w:ascii="FrankRuehl" w:hAnsi="FrankRuehl"/>
                <w:sz w:val="26"/>
                <w:rtl/>
              </w:rPr>
              <w:t>וסע לבית חולים בניידת טיפול נמ</w:t>
            </w:r>
            <w:r>
              <w:rPr>
                <w:rFonts w:hint="cs" w:ascii="FrankRuehl" w:hAnsi="FrankRuehl"/>
                <w:sz w:val="26"/>
                <w:rtl/>
              </w:rPr>
              <w:t xml:space="preserve">רץ או באמבולנס של מד"א, </w:t>
            </w:r>
            <w:r w:rsidRPr="001C74E7">
              <w:rPr>
                <w:rtl/>
              </w:rPr>
              <w:t>יקבל החזר מלא של ההוצאה תמורת קבלה</w:t>
            </w:r>
            <w:r>
              <w:rPr>
                <w:rFonts w:hint="cs"/>
                <w:rtl/>
              </w:rPr>
              <w:t>;</w:t>
            </w:r>
            <w:r>
              <w:rPr>
                <w:rtl/>
              </w:rPr>
              <w:t xml:space="preserve"> לעניין פרט זה, "</w:t>
            </w:r>
            <w:r>
              <w:rPr>
                <w:rFonts w:hint="cs"/>
                <w:rtl/>
              </w:rPr>
              <w:t xml:space="preserve">מרותק </w:t>
            </w:r>
            <w:r w:rsidR="008B12CB">
              <w:rPr>
                <w:rFonts w:hint="cs"/>
                <w:rtl/>
              </w:rPr>
              <w:t>ל</w:t>
            </w:r>
            <w:r>
              <w:rPr>
                <w:rFonts w:hint="cs"/>
                <w:rtl/>
              </w:rPr>
              <w:t>מיטה</w:t>
            </w:r>
            <w:r w:rsidRPr="001C74E7">
              <w:rPr>
                <w:rtl/>
              </w:rPr>
              <w:t xml:space="preserve">" – </w:t>
            </w:r>
            <w:r>
              <w:rPr>
                <w:rFonts w:hint="cs"/>
                <w:sz w:val="26"/>
                <w:rtl/>
              </w:rPr>
              <w:t>מבוטח</w:t>
            </w:r>
            <w:r w:rsidRPr="008A358D">
              <w:rPr>
                <w:rFonts w:hint="cs"/>
                <w:sz w:val="26"/>
                <w:rtl/>
              </w:rPr>
              <w:t xml:space="preserve"> שזקוק לעזר</w:t>
            </w:r>
            <w:r w:rsidR="001926B3">
              <w:rPr>
                <w:rFonts w:hint="cs"/>
                <w:sz w:val="26"/>
                <w:rtl/>
              </w:rPr>
              <w:t>ה</w:t>
            </w:r>
            <w:r w:rsidRPr="008A358D">
              <w:rPr>
                <w:rFonts w:hint="cs"/>
                <w:sz w:val="26"/>
                <w:rtl/>
              </w:rPr>
              <w:t xml:space="preserve"> </w:t>
            </w:r>
            <w:r>
              <w:rPr>
                <w:rFonts w:hint="cs"/>
                <w:sz w:val="26"/>
                <w:rtl/>
              </w:rPr>
              <w:t xml:space="preserve">מלאה של </w:t>
            </w:r>
            <w:r w:rsidRPr="008A358D">
              <w:rPr>
                <w:rFonts w:hint="cs"/>
                <w:sz w:val="26"/>
                <w:rtl/>
              </w:rPr>
              <w:t xml:space="preserve">הזולת </w:t>
            </w:r>
            <w:r w:rsidR="001926B3">
              <w:rPr>
                <w:rFonts w:hint="cs"/>
                <w:sz w:val="26"/>
                <w:rtl/>
              </w:rPr>
              <w:t xml:space="preserve">במעבר </w:t>
            </w:r>
            <w:r>
              <w:rPr>
                <w:rFonts w:hint="cs"/>
                <w:sz w:val="26"/>
                <w:rtl/>
              </w:rPr>
              <w:t>ממיטה לכיסא ו</w:t>
            </w:r>
            <w:r w:rsidR="001926B3">
              <w:rPr>
                <w:rFonts w:hint="cs"/>
                <w:sz w:val="26"/>
                <w:rtl/>
              </w:rPr>
              <w:t>ל</w:t>
            </w:r>
            <w:r>
              <w:rPr>
                <w:rFonts w:hint="cs"/>
                <w:sz w:val="26"/>
                <w:rtl/>
              </w:rPr>
              <w:t>הפך.</w:t>
            </w:r>
            <w:r w:rsidR="000A5626">
              <w:rPr>
                <w:rFonts w:hint="cs"/>
                <w:sz w:val="26"/>
                <w:rtl/>
              </w:rPr>
              <w:t>"</w:t>
            </w:r>
            <w:r w:rsidR="00874411">
              <w:rPr>
                <w:rFonts w:hint="cs"/>
                <w:rtl/>
              </w:rPr>
              <w:t>.</w:t>
            </w:r>
          </w:p>
        </w:tc>
      </w:tr>
    </w:tbl>
    <w:p w:rsidR="002B2C09" w:rsidP="002D1EE3" w:rsidRDefault="002B2C09" w14:paraId="02F72C2E" w14:textId="7B6CDCD6">
      <w:pPr>
        <w:pStyle w:val="HeadDivreiHesber"/>
        <w:rPr>
          <w:rtl/>
        </w:rPr>
      </w:pPr>
      <w:r>
        <w:rPr>
          <w:rtl/>
        </w:rPr>
        <w:br w:type="page"/>
      </w:r>
    </w:p>
    <w:p w:rsidR="002D1EE3" w:rsidP="002D1EE3" w:rsidRDefault="002D1EE3" w14:paraId="7F6961CA" w14:textId="77777777">
      <w:pPr>
        <w:pStyle w:val="HeadDivreiHesber"/>
        <w:rPr>
          <w:rtl/>
        </w:rPr>
      </w:pPr>
      <w:r w:rsidRPr="0027450A">
        <w:rPr>
          <w:rFonts w:hint="cs"/>
          <w:rtl/>
        </w:rPr>
        <w:lastRenderedPageBreak/>
        <w:t>דברי הסבר</w:t>
      </w:r>
    </w:p>
    <w:p w:rsidR="00CC696B" w:rsidP="00CC696B" w:rsidRDefault="00CC696B" w14:paraId="370A5F83" w14:textId="77777777">
      <w:pPr>
        <w:pStyle w:val="Hesber"/>
        <w:rPr>
          <w:rtl/>
        </w:rPr>
      </w:pPr>
      <w:r w:rsidRPr="00CA09A4">
        <w:rPr>
          <w:rFonts w:hint="cs"/>
          <w:rtl/>
        </w:rPr>
        <w:t xml:space="preserve">לפי </w:t>
      </w:r>
      <w:r>
        <w:rPr>
          <w:rFonts w:hint="cs"/>
          <w:rtl/>
        </w:rPr>
        <w:t>חוק ביטוח בריאות ממלכתי, התשנ"ד</w:t>
      </w:r>
      <w:r>
        <w:rPr>
          <w:rFonts w:hint="eastAsia"/>
          <w:rtl/>
        </w:rPr>
        <w:t>–</w:t>
      </w:r>
      <w:r>
        <w:rPr>
          <w:rFonts w:hint="cs"/>
          <w:rtl/>
        </w:rPr>
        <w:t>1994, מבוטח המפונה לבית חולים בניידת טיפול נמרץ או באמבולנס,</w:t>
      </w:r>
      <w:r w:rsidRPr="00CA09A4">
        <w:rPr>
          <w:rFonts w:hint="cs"/>
          <w:rtl/>
        </w:rPr>
        <w:t xml:space="preserve"> מקבל החזר כספי מ</w:t>
      </w:r>
      <w:r>
        <w:rPr>
          <w:rFonts w:hint="cs"/>
          <w:rtl/>
        </w:rPr>
        <w:t>לא של ההוצאה מ</w:t>
      </w:r>
      <w:r w:rsidRPr="00CA09A4">
        <w:rPr>
          <w:rFonts w:hint="cs"/>
          <w:rtl/>
        </w:rPr>
        <w:t>קופת החולים</w:t>
      </w:r>
      <w:r>
        <w:rPr>
          <w:rFonts w:hint="cs"/>
          <w:rtl/>
        </w:rPr>
        <w:t xml:space="preserve"> רק במידה שאושפז</w:t>
      </w:r>
      <w:r w:rsidRPr="00CA09A4">
        <w:rPr>
          <w:rFonts w:hint="cs"/>
          <w:rtl/>
        </w:rPr>
        <w:t xml:space="preserve">. </w:t>
      </w:r>
      <w:r>
        <w:rPr>
          <w:rFonts w:hint="cs"/>
          <w:rtl/>
        </w:rPr>
        <w:t>נוצר מצב אבסורדי שמי שמפונה לבית החולים ונפטר לפני שאושפז, יקבל החזר של 50% מן ההוצאה בלבד.</w:t>
      </w:r>
    </w:p>
    <w:p w:rsidR="00CC696B" w:rsidP="00CC696B" w:rsidRDefault="00CC696B" w14:paraId="23FEE900" w14:textId="77777777">
      <w:pPr>
        <w:pStyle w:val="Hesber"/>
        <w:rPr>
          <w:rtl/>
        </w:rPr>
      </w:pPr>
      <w:r>
        <w:rPr>
          <w:rFonts w:hint="cs"/>
          <w:rtl/>
        </w:rPr>
        <w:t>כמו כן, קשישים סיעודיים נאלצים להתפנות באמבולנס בתדירות גבוהה יותר, לעיתים רק כדי לקבל טיפול רפואי. הדבר מטיל הוצאה</w:t>
      </w:r>
      <w:r w:rsidRPr="00165487">
        <w:rPr>
          <w:rFonts w:hint="cs"/>
          <w:rtl/>
        </w:rPr>
        <w:t xml:space="preserve"> כלכלי</w:t>
      </w:r>
      <w:r>
        <w:rPr>
          <w:rFonts w:hint="cs"/>
          <w:rtl/>
        </w:rPr>
        <w:t>ת</w:t>
      </w:r>
      <w:r w:rsidRPr="00165487">
        <w:rPr>
          <w:rFonts w:hint="cs"/>
          <w:rtl/>
        </w:rPr>
        <w:t xml:space="preserve"> כבד</w:t>
      </w:r>
      <w:r>
        <w:rPr>
          <w:rFonts w:hint="cs"/>
          <w:rtl/>
        </w:rPr>
        <w:t>ה</w:t>
      </w:r>
      <w:r w:rsidRPr="00165487">
        <w:rPr>
          <w:rFonts w:hint="cs"/>
          <w:rtl/>
        </w:rPr>
        <w:t xml:space="preserve"> על</w:t>
      </w:r>
      <w:r>
        <w:rPr>
          <w:rFonts w:hint="cs"/>
          <w:rtl/>
        </w:rPr>
        <w:t xml:space="preserve"> המבוטחים ועל בני משפחותיהם.</w:t>
      </w:r>
    </w:p>
    <w:p w:rsidR="00CC696B" w:rsidP="00CC696B" w:rsidRDefault="00CC696B" w14:paraId="053D78A0" w14:textId="701E3A3B">
      <w:pPr>
        <w:pStyle w:val="Hesber"/>
        <w:rPr>
          <w:rtl/>
        </w:rPr>
      </w:pPr>
      <w:r>
        <w:rPr>
          <w:rFonts w:hint="cs"/>
          <w:rtl/>
        </w:rPr>
        <w:t xml:space="preserve">נמצא שהחוק כיום </w:t>
      </w:r>
      <w:r w:rsidRPr="00E5690C">
        <w:rPr>
          <w:rFonts w:hint="cs"/>
          <w:rtl/>
        </w:rPr>
        <w:t>פ</w:t>
      </w:r>
      <w:r>
        <w:rPr>
          <w:rFonts w:hint="cs"/>
          <w:rtl/>
        </w:rPr>
        <w:t>ו</w:t>
      </w:r>
      <w:r w:rsidRPr="00E5690C">
        <w:rPr>
          <w:rFonts w:hint="cs"/>
          <w:rtl/>
        </w:rPr>
        <w:t xml:space="preserve">גע בזכותם של המבוטחים לקבלת טיפול רפואי </w:t>
      </w:r>
      <w:r>
        <w:rPr>
          <w:rFonts w:hint="cs"/>
          <w:rtl/>
        </w:rPr>
        <w:t>מציל חיים ובייחוד מבוטחים מ</w:t>
      </w:r>
      <w:r w:rsidR="00B354DD">
        <w:rPr>
          <w:rFonts w:hint="cs"/>
          <w:rtl/>
        </w:rPr>
        <w:t>ה</w:t>
      </w:r>
      <w:r>
        <w:rPr>
          <w:rFonts w:hint="cs"/>
          <w:rtl/>
        </w:rPr>
        <w:t>שכבות המוחלשות באוכלוסייה, אשר יימנעו מפינוי באמבולנס בשל העלויות הכרוכות בכך.</w:t>
      </w:r>
    </w:p>
    <w:p w:rsidR="00CC696B" w:rsidP="00B354DD" w:rsidRDefault="00CC696B" w14:paraId="22493A83" w14:textId="3519E356">
      <w:pPr>
        <w:pStyle w:val="Hesber"/>
        <w:rPr>
          <w:rtl/>
        </w:rPr>
      </w:pPr>
      <w:r>
        <w:rPr>
          <w:rFonts w:hint="cs"/>
          <w:rtl/>
        </w:rPr>
        <w:t xml:space="preserve">הצעת חוק זו נועדה להקל </w:t>
      </w:r>
      <w:r w:rsidR="00B354DD">
        <w:rPr>
          <w:rFonts w:hint="cs"/>
          <w:rtl/>
        </w:rPr>
        <w:t xml:space="preserve">על </w:t>
      </w:r>
      <w:r>
        <w:rPr>
          <w:rFonts w:hint="cs"/>
          <w:rtl/>
        </w:rPr>
        <w:t xml:space="preserve">הנטל הכלכלי המוטל על כלל המבוטחים ועל בני המשפחה של אדם שנפטר ובפרט על קשישים סיעודיים </w:t>
      </w:r>
      <w:r w:rsidR="00B354DD">
        <w:rPr>
          <w:rFonts w:hint="cs"/>
          <w:rtl/>
        </w:rPr>
        <w:t>ה</w:t>
      </w:r>
      <w:r w:rsidR="000A5626">
        <w:rPr>
          <w:rFonts w:hint="cs"/>
          <w:rtl/>
        </w:rPr>
        <w:t>מרותקי</w:t>
      </w:r>
      <w:r w:rsidR="00B354DD">
        <w:rPr>
          <w:rFonts w:hint="cs"/>
          <w:rtl/>
        </w:rPr>
        <w:t>ם</w:t>
      </w:r>
      <w:r w:rsidR="000A5626">
        <w:rPr>
          <w:rFonts w:hint="cs"/>
          <w:rtl/>
        </w:rPr>
        <w:t xml:space="preserve"> </w:t>
      </w:r>
      <w:r w:rsidR="00B354DD">
        <w:rPr>
          <w:rFonts w:hint="cs"/>
          <w:rtl/>
        </w:rPr>
        <w:t>ל</w:t>
      </w:r>
      <w:r w:rsidR="000A5626">
        <w:rPr>
          <w:rFonts w:hint="cs"/>
          <w:rtl/>
        </w:rPr>
        <w:t xml:space="preserve">מיטה </w:t>
      </w:r>
      <w:r>
        <w:rPr>
          <w:rFonts w:hint="cs"/>
          <w:rtl/>
        </w:rPr>
        <w:t xml:space="preserve">מגיל 80 ואילך. </w:t>
      </w:r>
    </w:p>
    <w:p w:rsidR="00CC696B" w:rsidP="004034FF" w:rsidRDefault="00CC696B" w14:paraId="6E5689C1" w14:textId="7B41D171">
      <w:pPr>
        <w:pStyle w:val="Hesber"/>
        <w:rPr>
          <w:rtl/>
        </w:rPr>
      </w:pPr>
      <w:r>
        <w:rPr>
          <w:rFonts w:hint="cs"/>
          <w:rtl/>
        </w:rPr>
        <w:t xml:space="preserve">מוצע כי יינתן החזר כספי מלא למבוטח שמוסע לבית חולים ונפטר לפני שאושפז, </w:t>
      </w:r>
      <w:r w:rsidR="000A5626">
        <w:rPr>
          <w:rFonts w:hint="cs"/>
          <w:rtl/>
        </w:rPr>
        <w:t xml:space="preserve">וכמו כן </w:t>
      </w:r>
      <w:r w:rsidRPr="002240D4">
        <w:rPr>
          <w:rFonts w:hint="cs"/>
          <w:rtl/>
        </w:rPr>
        <w:t>יינת</w:t>
      </w:r>
      <w:r w:rsidRPr="002240D4">
        <w:rPr>
          <w:rFonts w:hint="eastAsia"/>
          <w:rtl/>
        </w:rPr>
        <w:t>ן</w:t>
      </w:r>
      <w:r>
        <w:rPr>
          <w:rFonts w:hint="cs"/>
          <w:rtl/>
        </w:rPr>
        <w:t xml:space="preserve"> </w:t>
      </w:r>
      <w:r w:rsidRPr="002240D4">
        <w:rPr>
          <w:rFonts w:hint="cs"/>
          <w:rtl/>
        </w:rPr>
        <w:t>ה</w:t>
      </w:r>
      <w:r>
        <w:rPr>
          <w:rFonts w:hint="cs"/>
          <w:rtl/>
        </w:rPr>
        <w:t xml:space="preserve">חזר כספי מלא </w:t>
      </w:r>
      <w:r w:rsidR="000A5626">
        <w:rPr>
          <w:rFonts w:hint="cs"/>
          <w:rtl/>
        </w:rPr>
        <w:t xml:space="preserve">גם </w:t>
      </w:r>
      <w:r>
        <w:rPr>
          <w:rFonts w:hint="cs"/>
          <w:rtl/>
        </w:rPr>
        <w:t xml:space="preserve">לקשישים סיעודיים </w:t>
      </w:r>
      <w:r w:rsidR="000A5626">
        <w:rPr>
          <w:rFonts w:hint="cs"/>
          <w:rtl/>
        </w:rPr>
        <w:t xml:space="preserve">מעל גיל 80 </w:t>
      </w:r>
      <w:r w:rsidR="00B354DD">
        <w:rPr>
          <w:rFonts w:hint="cs"/>
          <w:rtl/>
        </w:rPr>
        <w:t>שהם מרותקים למיטה</w:t>
      </w:r>
      <w:r>
        <w:rPr>
          <w:rFonts w:hint="cs"/>
          <w:rtl/>
        </w:rPr>
        <w:t>, גם אם לא אושפזו.</w:t>
      </w:r>
    </w:p>
    <w:p w:rsidR="00CC696B" w:rsidP="002B2C09" w:rsidRDefault="00CC696B" w14:paraId="08EFACF9" w14:textId="237B9CF8">
      <w:pPr>
        <w:pStyle w:val="Hesber"/>
        <w:rPr>
          <w:rtl/>
        </w:rPr>
      </w:pPr>
      <w:r>
        <w:rPr>
          <w:rFonts w:hint="cs"/>
          <w:rtl/>
        </w:rPr>
        <w:t>הצע</w:t>
      </w:r>
      <w:r w:rsidR="003128FC">
        <w:rPr>
          <w:rFonts w:hint="cs"/>
          <w:rtl/>
        </w:rPr>
        <w:t>ו</w:t>
      </w:r>
      <w:r>
        <w:rPr>
          <w:rFonts w:hint="cs"/>
          <w:rtl/>
        </w:rPr>
        <w:t>ת חוק דומ</w:t>
      </w:r>
      <w:r w:rsidR="003128FC">
        <w:rPr>
          <w:rFonts w:hint="cs"/>
          <w:rtl/>
        </w:rPr>
        <w:t>ות</w:t>
      </w:r>
      <w:r>
        <w:rPr>
          <w:rFonts w:hint="cs"/>
          <w:rtl/>
        </w:rPr>
        <w:t xml:space="preserve"> בעיקר</w:t>
      </w:r>
      <w:r w:rsidR="003128FC">
        <w:rPr>
          <w:rFonts w:hint="cs"/>
          <w:rtl/>
        </w:rPr>
        <w:t>ן</w:t>
      </w:r>
      <w:r>
        <w:rPr>
          <w:rFonts w:hint="cs"/>
          <w:rtl/>
        </w:rPr>
        <w:t xml:space="preserve"> הונח</w:t>
      </w:r>
      <w:r w:rsidR="003128FC">
        <w:rPr>
          <w:rFonts w:hint="cs"/>
          <w:rtl/>
        </w:rPr>
        <w:t>ו</w:t>
      </w:r>
      <w:r>
        <w:rPr>
          <w:rFonts w:hint="cs"/>
          <w:rtl/>
        </w:rPr>
        <w:t xml:space="preserve"> על שולחן הכנסת העשרים ושלוש </w:t>
      </w:r>
      <w:r w:rsidR="002B2C09">
        <w:rPr>
          <w:rFonts w:hint="cs"/>
          <w:rtl/>
        </w:rPr>
        <w:t xml:space="preserve">ועל שולחן הכנסת העשרים וארבע </w:t>
      </w:r>
      <w:r>
        <w:rPr>
          <w:rFonts w:hint="cs"/>
          <w:rtl/>
        </w:rPr>
        <w:t>על ידי חברת</w:t>
      </w:r>
      <w:r w:rsidR="002B2C09">
        <w:rPr>
          <w:rFonts w:hint="cs"/>
          <w:rtl/>
        </w:rPr>
        <w:t xml:space="preserve"> הכנסת חוה אתי עטייה (פ/1984/23; </w:t>
      </w:r>
      <w:r w:rsidR="000A5626">
        <w:rPr>
          <w:rFonts w:hint="cs"/>
          <w:rtl/>
        </w:rPr>
        <w:t>פ/621/24)</w:t>
      </w:r>
      <w:r w:rsidR="003128FC">
        <w:rPr>
          <w:rFonts w:hint="cs"/>
          <w:rtl/>
        </w:rPr>
        <w:t>.</w:t>
      </w:r>
      <w:bookmarkStart w:name="_GoBack" w:id="8"/>
      <w:bookmarkEnd w:id="8"/>
    </w:p>
    <w:p w:rsidR="00E13C27" w:rsidP="00E13C27" w:rsidRDefault="00E13C27" w14:paraId="7F6961CB" w14:textId="77777777">
      <w:pPr>
        <w:pStyle w:val="Hesber"/>
        <w:rPr>
          <w:rtl/>
        </w:rPr>
      </w:pPr>
    </w:p>
    <w:p w:rsidR="00507648" w:rsidRDefault="002B2C09" w14:paraId="0EBB9835" w14:textId="77777777">
      <w:pPr>
        <w:jc w:val="left"/>
      </w:pPr>
      <w:bookmarkStart w:name="selectedDocDateB" w:id="9"/>
      <w:bookmarkEnd w:id="9"/>
      <w:r>
        <w:rPr>
          <w:rFonts w:hint="cs" w:eastAsia="David"/>
          <w:sz w:val="26"/>
          <w:szCs w:val="26"/>
          <w:rtl/>
        </w:rPr>
        <w:t>--------------------------------</w:t>
      </w:r>
    </w:p>
    <w:p w:rsidR="00507648" w:rsidRDefault="002B2C09" w14:paraId="4DCAE08D" w14:textId="77777777">
      <w:pPr>
        <w:jc w:val="left"/>
      </w:pPr>
      <w:r>
        <w:rPr>
          <w:rFonts w:hint="cs" w:eastAsia="David"/>
          <w:sz w:val="26"/>
          <w:szCs w:val="26"/>
          <w:rtl/>
        </w:rPr>
        <w:t>הוגשה ליו"ר הכנסת והסגנים</w:t>
      </w:r>
    </w:p>
    <w:p w:rsidR="00507648" w:rsidRDefault="002B2C09" w14:paraId="7B156882" w14:textId="77777777">
      <w:pPr>
        <w:jc w:val="left"/>
      </w:pPr>
      <w:r>
        <w:rPr>
          <w:rFonts w:hint="cs" w:eastAsia="David"/>
          <w:sz w:val="26"/>
          <w:szCs w:val="26"/>
          <w:rtl/>
        </w:rPr>
        <w:t>והונחה על שולחן הכנסת ביום</w:t>
      </w:r>
    </w:p>
    <w:p w:rsidR="00507648" w:rsidRDefault="002B2C09" w14:paraId="7F573F4E" w14:textId="77777777">
      <w:pPr>
        <w:jc w:val="left"/>
      </w:pPr>
      <w:r>
        <w:rPr>
          <w:rFonts w:hint="cs" w:eastAsia="David"/>
          <w:sz w:val="26"/>
          <w:szCs w:val="26"/>
          <w:rtl/>
        </w:rPr>
        <w:t xml:space="preserve">ז' בסיוון התשפ"ב (06.06.2022) </w:t>
      </w:r>
    </w:p>
    <w:p w:rsidR="00507648" w:rsidRDefault="00507648" w14:paraId="01860D5F" w14:textId="77777777">
      <w:pPr>
        <w:spacing w:line="276" w:lineRule="auto"/>
        <w:jc w:val="left"/>
      </w:pPr>
    </w:p>
    <w:sectPr w:rsidR="00507648" w:rsidSect="002B2C09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7" w14:textId="524915EE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4034FF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674C0" w14:textId="77777777" w:rsidR="00D142D3" w:rsidRDefault="00D142D3" w:rsidP="002B2C09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0FF41FA5" w14:textId="77777777" w:rsidR="00CC696B" w:rsidRDefault="00CC696B" w:rsidP="00CC696B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התשנ"ד, עמ' 156.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0A5626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926B3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B2C09"/>
    <w:rsid w:val="002C2E29"/>
    <w:rsid w:val="002C3041"/>
    <w:rsid w:val="002D1EE3"/>
    <w:rsid w:val="002F1D80"/>
    <w:rsid w:val="003128FC"/>
    <w:rsid w:val="003232A2"/>
    <w:rsid w:val="00325C14"/>
    <w:rsid w:val="0036422C"/>
    <w:rsid w:val="003710F6"/>
    <w:rsid w:val="00386E88"/>
    <w:rsid w:val="00396585"/>
    <w:rsid w:val="003A7D93"/>
    <w:rsid w:val="003D6E38"/>
    <w:rsid w:val="003D74A0"/>
    <w:rsid w:val="004033D8"/>
    <w:rsid w:val="004034FF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07648"/>
    <w:rsid w:val="00553C9D"/>
    <w:rsid w:val="00562A66"/>
    <w:rsid w:val="005A308C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1736D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411"/>
    <w:rsid w:val="00874BBC"/>
    <w:rsid w:val="00892135"/>
    <w:rsid w:val="00895449"/>
    <w:rsid w:val="00897879"/>
    <w:rsid w:val="008A6870"/>
    <w:rsid w:val="008B12CB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9507A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4DD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C696B"/>
    <w:rsid w:val="00CF1AA2"/>
    <w:rsid w:val="00D142D3"/>
    <w:rsid w:val="00D17774"/>
    <w:rsid w:val="00D44FA1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C55EE"/>
    <w:rsid w:val="00ED4A6F"/>
    <w:rsid w:val="00EF3A3A"/>
    <w:rsid w:val="00F628D6"/>
    <w:rsid w:val="00F67051"/>
    <w:rsid w:val="00F86A1E"/>
    <w:rsid w:val="00FA5E88"/>
    <w:rsid w:val="00FD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7AF4FB33-EA11-4061-8FE5-AC93CDA3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C09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B2C09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2B2C09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2B2C09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2B2C09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2B2C09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2B2C09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2B2C09"/>
    <w:rPr>
      <w:sz w:val="36"/>
      <w:szCs w:val="52"/>
    </w:rPr>
  </w:style>
  <w:style w:type="paragraph" w:customStyle="1" w:styleId="Cover3-Haknesset">
    <w:name w:val="Cover 3-Haknesset"/>
    <w:basedOn w:val="Cover1-Reshumot"/>
    <w:rsid w:val="002B2C09"/>
    <w:rPr>
      <w:b/>
      <w:bCs/>
      <w:spacing w:val="60"/>
    </w:rPr>
  </w:style>
  <w:style w:type="paragraph" w:customStyle="1" w:styleId="Cover4-Date">
    <w:name w:val="Cover 4-Date"/>
    <w:basedOn w:val="a"/>
    <w:rsid w:val="002B2C09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2B2C09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2B2C09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2B2C09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2B2C09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2B2C09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2B2C09"/>
    <w:pPr>
      <w:outlineLvl w:val="2"/>
    </w:pPr>
  </w:style>
  <w:style w:type="paragraph" w:customStyle="1" w:styleId="TableBlock">
    <w:name w:val="Table Block"/>
    <w:basedOn w:val="TableText"/>
    <w:rsid w:val="002B2C09"/>
    <w:pPr>
      <w:jc w:val="both"/>
    </w:pPr>
  </w:style>
  <w:style w:type="paragraph" w:customStyle="1" w:styleId="TableHead">
    <w:name w:val="Table Head"/>
    <w:basedOn w:val="TableText"/>
    <w:rsid w:val="002B2C09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2B2C09"/>
    <w:pPr>
      <w:outlineLvl w:val="9"/>
    </w:pPr>
  </w:style>
  <w:style w:type="paragraph" w:customStyle="1" w:styleId="Hesber">
    <w:name w:val="Hesber"/>
    <w:basedOn w:val="a"/>
    <w:rsid w:val="002B2C09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2B2C09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6">
    <w:name w:val="footnote reference"/>
    <w:aliases w:val="Footnote Reference"/>
    <w:basedOn w:val="a0"/>
    <w:semiHidden/>
    <w:rsid w:val="002B2C09"/>
    <w:rPr>
      <w:vertAlign w:val="superscript"/>
    </w:rPr>
  </w:style>
  <w:style w:type="paragraph" w:customStyle="1" w:styleId="HesberHeading">
    <w:name w:val="Hesber Heading"/>
    <w:basedOn w:val="Hesber"/>
    <w:rsid w:val="002B2C09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2B2C09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2B2C09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2B2C09"/>
    <w:rPr>
      <w:vertAlign w:val="superscript"/>
    </w:rPr>
  </w:style>
  <w:style w:type="paragraph" w:customStyle="1" w:styleId="TableBlockOutdent">
    <w:name w:val="Table BlockOutdent"/>
    <w:basedOn w:val="TableBlock"/>
    <w:rsid w:val="002B2C09"/>
    <w:pPr>
      <w:ind w:left="624" w:hanging="624"/>
    </w:pPr>
  </w:style>
  <w:style w:type="paragraph" w:styleId="a8">
    <w:name w:val="header"/>
    <w:basedOn w:val="a"/>
    <w:rsid w:val="002B2C09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B2C09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2B2C09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2B2C09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b">
    <w:name w:val="page number"/>
    <w:basedOn w:val="a0"/>
    <w:rsid w:val="002B2C09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CC696B"/>
    <w:rPr>
      <w:rFonts w:ascii="Arial" w:eastAsia="Arial Unicode MS" w:hAnsi="Arial" w:cs="David"/>
      <w:snapToGrid w:val="0"/>
      <w:sz w:val="14"/>
    </w:rPr>
  </w:style>
  <w:style w:type="character" w:customStyle="1" w:styleId="10">
    <w:name w:val="כותרת 1 תו"/>
    <w:basedOn w:val="a0"/>
    <w:link w:val="1"/>
    <w:uiPriority w:val="9"/>
    <w:rsid w:val="002B2C09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2B2C09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2B2C09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2B2C09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2B2C09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2B2C09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2B2C09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2B2C09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2B2C09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2B2C09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2B2C09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2B2C09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2B2C09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2B2C09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2B2C09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2B2C09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2B2C09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2B2C09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2B2C09"/>
    <w:rPr>
      <w:rFonts w:eastAsia="Times New Roman"/>
    </w:rPr>
  </w:style>
  <w:style w:type="paragraph" w:styleId="af">
    <w:name w:val="List Paragraph"/>
    <w:basedOn w:val="a"/>
    <w:uiPriority w:val="34"/>
    <w:qFormat/>
    <w:rsid w:val="002B2C09"/>
    <w:pPr>
      <w:widowControl/>
      <w:spacing w:line="259" w:lineRule="auto"/>
    </w:pPr>
    <w:rPr>
      <w:rFonts w:asciiTheme="minorHAnsi" w:hAnsiTheme="minorHAnsi"/>
      <w:sz w:val="22"/>
    </w:rPr>
  </w:style>
  <w:style w:type="table" w:styleId="af0">
    <w:name w:val="Table Grid"/>
    <w:basedOn w:val="a1"/>
    <w:rsid w:val="002B2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2B2C0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2B2C0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1">
    <w:name w:val="טבלת חקיקה"/>
    <w:basedOn w:val="a1"/>
    <w:uiPriority w:val="99"/>
    <w:rsid w:val="002B2C09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2B2C09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BE13442BF316646AF5951F2A6F4E844" ma:contentTypeVersion="" ma:contentTypeDescription="צור מסמך חדש." ma:contentTypeScope="" ma:versionID="3e09f08e861ef8c9ca8a66bc33319a2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E9E27-76D5-49F4-BF65-8187A717C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290d5b49-c690-4c6f-bbb9-1e50dab33eee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49BE21-4DC7-479D-A80B-14979AC8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390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שימרית שקד</cp:lastModifiedBy>
  <cp:revision>21</cp:revision>
  <cp:lastPrinted>2022-06-01T12:48:00Z</cp:lastPrinted>
  <dcterms:created xsi:type="dcterms:W3CDTF">2015-04-20T09:58:00Z</dcterms:created>
  <dcterms:modified xsi:type="dcterms:W3CDTF">2022-06-02T12:04:00Z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0x010100ABE13442BF316646AF5951F2A6F4E844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2192839</vt:r8>
  </property>
</Properties>
</file>