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2192139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21E54430" w:rsidR="00E13C27" w:rsidRPr="00CF1AA2" w:rsidRDefault="008F6665" w:rsidP="00925BB5">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מיכאל מרדכי ביטון</w:t>
      </w:r>
      <w:r>
        <w:br/>
      </w:r>
      <w:r>
        <w:rPr>
          <w:rFonts w:hint="cs"/>
          <w:b/>
          <w:bCs/>
          <w:rtl/>
        </w:rPr>
        <w:t xml:space="preserve"> </w:t>
      </w:r>
      <w:r>
        <w:tab/>
      </w:r>
      <w:r>
        <w:tab/>
      </w:r>
      <w:r>
        <w:tab/>
      </w:r>
      <w:r>
        <w:tab/>
      </w:r>
      <w:r>
        <w:rPr>
          <w:rFonts w:hint="cs"/>
          <w:b/>
          <w:bCs/>
          <w:rtl/>
        </w:rPr>
        <w:t>אלי כהן</w:t>
      </w:r>
      <w:r>
        <w:br/>
      </w:r>
      <w:r>
        <w:rPr>
          <w:rFonts w:hint="cs"/>
          <w:b/>
          <w:bCs/>
          <w:rtl/>
        </w:rPr>
        <w:t xml:space="preserve"> </w:t>
      </w:r>
      <w:r>
        <w:tab/>
      </w:r>
      <w:r>
        <w:tab/>
      </w:r>
      <w:r>
        <w:tab/>
      </w:r>
      <w:r>
        <w:tab/>
      </w:r>
      <w:r>
        <w:rPr>
          <w:rFonts w:hint="cs"/>
          <w:b/>
          <w:bCs/>
          <w:rtl/>
        </w:rPr>
        <w:t>גלעד קריב</w:t>
      </w:r>
      <w:r>
        <w:br/>
      </w:r>
      <w:r>
        <w:rPr>
          <w:rFonts w:hint="cs"/>
          <w:b/>
          <w:bCs/>
          <w:rtl/>
        </w:rPr>
        <w:t xml:space="preserve"> </w:t>
      </w:r>
      <w:r>
        <w:tab/>
      </w:r>
      <w:r>
        <w:tab/>
      </w:r>
      <w:r>
        <w:tab/>
      </w:r>
      <w:r>
        <w:tab/>
      </w:r>
      <w:r>
        <w:rPr>
          <w:rFonts w:hint="cs"/>
          <w:b/>
          <w:bCs/>
          <w:rtl/>
        </w:rPr>
        <w:t>מוסי רז</w:t>
      </w:r>
      <w:r>
        <w:br/>
      </w:r>
      <w:r>
        <w:rPr>
          <w:rFonts w:hint="cs"/>
          <w:b/>
          <w:bCs/>
          <w:rtl/>
        </w:rPr>
        <w:t xml:space="preserve"> </w:t>
      </w:r>
      <w:r>
        <w:tab/>
      </w:r>
      <w:r>
        <w:tab/>
      </w:r>
      <w:r>
        <w:tab/>
      </w:r>
      <w:r>
        <w:tab/>
      </w:r>
      <w:r>
        <w:rPr>
          <w:rFonts w:hint="cs"/>
          <w:b/>
          <w:bCs/>
          <w:rtl/>
        </w:rPr>
        <w:t>דוד אמסלם</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פ/3903/24</w:t>
      </w:r>
      <w:bookmarkEnd w:id="6"/>
    </w:p>
    <w:p w14:paraId="4BB14822" w14:textId="77777777" w:rsidR="00375558" w:rsidRPr="00F67051" w:rsidRDefault="00375558" w:rsidP="00375558">
      <w:pPr>
        <w:pStyle w:val="HeadHatzaotHok"/>
        <w:rPr>
          <w:rtl/>
        </w:rPr>
      </w:pPr>
      <w:bookmarkStart w:id="7" w:name="LGS_Subject"/>
      <w:r>
        <w:rPr>
          <w:rFonts w:hint="cs"/>
          <w:rtl/>
        </w:rPr>
        <w:t>הצעת חוק חכירה הוגנת, התשפ"ב–2022</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4"/>
      </w:tblGrid>
      <w:tr w:rsidR="00375558" w14:paraId="1B784884" w14:textId="77777777" w:rsidTr="00060739">
        <w:trPr>
          <w:cantSplit/>
        </w:trPr>
        <w:tc>
          <w:tcPr>
            <w:tcW w:w="1870" w:type="dxa"/>
          </w:tcPr>
          <w:p w14:paraId="6B292CB2" w14:textId="77777777" w:rsidR="00375558" w:rsidRDefault="00375558" w:rsidP="00060739">
            <w:pPr>
              <w:pStyle w:val="TableSideHeading"/>
              <w:keepLines w:val="0"/>
            </w:pPr>
            <w:r>
              <w:rPr>
                <w:rFonts w:hint="cs"/>
                <w:rtl/>
              </w:rPr>
              <w:t>הגדרות</w:t>
            </w:r>
          </w:p>
        </w:tc>
        <w:tc>
          <w:tcPr>
            <w:tcW w:w="624" w:type="dxa"/>
          </w:tcPr>
          <w:p w14:paraId="25A49B88" w14:textId="77777777" w:rsidR="00375558" w:rsidRDefault="00375558" w:rsidP="00060739">
            <w:pPr>
              <w:pStyle w:val="TableText"/>
              <w:keepLines w:val="0"/>
            </w:pPr>
            <w:r>
              <w:rPr>
                <w:rFonts w:hint="cs"/>
                <w:rtl/>
              </w:rPr>
              <w:t>1.</w:t>
            </w:r>
          </w:p>
        </w:tc>
        <w:tc>
          <w:tcPr>
            <w:tcW w:w="7144" w:type="dxa"/>
          </w:tcPr>
          <w:p w14:paraId="36EF756B" w14:textId="77777777" w:rsidR="00375558" w:rsidRPr="00C34DE2" w:rsidRDefault="00375558" w:rsidP="00060739">
            <w:pPr>
              <w:pStyle w:val="TableBlock"/>
            </w:pPr>
            <w:r>
              <w:rPr>
                <w:rFonts w:hint="cs"/>
                <w:rtl/>
              </w:rPr>
              <w:t xml:space="preserve">בחוק זה </w:t>
            </w:r>
            <w:r>
              <w:rPr>
                <w:rtl/>
              </w:rPr>
              <w:t>–</w:t>
            </w:r>
          </w:p>
        </w:tc>
      </w:tr>
      <w:tr w:rsidR="00375558" w14:paraId="79704D14" w14:textId="77777777" w:rsidTr="00060739">
        <w:trPr>
          <w:cantSplit/>
        </w:trPr>
        <w:tc>
          <w:tcPr>
            <w:tcW w:w="1870" w:type="dxa"/>
          </w:tcPr>
          <w:p w14:paraId="70829DBB" w14:textId="77777777" w:rsidR="00375558" w:rsidRDefault="00375558" w:rsidP="00060739">
            <w:pPr>
              <w:pStyle w:val="TableSideHeading"/>
              <w:keepLines w:val="0"/>
              <w:rPr>
                <w:rtl/>
              </w:rPr>
            </w:pPr>
          </w:p>
        </w:tc>
        <w:tc>
          <w:tcPr>
            <w:tcW w:w="624" w:type="dxa"/>
          </w:tcPr>
          <w:p w14:paraId="5DEA0E76" w14:textId="77777777" w:rsidR="00375558" w:rsidRDefault="00375558" w:rsidP="00060739">
            <w:pPr>
              <w:pStyle w:val="TableText"/>
              <w:keepLines w:val="0"/>
              <w:rPr>
                <w:rtl/>
              </w:rPr>
            </w:pPr>
          </w:p>
        </w:tc>
        <w:tc>
          <w:tcPr>
            <w:tcW w:w="7144" w:type="dxa"/>
          </w:tcPr>
          <w:p w14:paraId="7739A4B3" w14:textId="77777777" w:rsidR="00375558" w:rsidRPr="0066126D" w:rsidRDefault="00375558" w:rsidP="00060739">
            <w:pPr>
              <w:pStyle w:val="TableBlockOutdent"/>
              <w:rPr>
                <w:rtl/>
              </w:rPr>
            </w:pPr>
            <w:r w:rsidRPr="0066126D">
              <w:rPr>
                <w:rtl/>
              </w:rPr>
              <w:t>"</w:t>
            </w:r>
            <w:r w:rsidRPr="002028AB">
              <w:rPr>
                <w:rtl/>
              </w:rPr>
              <w:t>גו</w:t>
            </w:r>
            <w:r w:rsidRPr="002028AB">
              <w:rPr>
                <w:rFonts w:hint="cs"/>
                <w:rtl/>
              </w:rPr>
              <w:t>ף</w:t>
            </w:r>
            <w:r w:rsidRPr="002028AB">
              <w:rPr>
                <w:rtl/>
              </w:rPr>
              <w:t xml:space="preserve"> ציבורי</w:t>
            </w:r>
            <w:r w:rsidRPr="0066126D">
              <w:rPr>
                <w:rtl/>
              </w:rPr>
              <w:t>"</w:t>
            </w:r>
            <w:r>
              <w:rPr>
                <w:rFonts w:hint="cs"/>
                <w:rtl/>
              </w:rPr>
              <w:t xml:space="preserve"> </w:t>
            </w:r>
            <w:r w:rsidRPr="0066126D">
              <w:rPr>
                <w:rtl/>
              </w:rPr>
              <w:t>–</w:t>
            </w:r>
            <w:r>
              <w:rPr>
                <w:rFonts w:hint="cs"/>
                <w:rtl/>
              </w:rPr>
              <w:t xml:space="preserve"> </w:t>
            </w:r>
            <w:r w:rsidRPr="0066126D">
              <w:rPr>
                <w:rtl/>
              </w:rPr>
              <w:t>משרדי הממשלה ומוסדות מדינה אחרים, רשות מקומית וגוף אחר</w:t>
            </w:r>
            <w:r>
              <w:rPr>
                <w:rFonts w:hint="cs"/>
                <w:rtl/>
              </w:rPr>
              <w:t xml:space="preserve"> </w:t>
            </w:r>
            <w:r w:rsidRPr="0066126D">
              <w:rPr>
                <w:rtl/>
              </w:rPr>
              <w:t>הממלא תפקידים ציבוריים</w:t>
            </w:r>
            <w:r>
              <w:rPr>
                <w:rFonts w:hint="cs"/>
                <w:rtl/>
              </w:rPr>
              <w:t xml:space="preserve"> </w:t>
            </w:r>
            <w:r w:rsidRPr="0066126D">
              <w:rPr>
                <w:rtl/>
              </w:rPr>
              <w:t>על-פי דין</w:t>
            </w:r>
            <w:r w:rsidRPr="0066126D">
              <w:rPr>
                <w:rFonts w:hint="cs"/>
                <w:rtl/>
              </w:rPr>
              <w:t>;</w:t>
            </w:r>
          </w:p>
        </w:tc>
      </w:tr>
      <w:tr w:rsidR="00375558" w14:paraId="771AC161" w14:textId="77777777" w:rsidTr="00060739">
        <w:trPr>
          <w:cantSplit/>
        </w:trPr>
        <w:tc>
          <w:tcPr>
            <w:tcW w:w="1870" w:type="dxa"/>
          </w:tcPr>
          <w:p w14:paraId="6449E163" w14:textId="77777777" w:rsidR="00375558" w:rsidRDefault="00375558" w:rsidP="00060739">
            <w:pPr>
              <w:pStyle w:val="TableSideHeading"/>
              <w:keepLines w:val="0"/>
              <w:rPr>
                <w:rtl/>
              </w:rPr>
            </w:pPr>
          </w:p>
        </w:tc>
        <w:tc>
          <w:tcPr>
            <w:tcW w:w="624" w:type="dxa"/>
          </w:tcPr>
          <w:p w14:paraId="01588D2D" w14:textId="77777777" w:rsidR="00375558" w:rsidRDefault="00375558" w:rsidP="00060739">
            <w:pPr>
              <w:pStyle w:val="TableText"/>
              <w:keepLines w:val="0"/>
              <w:rPr>
                <w:rtl/>
              </w:rPr>
            </w:pPr>
          </w:p>
        </w:tc>
        <w:tc>
          <w:tcPr>
            <w:tcW w:w="7144" w:type="dxa"/>
          </w:tcPr>
          <w:p w14:paraId="3D2CB4A4" w14:textId="77777777" w:rsidR="00375558" w:rsidRPr="00F4383F" w:rsidRDefault="00375558" w:rsidP="00060739">
            <w:pPr>
              <w:pStyle w:val="TableBlockOutdent"/>
              <w:rPr>
                <w:rtl/>
              </w:rPr>
            </w:pPr>
            <w:r>
              <w:rPr>
                <w:rFonts w:hint="cs"/>
                <w:rtl/>
              </w:rPr>
              <w:t>"</w:t>
            </w:r>
            <w:r w:rsidRPr="00F4383F">
              <w:rPr>
                <w:rFonts w:hint="cs"/>
                <w:rtl/>
              </w:rPr>
              <w:t>חוק המקרקעין</w:t>
            </w:r>
            <w:r>
              <w:rPr>
                <w:rFonts w:hint="cs"/>
                <w:rtl/>
              </w:rPr>
              <w:t xml:space="preserve">" </w:t>
            </w:r>
            <w:r w:rsidRPr="00F4383F">
              <w:rPr>
                <w:rtl/>
              </w:rPr>
              <w:t>–</w:t>
            </w:r>
            <w:r w:rsidRPr="00F4383F">
              <w:rPr>
                <w:rFonts w:hint="cs"/>
                <w:rtl/>
              </w:rPr>
              <w:t xml:space="preserve"> ח</w:t>
            </w:r>
            <w:r w:rsidRPr="00F4383F">
              <w:rPr>
                <w:rtl/>
              </w:rPr>
              <w:t xml:space="preserve">וק המקרקעין, </w:t>
            </w:r>
            <w:r w:rsidRPr="00F4383F">
              <w:rPr>
                <w:rFonts w:hint="cs"/>
                <w:rtl/>
              </w:rPr>
              <w:t>ה</w:t>
            </w:r>
            <w:r w:rsidRPr="00F4383F">
              <w:rPr>
                <w:rtl/>
              </w:rPr>
              <w:t>תשכ"ט–1969</w:t>
            </w:r>
            <w:r w:rsidRPr="00F4383F">
              <w:rPr>
                <w:vertAlign w:val="superscript"/>
                <w:rtl/>
              </w:rPr>
              <w:footnoteReference w:id="2"/>
            </w:r>
            <w:r w:rsidRPr="00F4383F">
              <w:rPr>
                <w:rFonts w:hint="cs"/>
                <w:rtl/>
              </w:rPr>
              <w:t>;</w:t>
            </w:r>
          </w:p>
        </w:tc>
      </w:tr>
      <w:tr w:rsidR="00375558" w14:paraId="6EC9A400" w14:textId="77777777" w:rsidTr="00060739">
        <w:trPr>
          <w:cantSplit/>
        </w:trPr>
        <w:tc>
          <w:tcPr>
            <w:tcW w:w="1870" w:type="dxa"/>
          </w:tcPr>
          <w:p w14:paraId="5879AEAE" w14:textId="77777777" w:rsidR="00375558" w:rsidRDefault="00375558" w:rsidP="00060739">
            <w:pPr>
              <w:pStyle w:val="TableSideHeading"/>
              <w:keepLines w:val="0"/>
              <w:rPr>
                <w:rtl/>
              </w:rPr>
            </w:pPr>
          </w:p>
        </w:tc>
        <w:tc>
          <w:tcPr>
            <w:tcW w:w="624" w:type="dxa"/>
          </w:tcPr>
          <w:p w14:paraId="4F2F4092" w14:textId="77777777" w:rsidR="00375558" w:rsidRDefault="00375558" w:rsidP="00060739">
            <w:pPr>
              <w:pStyle w:val="TableText"/>
              <w:rPr>
                <w:rtl/>
              </w:rPr>
            </w:pPr>
          </w:p>
        </w:tc>
        <w:tc>
          <w:tcPr>
            <w:tcW w:w="7144" w:type="dxa"/>
          </w:tcPr>
          <w:p w14:paraId="62CD0870" w14:textId="77777777" w:rsidR="00375558" w:rsidRPr="0066126D" w:rsidRDefault="00375558" w:rsidP="00060739">
            <w:pPr>
              <w:pStyle w:val="TableBlockOutdent"/>
              <w:rPr>
                <w:rtl/>
              </w:rPr>
            </w:pPr>
            <w:r w:rsidRPr="0066126D">
              <w:rPr>
                <w:rtl/>
              </w:rPr>
              <w:t xml:space="preserve">"חכירה לדורות" – </w:t>
            </w:r>
            <w:r>
              <w:rPr>
                <w:rFonts w:hint="cs"/>
                <w:rtl/>
              </w:rPr>
              <w:t>כהגדרתה</w:t>
            </w:r>
            <w:r w:rsidRPr="0066126D">
              <w:rPr>
                <w:rtl/>
              </w:rPr>
              <w:t xml:space="preserve"> בסעיף 3 לחוק המקרקעין</w:t>
            </w:r>
            <w:r w:rsidRPr="0066126D">
              <w:rPr>
                <w:rFonts w:hint="cs"/>
                <w:rtl/>
              </w:rPr>
              <w:t>;</w:t>
            </w:r>
          </w:p>
        </w:tc>
      </w:tr>
      <w:tr w:rsidR="00375558" w14:paraId="10259528" w14:textId="77777777" w:rsidTr="00060739">
        <w:trPr>
          <w:cantSplit/>
        </w:trPr>
        <w:tc>
          <w:tcPr>
            <w:tcW w:w="1870" w:type="dxa"/>
          </w:tcPr>
          <w:p w14:paraId="48A582BE" w14:textId="77777777" w:rsidR="00375558" w:rsidRDefault="00375558" w:rsidP="00060739">
            <w:pPr>
              <w:pStyle w:val="TableSideHeading"/>
              <w:keepLines w:val="0"/>
              <w:rPr>
                <w:rtl/>
              </w:rPr>
            </w:pPr>
          </w:p>
        </w:tc>
        <w:tc>
          <w:tcPr>
            <w:tcW w:w="624" w:type="dxa"/>
          </w:tcPr>
          <w:p w14:paraId="10959ED9" w14:textId="77777777" w:rsidR="00375558" w:rsidRDefault="00375558" w:rsidP="00060739">
            <w:pPr>
              <w:pStyle w:val="TableText"/>
              <w:rPr>
                <w:rtl/>
              </w:rPr>
            </w:pPr>
          </w:p>
        </w:tc>
        <w:tc>
          <w:tcPr>
            <w:tcW w:w="7144" w:type="dxa"/>
          </w:tcPr>
          <w:p w14:paraId="56FBACEB" w14:textId="77777777" w:rsidR="00375558" w:rsidRPr="0066126D" w:rsidRDefault="00375558" w:rsidP="00060739">
            <w:pPr>
              <w:pStyle w:val="TableBlockOutdent"/>
              <w:rPr>
                <w:rtl/>
              </w:rPr>
            </w:pPr>
            <w:r w:rsidRPr="0066126D">
              <w:rPr>
                <w:rtl/>
              </w:rPr>
              <w:t>"</w:t>
            </w:r>
            <w:r>
              <w:rPr>
                <w:rFonts w:hint="cs"/>
                <w:rtl/>
              </w:rPr>
              <w:t xml:space="preserve">חוכר </w:t>
            </w:r>
            <w:r w:rsidRPr="0066126D">
              <w:rPr>
                <w:rFonts w:hint="cs"/>
                <w:rtl/>
              </w:rPr>
              <w:t xml:space="preserve">לדורות" </w:t>
            </w:r>
            <w:r w:rsidRPr="0066126D">
              <w:rPr>
                <w:rtl/>
              </w:rPr>
              <w:t>–</w:t>
            </w:r>
            <w:r>
              <w:rPr>
                <w:rFonts w:hint="cs"/>
                <w:rtl/>
              </w:rPr>
              <w:t xml:space="preserve"> </w:t>
            </w:r>
            <w:r w:rsidRPr="0066126D">
              <w:rPr>
                <w:rFonts w:hint="cs"/>
                <w:rtl/>
              </w:rPr>
              <w:t>לרבות חוכר משנה;</w:t>
            </w:r>
          </w:p>
        </w:tc>
      </w:tr>
      <w:tr w:rsidR="00375558" w14:paraId="7B267EE5" w14:textId="77777777" w:rsidTr="00060739">
        <w:trPr>
          <w:cantSplit/>
        </w:trPr>
        <w:tc>
          <w:tcPr>
            <w:tcW w:w="1870" w:type="dxa"/>
          </w:tcPr>
          <w:p w14:paraId="0CD7D495" w14:textId="77777777" w:rsidR="00375558" w:rsidRDefault="00375558" w:rsidP="00060739">
            <w:pPr>
              <w:pStyle w:val="TableSideHeading"/>
              <w:keepLines w:val="0"/>
              <w:rPr>
                <w:rtl/>
              </w:rPr>
            </w:pPr>
          </w:p>
        </w:tc>
        <w:tc>
          <w:tcPr>
            <w:tcW w:w="624" w:type="dxa"/>
          </w:tcPr>
          <w:p w14:paraId="4F0322AF" w14:textId="77777777" w:rsidR="00375558" w:rsidRDefault="00375558" w:rsidP="00060739">
            <w:pPr>
              <w:pStyle w:val="TableText"/>
              <w:rPr>
                <w:rtl/>
              </w:rPr>
            </w:pPr>
          </w:p>
        </w:tc>
        <w:tc>
          <w:tcPr>
            <w:tcW w:w="7144" w:type="dxa"/>
          </w:tcPr>
          <w:p w14:paraId="46566326" w14:textId="77777777" w:rsidR="00375558" w:rsidRPr="0066126D" w:rsidRDefault="00375558" w:rsidP="00060739">
            <w:pPr>
              <w:pStyle w:val="TableBlockOutdent"/>
              <w:rPr>
                <w:rtl/>
              </w:rPr>
            </w:pPr>
            <w:r w:rsidRPr="0066126D">
              <w:rPr>
                <w:rFonts w:hint="cs"/>
                <w:rtl/>
              </w:rPr>
              <w:t>"</w:t>
            </w:r>
            <w:r w:rsidRPr="0066126D">
              <w:rPr>
                <w:rtl/>
              </w:rPr>
              <w:t>מקרקעין" – מקרקעין</w:t>
            </w:r>
            <w:r>
              <w:rPr>
                <w:rFonts w:hint="cs"/>
                <w:rtl/>
              </w:rPr>
              <w:t>, כהגדרתם בחוק המקרקעין,</w:t>
            </w:r>
            <w:r>
              <w:rPr>
                <w:rtl/>
              </w:rPr>
              <w:t xml:space="preserve"> עליהם בנוי לפחות מבנה אחד</w:t>
            </w:r>
            <w:r w:rsidRPr="0066126D">
              <w:rPr>
                <w:rtl/>
              </w:rPr>
              <w:t xml:space="preserve"> שנבנה לאחר שהמקרקעין הוחכרו לראשונה</w:t>
            </w:r>
            <w:r w:rsidRPr="0066126D">
              <w:rPr>
                <w:rFonts w:hint="cs"/>
                <w:rtl/>
              </w:rPr>
              <w:t>;</w:t>
            </w:r>
          </w:p>
        </w:tc>
      </w:tr>
      <w:tr w:rsidR="00375558" w14:paraId="7D0B49F4" w14:textId="77777777" w:rsidTr="00060739">
        <w:trPr>
          <w:cantSplit/>
        </w:trPr>
        <w:tc>
          <w:tcPr>
            <w:tcW w:w="1870" w:type="dxa"/>
          </w:tcPr>
          <w:p w14:paraId="0EDF0C15" w14:textId="77777777" w:rsidR="00375558" w:rsidRDefault="00375558" w:rsidP="00060739">
            <w:pPr>
              <w:pStyle w:val="TableSideHeading"/>
              <w:keepLines w:val="0"/>
              <w:rPr>
                <w:rtl/>
              </w:rPr>
            </w:pPr>
          </w:p>
        </w:tc>
        <w:tc>
          <w:tcPr>
            <w:tcW w:w="624" w:type="dxa"/>
          </w:tcPr>
          <w:p w14:paraId="1DDF42E5" w14:textId="77777777" w:rsidR="00375558" w:rsidRDefault="00375558" w:rsidP="00060739">
            <w:pPr>
              <w:pStyle w:val="TableText"/>
              <w:rPr>
                <w:rtl/>
              </w:rPr>
            </w:pPr>
          </w:p>
        </w:tc>
        <w:tc>
          <w:tcPr>
            <w:tcW w:w="7144" w:type="dxa"/>
          </w:tcPr>
          <w:p w14:paraId="191606B0" w14:textId="77777777" w:rsidR="00375558" w:rsidRPr="0066126D" w:rsidRDefault="00375558" w:rsidP="00060739">
            <w:pPr>
              <w:pStyle w:val="TableBlockOutdent"/>
              <w:rPr>
                <w:rtl/>
              </w:rPr>
            </w:pPr>
            <w:r w:rsidRPr="0066126D">
              <w:rPr>
                <w:rtl/>
              </w:rPr>
              <w:t>"עסקה" – הקניה של בעלות, חכירה לדורות או זכות קדימה במקרקעין</w:t>
            </w:r>
            <w:r>
              <w:rPr>
                <w:rFonts w:hint="cs"/>
                <w:rtl/>
              </w:rPr>
              <w:t>,</w:t>
            </w:r>
            <w:r w:rsidRPr="0066126D">
              <w:rPr>
                <w:rtl/>
              </w:rPr>
              <w:t xml:space="preserve"> כמשמעותם בחוק המקרקעין</w:t>
            </w:r>
            <w:r w:rsidRPr="0066126D">
              <w:rPr>
                <w:rFonts w:hint="cs"/>
                <w:rtl/>
              </w:rPr>
              <w:t>.</w:t>
            </w:r>
          </w:p>
        </w:tc>
      </w:tr>
      <w:tr w:rsidR="00375558" w14:paraId="03B6444E" w14:textId="77777777" w:rsidTr="00060739">
        <w:trPr>
          <w:cantSplit/>
        </w:trPr>
        <w:tc>
          <w:tcPr>
            <w:tcW w:w="1870" w:type="dxa"/>
          </w:tcPr>
          <w:p w14:paraId="35210270" w14:textId="77777777" w:rsidR="00375558" w:rsidRDefault="00375558" w:rsidP="00060739">
            <w:pPr>
              <w:pStyle w:val="TableSideHeading"/>
              <w:keepLines w:val="0"/>
              <w:rPr>
                <w:rtl/>
              </w:rPr>
            </w:pPr>
            <w:r>
              <w:rPr>
                <w:rFonts w:hint="cs"/>
                <w:rtl/>
              </w:rPr>
              <w:t>זכות קדימה לחוכר לדורות</w:t>
            </w:r>
          </w:p>
        </w:tc>
        <w:tc>
          <w:tcPr>
            <w:tcW w:w="624" w:type="dxa"/>
          </w:tcPr>
          <w:p w14:paraId="4E6752A3" w14:textId="77777777" w:rsidR="00375558" w:rsidRDefault="00375558" w:rsidP="00060739">
            <w:pPr>
              <w:pStyle w:val="TableText"/>
              <w:keepLines w:val="0"/>
              <w:rPr>
                <w:rtl/>
              </w:rPr>
            </w:pPr>
            <w:r>
              <w:rPr>
                <w:rFonts w:hint="cs"/>
                <w:rtl/>
              </w:rPr>
              <w:t xml:space="preserve">2. </w:t>
            </w:r>
          </w:p>
        </w:tc>
        <w:tc>
          <w:tcPr>
            <w:tcW w:w="7144" w:type="dxa"/>
          </w:tcPr>
          <w:p w14:paraId="6CDA09C9" w14:textId="77777777" w:rsidR="00375558" w:rsidRPr="008576D5" w:rsidRDefault="00375558" w:rsidP="00060739">
            <w:pPr>
              <w:pStyle w:val="TableBlock"/>
              <w:rPr>
                <w:rtl/>
              </w:rPr>
            </w:pPr>
            <w:r>
              <w:rPr>
                <w:rFonts w:hint="cs"/>
                <w:rtl/>
              </w:rPr>
              <w:t xml:space="preserve">לחוכר </w:t>
            </w:r>
            <w:r w:rsidRPr="006A404F">
              <w:rPr>
                <w:rtl/>
              </w:rPr>
              <w:t>לדורות תהיה זכות קדימה</w:t>
            </w:r>
            <w:r>
              <w:rPr>
                <w:rFonts w:hint="cs"/>
                <w:rtl/>
              </w:rPr>
              <w:t xml:space="preserve">, כמשמעותה בחוק המקרקעין, </w:t>
            </w:r>
            <w:r w:rsidRPr="002028AB">
              <w:rPr>
                <w:rFonts w:hint="cs"/>
                <w:rtl/>
              </w:rPr>
              <w:t xml:space="preserve">לגבי </w:t>
            </w:r>
            <w:r w:rsidRPr="002028AB">
              <w:rPr>
                <w:rtl/>
              </w:rPr>
              <w:t>כל עסקה</w:t>
            </w:r>
            <w:r>
              <w:rPr>
                <w:rFonts w:hint="cs"/>
                <w:rtl/>
              </w:rPr>
              <w:t xml:space="preserve"> במקרקעין ש</w:t>
            </w:r>
            <w:r w:rsidRPr="006A404F">
              <w:rPr>
                <w:rFonts w:hint="cs"/>
                <w:rtl/>
              </w:rPr>
              <w:t>אותם הוא חוכר</w:t>
            </w:r>
            <w:r>
              <w:rPr>
                <w:rFonts w:hint="cs"/>
                <w:rtl/>
              </w:rPr>
              <w:t>; זכות זו אינה ניתנת להתניה או לוויתור</w:t>
            </w:r>
            <w:r w:rsidRPr="006A404F">
              <w:rPr>
                <w:rtl/>
              </w:rPr>
              <w:t xml:space="preserve">. </w:t>
            </w:r>
          </w:p>
        </w:tc>
      </w:tr>
      <w:tr w:rsidR="00375558" w14:paraId="01D51440" w14:textId="77777777" w:rsidTr="00060739">
        <w:trPr>
          <w:cantSplit/>
        </w:trPr>
        <w:tc>
          <w:tcPr>
            <w:tcW w:w="1870" w:type="dxa"/>
          </w:tcPr>
          <w:p w14:paraId="0267278D" w14:textId="77777777" w:rsidR="00375558" w:rsidRDefault="00375558" w:rsidP="00060739">
            <w:pPr>
              <w:pStyle w:val="TableSideHeading"/>
              <w:keepLines w:val="0"/>
              <w:rPr>
                <w:rtl/>
              </w:rPr>
            </w:pPr>
            <w:r>
              <w:rPr>
                <w:rFonts w:hint="cs"/>
                <w:rtl/>
              </w:rPr>
              <w:t>הארכת הסכם חכירה</w:t>
            </w:r>
          </w:p>
        </w:tc>
        <w:tc>
          <w:tcPr>
            <w:tcW w:w="624" w:type="dxa"/>
          </w:tcPr>
          <w:p w14:paraId="4A64FD13" w14:textId="77777777" w:rsidR="00375558" w:rsidRDefault="00375558" w:rsidP="00060739">
            <w:pPr>
              <w:pStyle w:val="TableText"/>
              <w:rPr>
                <w:rtl/>
              </w:rPr>
            </w:pPr>
            <w:r>
              <w:rPr>
                <w:rFonts w:hint="cs"/>
                <w:rtl/>
              </w:rPr>
              <w:t>3.</w:t>
            </w:r>
            <w:bookmarkStart w:id="8" w:name="_GoBack"/>
            <w:bookmarkEnd w:id="8"/>
          </w:p>
        </w:tc>
        <w:tc>
          <w:tcPr>
            <w:tcW w:w="7144" w:type="dxa"/>
          </w:tcPr>
          <w:p w14:paraId="1F4DAC3B" w14:textId="77777777" w:rsidR="00375558" w:rsidRDefault="00375558" w:rsidP="00060739">
            <w:pPr>
              <w:pStyle w:val="TableBlock"/>
              <w:rPr>
                <w:rtl/>
              </w:rPr>
            </w:pPr>
            <w:r>
              <w:rPr>
                <w:rFonts w:hint="cs"/>
                <w:rtl/>
              </w:rPr>
              <w:t>(א)</w:t>
            </w:r>
            <w:r>
              <w:rPr>
                <w:rtl/>
              </w:rPr>
              <w:tab/>
              <w:t xml:space="preserve">בעל מקרקעין </w:t>
            </w:r>
            <w:r>
              <w:rPr>
                <w:rFonts w:hint="cs"/>
                <w:rtl/>
              </w:rPr>
              <w:t xml:space="preserve">ומחכיר לדורות של מקרקעין </w:t>
            </w:r>
            <w:r>
              <w:rPr>
                <w:rtl/>
              </w:rPr>
              <w:t xml:space="preserve">יאריך לבקשת חוכר לדורות את תקפו של הסכם </w:t>
            </w:r>
            <w:r>
              <w:rPr>
                <w:rFonts w:hint="cs"/>
                <w:rtl/>
              </w:rPr>
              <w:t>ה</w:t>
            </w:r>
            <w:r>
              <w:rPr>
                <w:rtl/>
              </w:rPr>
              <w:t>חכירה לדורות לתקופת חכירה זהה</w:t>
            </w:r>
            <w:r>
              <w:rPr>
                <w:rFonts w:hint="cs"/>
                <w:rtl/>
              </w:rPr>
              <w:t xml:space="preserve"> ובתנאים זהים לחוזה החכירה לדורות שמכוחו הוחכרו לראשונה; לבקשת חוכר לדורות תוארך תקופת החכירה עוד בטרם סיומה של תקופת החכירה שבתוקף</w:t>
            </w:r>
            <w:r>
              <w:rPr>
                <w:rtl/>
              </w:rPr>
              <w:t>.</w:t>
            </w:r>
          </w:p>
        </w:tc>
      </w:tr>
      <w:tr w:rsidR="00375558" w14:paraId="1DEEE9FA" w14:textId="77777777" w:rsidTr="00060739">
        <w:trPr>
          <w:cantSplit/>
        </w:trPr>
        <w:tc>
          <w:tcPr>
            <w:tcW w:w="1870" w:type="dxa"/>
          </w:tcPr>
          <w:p w14:paraId="6676934B" w14:textId="77777777" w:rsidR="00375558" w:rsidRDefault="00375558" w:rsidP="00060739">
            <w:pPr>
              <w:pStyle w:val="TableSideHeading"/>
              <w:keepLines w:val="0"/>
              <w:rPr>
                <w:rtl/>
              </w:rPr>
            </w:pPr>
          </w:p>
        </w:tc>
        <w:tc>
          <w:tcPr>
            <w:tcW w:w="624" w:type="dxa"/>
          </w:tcPr>
          <w:p w14:paraId="6DFD9F5A" w14:textId="77777777" w:rsidR="00375558" w:rsidRDefault="00375558" w:rsidP="00060739">
            <w:pPr>
              <w:pStyle w:val="TableText"/>
              <w:keepLines w:val="0"/>
              <w:rPr>
                <w:rtl/>
              </w:rPr>
            </w:pPr>
          </w:p>
        </w:tc>
        <w:tc>
          <w:tcPr>
            <w:tcW w:w="7144" w:type="dxa"/>
          </w:tcPr>
          <w:p w14:paraId="35D7413F" w14:textId="77777777" w:rsidR="00375558" w:rsidRPr="006A404F" w:rsidRDefault="00375558" w:rsidP="00060739">
            <w:pPr>
              <w:pStyle w:val="TableBlock"/>
              <w:rPr>
                <w:rtl/>
              </w:rPr>
            </w:pPr>
            <w:r w:rsidRPr="0066126D">
              <w:rPr>
                <w:rFonts w:hint="cs"/>
                <w:rtl/>
              </w:rPr>
              <w:t>(</w:t>
            </w:r>
            <w:r>
              <w:rPr>
                <w:rFonts w:hint="cs"/>
                <w:rtl/>
              </w:rPr>
              <w:t>ב</w:t>
            </w:r>
            <w:r w:rsidRPr="0066126D">
              <w:rPr>
                <w:rFonts w:hint="cs"/>
                <w:rtl/>
              </w:rPr>
              <w:t>)</w:t>
            </w:r>
            <w:r>
              <w:rPr>
                <w:rtl/>
              </w:rPr>
              <w:tab/>
            </w:r>
            <w:r w:rsidRPr="00CF6127">
              <w:rPr>
                <w:rtl/>
              </w:rPr>
              <w:t>ש</w:t>
            </w:r>
            <w:r w:rsidRPr="00CF6127">
              <w:rPr>
                <w:rFonts w:hint="cs"/>
                <w:rtl/>
              </w:rPr>
              <w:t>י</w:t>
            </w:r>
            <w:r w:rsidRPr="00CF6127">
              <w:rPr>
                <w:rtl/>
              </w:rPr>
              <w:t xml:space="preserve">עור דמי החכירה </w:t>
            </w:r>
            <w:r>
              <w:rPr>
                <w:rFonts w:hint="cs"/>
                <w:rtl/>
              </w:rPr>
              <w:t xml:space="preserve">עבור תקופת ההארכה כאמור בסעיף קטן (א) </w:t>
            </w:r>
            <w:r w:rsidRPr="00CF6127">
              <w:rPr>
                <w:rtl/>
              </w:rPr>
              <w:t xml:space="preserve">יהיה 5.5% </w:t>
            </w:r>
            <w:r w:rsidRPr="00CF6127">
              <w:rPr>
                <w:rFonts w:hint="cs"/>
                <w:rtl/>
              </w:rPr>
              <w:t xml:space="preserve">מערך </w:t>
            </w:r>
            <w:r>
              <w:rPr>
                <w:rFonts w:hint="cs"/>
                <w:rtl/>
              </w:rPr>
              <w:t xml:space="preserve">המקרקעין כשהם </w:t>
            </w:r>
            <w:r w:rsidRPr="00CF6127">
              <w:rPr>
                <w:rtl/>
              </w:rPr>
              <w:t>ריק</w:t>
            </w:r>
            <w:r>
              <w:rPr>
                <w:rFonts w:hint="cs"/>
                <w:rtl/>
              </w:rPr>
              <w:t>ים</w:t>
            </w:r>
            <w:r>
              <w:rPr>
                <w:rtl/>
              </w:rPr>
              <w:t xml:space="preserve"> ופנוי</w:t>
            </w:r>
            <w:r>
              <w:rPr>
                <w:rFonts w:hint="cs"/>
                <w:rtl/>
              </w:rPr>
              <w:t>ים</w:t>
            </w:r>
            <w:r w:rsidRPr="00CF6127">
              <w:rPr>
                <w:rtl/>
              </w:rPr>
              <w:t xml:space="preserve"> ללא ערך הבנוי עלי</w:t>
            </w:r>
            <w:r>
              <w:rPr>
                <w:rFonts w:hint="cs"/>
                <w:rtl/>
              </w:rPr>
              <w:t>הם</w:t>
            </w:r>
            <w:r w:rsidRPr="00CF6127">
              <w:rPr>
                <w:rtl/>
              </w:rPr>
              <w:t xml:space="preserve"> וללא הוצאות פיתוח</w:t>
            </w:r>
            <w:r w:rsidRPr="00002D5F">
              <w:rPr>
                <w:rFonts w:hint="cs"/>
                <w:rtl/>
              </w:rPr>
              <w:t>.</w:t>
            </w:r>
          </w:p>
        </w:tc>
      </w:tr>
      <w:tr w:rsidR="00375558" w14:paraId="3AB7707E" w14:textId="77777777" w:rsidTr="00060739">
        <w:trPr>
          <w:cantSplit/>
        </w:trPr>
        <w:tc>
          <w:tcPr>
            <w:tcW w:w="1870" w:type="dxa"/>
          </w:tcPr>
          <w:p w14:paraId="7192D85C" w14:textId="77777777" w:rsidR="00375558" w:rsidRDefault="00375558" w:rsidP="00060739">
            <w:pPr>
              <w:pStyle w:val="TableSideHeading"/>
              <w:keepLines w:val="0"/>
              <w:rPr>
                <w:rtl/>
              </w:rPr>
            </w:pPr>
            <w:r>
              <w:rPr>
                <w:rFonts w:hint="cs"/>
                <w:rtl/>
              </w:rPr>
              <w:lastRenderedPageBreak/>
              <w:t>מיסוי</w:t>
            </w:r>
          </w:p>
        </w:tc>
        <w:tc>
          <w:tcPr>
            <w:tcW w:w="624" w:type="dxa"/>
          </w:tcPr>
          <w:p w14:paraId="298338A2" w14:textId="77777777" w:rsidR="00375558" w:rsidRDefault="00375558" w:rsidP="00060739">
            <w:pPr>
              <w:pStyle w:val="TableText"/>
              <w:keepLines w:val="0"/>
              <w:rPr>
                <w:rtl/>
              </w:rPr>
            </w:pPr>
            <w:r>
              <w:rPr>
                <w:rFonts w:hint="cs"/>
                <w:rtl/>
              </w:rPr>
              <w:t>4.</w:t>
            </w:r>
          </w:p>
        </w:tc>
        <w:tc>
          <w:tcPr>
            <w:tcW w:w="7144" w:type="dxa"/>
          </w:tcPr>
          <w:p w14:paraId="2A207864" w14:textId="77777777" w:rsidR="00375558" w:rsidRPr="006A404F" w:rsidRDefault="00375558" w:rsidP="00060739">
            <w:pPr>
              <w:pStyle w:val="TableBlock"/>
              <w:rPr>
                <w:rtl/>
              </w:rPr>
            </w:pPr>
            <w:r>
              <w:rPr>
                <w:rFonts w:hint="cs"/>
                <w:rtl/>
              </w:rPr>
              <w:t>לא יראו ב</w:t>
            </w:r>
            <w:r w:rsidRPr="0066126D">
              <w:rPr>
                <w:rtl/>
              </w:rPr>
              <w:t>הארכת חכירה לדורות</w:t>
            </w:r>
            <w:r>
              <w:rPr>
                <w:rFonts w:hint="cs"/>
                <w:rtl/>
              </w:rPr>
              <w:t xml:space="preserve">, </w:t>
            </w:r>
            <w:r w:rsidRPr="0066126D">
              <w:rPr>
                <w:rtl/>
              </w:rPr>
              <w:t>מכיר</w:t>
            </w:r>
            <w:r w:rsidRPr="0066126D">
              <w:rPr>
                <w:rFonts w:hint="cs"/>
                <w:rtl/>
              </w:rPr>
              <w:t>ה</w:t>
            </w:r>
            <w:r>
              <w:rPr>
                <w:rFonts w:hint="cs"/>
                <w:rtl/>
              </w:rPr>
              <w:t xml:space="preserve"> או </w:t>
            </w:r>
            <w:r w:rsidRPr="0066126D">
              <w:rPr>
                <w:rtl/>
              </w:rPr>
              <w:t>רכיש</w:t>
            </w:r>
            <w:r w:rsidRPr="0066126D">
              <w:rPr>
                <w:rFonts w:hint="cs"/>
                <w:rtl/>
              </w:rPr>
              <w:t>ה</w:t>
            </w:r>
            <w:r>
              <w:rPr>
                <w:rFonts w:hint="cs"/>
                <w:rtl/>
              </w:rPr>
              <w:t xml:space="preserve"> </w:t>
            </w:r>
            <w:r w:rsidRPr="0066126D">
              <w:rPr>
                <w:rFonts w:hint="cs"/>
                <w:rtl/>
              </w:rPr>
              <w:t xml:space="preserve">של </w:t>
            </w:r>
            <w:r w:rsidRPr="0066126D">
              <w:rPr>
                <w:rtl/>
              </w:rPr>
              <w:t>בעלות במקרקעין במסגרת מימוש זכות קדימה</w:t>
            </w:r>
            <w:r>
              <w:rPr>
                <w:rFonts w:hint="cs"/>
                <w:rtl/>
              </w:rPr>
              <w:t>,</w:t>
            </w:r>
            <w:r w:rsidRPr="0066126D">
              <w:rPr>
                <w:rtl/>
              </w:rPr>
              <w:t xml:space="preserve"> מכירת </w:t>
            </w:r>
            <w:r w:rsidRPr="00002D5F">
              <w:rPr>
                <w:rFonts w:hint="cs"/>
                <w:rtl/>
              </w:rPr>
              <w:t>או רכישת</w:t>
            </w:r>
            <w:r>
              <w:rPr>
                <w:rFonts w:hint="cs"/>
                <w:rtl/>
              </w:rPr>
              <w:t xml:space="preserve"> </w:t>
            </w:r>
            <w:r w:rsidRPr="0066126D">
              <w:rPr>
                <w:rtl/>
              </w:rPr>
              <w:t xml:space="preserve">זכות במקרקעין לעניין חוק מיסוי מקרקעין (שבח ורכישה), </w:t>
            </w:r>
            <w:r>
              <w:rPr>
                <w:rFonts w:hint="cs"/>
                <w:rtl/>
              </w:rPr>
              <w:t>ה</w:t>
            </w:r>
            <w:r w:rsidRPr="0066126D">
              <w:rPr>
                <w:rtl/>
              </w:rPr>
              <w:t>תשכ"ג</w:t>
            </w:r>
            <w:r>
              <w:rPr>
                <w:rtl/>
              </w:rPr>
              <w:t>–</w:t>
            </w:r>
            <w:r w:rsidRPr="0066126D">
              <w:rPr>
                <w:rtl/>
              </w:rPr>
              <w:t>1963</w:t>
            </w:r>
            <w:r>
              <w:rPr>
                <w:rStyle w:val="a6"/>
                <w:rtl/>
              </w:rPr>
              <w:footnoteReference w:id="3"/>
            </w:r>
            <w:r w:rsidRPr="0066126D">
              <w:rPr>
                <w:rtl/>
              </w:rPr>
              <w:t xml:space="preserve">. </w:t>
            </w:r>
          </w:p>
        </w:tc>
      </w:tr>
      <w:tr w:rsidR="00375558" w14:paraId="0DC2A13F" w14:textId="77777777" w:rsidTr="00060739">
        <w:trPr>
          <w:cantSplit/>
        </w:trPr>
        <w:tc>
          <w:tcPr>
            <w:tcW w:w="1870" w:type="dxa"/>
          </w:tcPr>
          <w:p w14:paraId="2A635549" w14:textId="77777777" w:rsidR="00375558" w:rsidRDefault="00375558" w:rsidP="00060739">
            <w:pPr>
              <w:pStyle w:val="TableSideHeading"/>
              <w:keepLines w:val="0"/>
              <w:rPr>
                <w:rtl/>
              </w:rPr>
            </w:pPr>
            <w:r>
              <w:rPr>
                <w:rFonts w:hint="cs"/>
                <w:rtl/>
              </w:rPr>
              <w:t>תחולה</w:t>
            </w:r>
          </w:p>
        </w:tc>
        <w:tc>
          <w:tcPr>
            <w:tcW w:w="624" w:type="dxa"/>
          </w:tcPr>
          <w:p w14:paraId="3FCB9E3F" w14:textId="77777777" w:rsidR="00375558" w:rsidRPr="00002D5F" w:rsidRDefault="00375558" w:rsidP="00060739">
            <w:pPr>
              <w:pStyle w:val="TableText"/>
              <w:keepLines w:val="0"/>
              <w:rPr>
                <w:rtl/>
              </w:rPr>
            </w:pPr>
            <w:r>
              <w:rPr>
                <w:rFonts w:hint="cs"/>
                <w:rtl/>
              </w:rPr>
              <w:t>5</w:t>
            </w:r>
            <w:r w:rsidRPr="00002D5F">
              <w:rPr>
                <w:rFonts w:hint="cs"/>
                <w:rtl/>
              </w:rPr>
              <w:t xml:space="preserve">. </w:t>
            </w:r>
          </w:p>
        </w:tc>
        <w:tc>
          <w:tcPr>
            <w:tcW w:w="7144" w:type="dxa"/>
          </w:tcPr>
          <w:p w14:paraId="0182B0BB" w14:textId="77777777" w:rsidR="00375558" w:rsidRPr="00002D5F" w:rsidRDefault="00375558" w:rsidP="00060739">
            <w:pPr>
              <w:pStyle w:val="TableBlock"/>
              <w:rPr>
                <w:rtl/>
              </w:rPr>
            </w:pPr>
            <w:r>
              <w:rPr>
                <w:rFonts w:hint="cs"/>
                <w:rtl/>
              </w:rPr>
              <w:t>תנאי בחוזה חכירה לדורות, לרבות ב</w:t>
            </w:r>
            <w:r w:rsidRPr="00002D5F">
              <w:rPr>
                <w:rFonts w:hint="cs"/>
                <w:rtl/>
              </w:rPr>
              <w:t>חוזה חכירה לדורות שנכרת לפני פרסומו של חוק זה</w:t>
            </w:r>
            <w:r>
              <w:rPr>
                <w:rFonts w:hint="cs"/>
                <w:rtl/>
              </w:rPr>
              <w:t xml:space="preserve">, הנוגד את הוראות חוק זה </w:t>
            </w:r>
            <w:r>
              <w:rPr>
                <w:rtl/>
              </w:rPr>
              <w:t>–</w:t>
            </w:r>
            <w:r>
              <w:rPr>
                <w:rFonts w:hint="cs"/>
                <w:rtl/>
              </w:rPr>
              <w:t xml:space="preserve"> בטל; זכותו של חוכר לפי חוק זה אינה ניתנת להתניה או לוויתור</w:t>
            </w:r>
            <w:r w:rsidRPr="00002D5F">
              <w:rPr>
                <w:rFonts w:hint="cs"/>
                <w:rtl/>
              </w:rPr>
              <w:t>.</w:t>
            </w:r>
          </w:p>
        </w:tc>
      </w:tr>
      <w:tr w:rsidR="00375558" w14:paraId="34C8175A" w14:textId="77777777" w:rsidTr="00060739">
        <w:trPr>
          <w:cantSplit/>
        </w:trPr>
        <w:tc>
          <w:tcPr>
            <w:tcW w:w="1870" w:type="dxa"/>
          </w:tcPr>
          <w:p w14:paraId="7EB0A0E9" w14:textId="77777777" w:rsidR="00375558" w:rsidRDefault="00375558" w:rsidP="00060739">
            <w:pPr>
              <w:pStyle w:val="TableSideHeading"/>
              <w:keepLines w:val="0"/>
              <w:rPr>
                <w:rtl/>
              </w:rPr>
            </w:pPr>
            <w:r>
              <w:rPr>
                <w:rFonts w:hint="cs"/>
                <w:rtl/>
              </w:rPr>
              <w:t>תקנות</w:t>
            </w:r>
          </w:p>
        </w:tc>
        <w:tc>
          <w:tcPr>
            <w:tcW w:w="624" w:type="dxa"/>
          </w:tcPr>
          <w:p w14:paraId="591A0ABC" w14:textId="77777777" w:rsidR="00375558" w:rsidRDefault="00375558" w:rsidP="00060739">
            <w:pPr>
              <w:pStyle w:val="TableText"/>
              <w:keepLines w:val="0"/>
              <w:rPr>
                <w:rtl/>
              </w:rPr>
            </w:pPr>
            <w:r>
              <w:rPr>
                <w:rFonts w:hint="cs"/>
                <w:rtl/>
              </w:rPr>
              <w:t>6.</w:t>
            </w:r>
          </w:p>
        </w:tc>
        <w:tc>
          <w:tcPr>
            <w:tcW w:w="7144" w:type="dxa"/>
          </w:tcPr>
          <w:p w14:paraId="571AA8BC" w14:textId="77777777" w:rsidR="00375558" w:rsidRPr="006A404F" w:rsidRDefault="00375558" w:rsidP="00060739">
            <w:pPr>
              <w:pStyle w:val="TableBlock"/>
              <w:rPr>
                <w:rtl/>
              </w:rPr>
            </w:pPr>
            <w:r w:rsidRPr="0066126D">
              <w:rPr>
                <w:rFonts w:hint="cs"/>
                <w:rtl/>
              </w:rPr>
              <w:t xml:space="preserve">שר המשפטים יתקין תקנות </w:t>
            </w:r>
            <w:r w:rsidRPr="0066126D">
              <w:rPr>
                <w:rFonts w:hint="eastAsia"/>
                <w:rtl/>
              </w:rPr>
              <w:t>לביצוע</w:t>
            </w:r>
            <w:r>
              <w:rPr>
                <w:rFonts w:hint="cs"/>
                <w:rtl/>
              </w:rPr>
              <w:t xml:space="preserve"> </w:t>
            </w:r>
            <w:r w:rsidRPr="0066126D">
              <w:rPr>
                <w:rFonts w:hint="cs"/>
                <w:rtl/>
              </w:rPr>
              <w:t xml:space="preserve">חוק זה. </w:t>
            </w:r>
          </w:p>
        </w:tc>
      </w:tr>
      <w:tr w:rsidR="00375558" w14:paraId="027F68AA" w14:textId="77777777" w:rsidTr="00060739">
        <w:trPr>
          <w:cantSplit/>
        </w:trPr>
        <w:tc>
          <w:tcPr>
            <w:tcW w:w="1870" w:type="dxa"/>
          </w:tcPr>
          <w:p w14:paraId="7B34B67A" w14:textId="77777777" w:rsidR="00375558" w:rsidRDefault="00375558" w:rsidP="00060739">
            <w:pPr>
              <w:pStyle w:val="TableSideHeading"/>
              <w:keepLines w:val="0"/>
              <w:rPr>
                <w:rtl/>
              </w:rPr>
            </w:pPr>
            <w:r>
              <w:rPr>
                <w:rFonts w:hint="cs"/>
                <w:rtl/>
              </w:rPr>
              <w:t>החרגה מהחוק</w:t>
            </w:r>
          </w:p>
        </w:tc>
        <w:tc>
          <w:tcPr>
            <w:tcW w:w="624" w:type="dxa"/>
          </w:tcPr>
          <w:p w14:paraId="30495DE8" w14:textId="77777777" w:rsidR="00375558" w:rsidRDefault="00375558" w:rsidP="00060739">
            <w:pPr>
              <w:pStyle w:val="TableText"/>
              <w:keepLines w:val="0"/>
              <w:rPr>
                <w:rtl/>
              </w:rPr>
            </w:pPr>
            <w:r>
              <w:rPr>
                <w:rFonts w:hint="cs"/>
                <w:rtl/>
              </w:rPr>
              <w:t>7.</w:t>
            </w:r>
          </w:p>
        </w:tc>
        <w:tc>
          <w:tcPr>
            <w:tcW w:w="7144" w:type="dxa"/>
          </w:tcPr>
          <w:p w14:paraId="09A4633A" w14:textId="77777777" w:rsidR="00375558" w:rsidRPr="006A404F" w:rsidRDefault="00375558" w:rsidP="00060739">
            <w:pPr>
              <w:pStyle w:val="TableBlock"/>
              <w:rPr>
                <w:rtl/>
              </w:rPr>
            </w:pPr>
            <w:r w:rsidRPr="0066126D">
              <w:rPr>
                <w:rtl/>
              </w:rPr>
              <w:t xml:space="preserve">שר המשפטים </w:t>
            </w:r>
            <w:r w:rsidRPr="0066126D">
              <w:rPr>
                <w:rFonts w:hint="cs"/>
                <w:rtl/>
              </w:rPr>
              <w:t>יהיה רשאי</w:t>
            </w:r>
            <w:r>
              <w:rPr>
                <w:rFonts w:hint="cs"/>
                <w:rtl/>
              </w:rPr>
              <w:t xml:space="preserve"> להתקין </w:t>
            </w:r>
            <w:r w:rsidRPr="0066126D">
              <w:rPr>
                <w:rtl/>
              </w:rPr>
              <w:t>תקנות</w:t>
            </w:r>
            <w:r>
              <w:rPr>
                <w:rFonts w:hint="cs"/>
                <w:rtl/>
              </w:rPr>
              <w:t xml:space="preserve"> המחריגות </w:t>
            </w:r>
            <w:r w:rsidRPr="0066126D">
              <w:rPr>
                <w:rFonts w:hint="cs"/>
                <w:rtl/>
              </w:rPr>
              <w:t>מ</w:t>
            </w:r>
            <w:r w:rsidRPr="0066126D">
              <w:rPr>
                <w:rtl/>
              </w:rPr>
              <w:t>תחולת החוק</w:t>
            </w:r>
            <w:r>
              <w:rPr>
                <w:rFonts w:hint="cs"/>
                <w:rtl/>
              </w:rPr>
              <w:t xml:space="preserve"> </w:t>
            </w:r>
            <w:r w:rsidRPr="0066126D">
              <w:rPr>
                <w:rtl/>
              </w:rPr>
              <w:t xml:space="preserve">מקרקעין </w:t>
            </w:r>
            <w:r>
              <w:rPr>
                <w:rFonts w:hint="cs"/>
                <w:rtl/>
              </w:rPr>
              <w:t xml:space="preserve">שביום פרסום החוק הם בבעלות גופים ציבוריים, וזאת </w:t>
            </w:r>
            <w:r w:rsidRPr="0066126D">
              <w:rPr>
                <w:rtl/>
              </w:rPr>
              <w:t>מטעמים של טובת הציבור.</w:t>
            </w:r>
          </w:p>
        </w:tc>
      </w:tr>
    </w:tbl>
    <w:p w14:paraId="6CDEE4E6" w14:textId="77777777" w:rsidR="00375558" w:rsidRDefault="00375558" w:rsidP="00375558">
      <w:pPr>
        <w:pStyle w:val="HeadDivreiHesber"/>
        <w:spacing w:before="0" w:after="0"/>
        <w:rPr>
          <w:rtl/>
        </w:rPr>
      </w:pPr>
    </w:p>
    <w:p w14:paraId="3E002CAA" w14:textId="77777777" w:rsidR="00375558" w:rsidRDefault="00375558" w:rsidP="00375558">
      <w:pPr>
        <w:pStyle w:val="HeadDivreiHesber"/>
        <w:rPr>
          <w:rtl/>
        </w:rPr>
      </w:pPr>
      <w:r w:rsidRPr="0027450A">
        <w:rPr>
          <w:rFonts w:hint="cs"/>
          <w:rtl/>
        </w:rPr>
        <w:t>דברי הסבר</w:t>
      </w:r>
    </w:p>
    <w:p w14:paraId="27BE4FE6" w14:textId="77777777" w:rsidR="00375558" w:rsidRPr="00886C15" w:rsidRDefault="00375558" w:rsidP="00375558">
      <w:pPr>
        <w:pStyle w:val="Hesber1st"/>
        <w:tabs>
          <w:tab w:val="clear" w:pos="680"/>
        </w:tabs>
        <w:rPr>
          <w:rtl/>
        </w:rPr>
      </w:pPr>
      <w:r w:rsidRPr="00886C15">
        <w:rPr>
          <w:rtl/>
        </w:rPr>
        <w:t>מאז הקמת המדינה ועד העשור הראשון של שנות ה-2000 לא ניתן היה לרכוש בעלות ברוב המקרקעין במדינה (93% מהקרקעות במדינה נוהלו ע</w:t>
      </w:r>
      <w:r w:rsidRPr="00886C15">
        <w:rPr>
          <w:rFonts w:hint="cs"/>
          <w:rtl/>
        </w:rPr>
        <w:t xml:space="preserve">ל </w:t>
      </w:r>
      <w:r w:rsidRPr="00886C15">
        <w:rPr>
          <w:rtl/>
        </w:rPr>
        <w:t>י</w:t>
      </w:r>
      <w:r w:rsidRPr="00886C15">
        <w:rPr>
          <w:rFonts w:hint="cs"/>
          <w:rtl/>
        </w:rPr>
        <w:t>די</w:t>
      </w:r>
      <w:r w:rsidRPr="00886C15">
        <w:rPr>
          <w:rtl/>
        </w:rPr>
        <w:t xml:space="preserve"> מנהל מקרקעי ישראל</w:t>
      </w:r>
      <w:r>
        <w:rPr>
          <w:rFonts w:hint="cs"/>
          <w:rtl/>
        </w:rPr>
        <w:t xml:space="preserve"> </w:t>
      </w:r>
      <w:r w:rsidRPr="00886C15">
        <w:rPr>
          <w:rtl/>
        </w:rPr>
        <w:t>שלא אפשר רכישת בעלות בהן). במקום בעלות בקרקע רשויות המדינה נתנו לרוכשים זכות חכירה לדורות בבתיהם לתקופות ארוכות של 49 שנים עם זכות להאריך את החכירה בתקופה דומה. רוב בעלי המבנים במדינה היו חוכרים לדורות, והתפיסה שהתקבעה בציבור הייתה שדין החוכרים כדין בעלים. תפיסה זו התבססה לא רק על העדר אפשרות לרכוש בעלות, ועל</w:t>
      </w:r>
      <w:r>
        <w:rPr>
          <w:rFonts w:hint="cs"/>
          <w:rtl/>
        </w:rPr>
        <w:t xml:space="preserve"> </w:t>
      </w:r>
      <w:r w:rsidRPr="00886C15">
        <w:rPr>
          <w:rtl/>
        </w:rPr>
        <w:t>כך שתקופת החכירה הייתה ארוכה, אלא גם על כך שהמחיר ששולם עבור מקרקעין בחכירה לדורות היה שווה למחיר ששולם למקרקעין שהיו בבעלות פרטית. ביטוי מובהק לתפיסה שיש לראות בחוכר בעליה של הקרקע בא לידי ביטוי ברפורמה ברשות מקרקעי ישראל בעשור הראשון של שנות ה-2000. במסגרת הרפורמה המדינה המירה לחוכרים בקרקעות עירוניות שבבעלותה את זכויות החכירה בזכות בעלות</w:t>
      </w:r>
      <w:r>
        <w:rPr>
          <w:rFonts w:hint="cs"/>
          <w:rtl/>
        </w:rPr>
        <w:t>,</w:t>
      </w:r>
      <w:r w:rsidRPr="00886C15">
        <w:rPr>
          <w:rtl/>
        </w:rPr>
        <w:t xml:space="preserve"> וזאת ללא גביית תמורה כלשהי. גם בפסיקת בתי המשפט החוכרים לא נתפסו כשוכרים רגילים. בתי המשפט קבעו שזכות החכירה לדורות היא זכות קניינית, שהציפייה של החוכרים היא שגם בתום תקופת החכירה הם יישארו חוכרי הקרקע, שזכות החכירה לדורות היא עבירה ועוד זכויות הנובעות מתפישה שחכירה לדורות כמוה כבעלות והיא שונה משכירות.</w:t>
      </w:r>
    </w:p>
    <w:p w14:paraId="4B0BF1BC" w14:textId="77777777" w:rsidR="00375558" w:rsidRPr="0090407E" w:rsidRDefault="00375558" w:rsidP="00375558">
      <w:pPr>
        <w:pStyle w:val="Hesber"/>
        <w:rPr>
          <w:rtl/>
        </w:rPr>
      </w:pPr>
      <w:r w:rsidRPr="0090407E">
        <w:rPr>
          <w:rtl/>
        </w:rPr>
        <w:t>לא כל המקרקעין שהוחכרו בחכירה לדורות היו בבעלות המדינה. המדינה החכירה בחכירת משנה גם קרקעות שהיא עצמה חכרה, ובמקביל להחכרה בחכירת משנה היו גם גופים פרטיים שהחכירו קרקעות בבעלותם לחברות בנייה. על הקרקעות שהוחכרו</w:t>
      </w:r>
      <w:r>
        <w:rPr>
          <w:rFonts w:hint="cs"/>
          <w:rtl/>
        </w:rPr>
        <w:t>,</w:t>
      </w:r>
      <w:r w:rsidRPr="0090407E">
        <w:rPr>
          <w:rtl/>
        </w:rPr>
        <w:t xml:space="preserve"> בנו החוכרים עצמם או חברות בנייה את המבנים שהוקמו. לא המדינה ולא בעלי הקרקעות (הם המחכירים) שילמו עבור פיתוח הקרקע ובניית המבנים. </w:t>
      </w:r>
    </w:p>
    <w:p w14:paraId="2445A891" w14:textId="77777777" w:rsidR="00375558" w:rsidRPr="0090407E" w:rsidRDefault="00375558" w:rsidP="00375558">
      <w:pPr>
        <w:pStyle w:val="Hesber"/>
        <w:rPr>
          <w:rtl/>
        </w:rPr>
      </w:pPr>
      <w:r w:rsidRPr="0090407E">
        <w:rPr>
          <w:rtl/>
        </w:rPr>
        <w:t>הרפורמה בקרקעות העירוניות של המדינה בעשור הראשון של שנות ה-2000 פסחה על הקרקעות שאינן בבעלות המדינה</w:t>
      </w:r>
      <w:r w:rsidRPr="0090407E">
        <w:rPr>
          <w:rFonts w:hint="cs"/>
          <w:rtl/>
        </w:rPr>
        <w:t>,</w:t>
      </w:r>
      <w:r>
        <w:rPr>
          <w:rFonts w:hint="cs"/>
          <w:rtl/>
        </w:rPr>
        <w:t xml:space="preserve"> </w:t>
      </w:r>
      <w:r w:rsidRPr="0090407E">
        <w:rPr>
          <w:rFonts w:hint="cs"/>
          <w:rtl/>
        </w:rPr>
        <w:t>ו</w:t>
      </w:r>
      <w:r w:rsidRPr="0090407E">
        <w:rPr>
          <w:rtl/>
        </w:rPr>
        <w:t>המדינה לא הסדירה את מצב החוכרים בהם.</w:t>
      </w:r>
      <w:r w:rsidRPr="0090407E">
        <w:rPr>
          <w:rFonts w:hint="cs"/>
          <w:rtl/>
        </w:rPr>
        <w:t xml:space="preserve"> במקרים אלו </w:t>
      </w:r>
      <w:r w:rsidRPr="0090407E">
        <w:rPr>
          <w:rtl/>
        </w:rPr>
        <w:t xml:space="preserve">נכנסו סוחרי קרקעות </w:t>
      </w:r>
      <w:r w:rsidRPr="0090407E">
        <w:rPr>
          <w:rFonts w:hint="cs"/>
          <w:rtl/>
        </w:rPr>
        <w:t>שרכשו</w:t>
      </w:r>
      <w:r w:rsidRPr="0090407E">
        <w:rPr>
          <w:rtl/>
        </w:rPr>
        <w:t xml:space="preserve"> את הבעלות בקרקעות הנ"ל</w:t>
      </w:r>
      <w:r w:rsidRPr="0090407E">
        <w:rPr>
          <w:rFonts w:hint="cs"/>
          <w:rtl/>
        </w:rPr>
        <w:t>,</w:t>
      </w:r>
      <w:r>
        <w:rPr>
          <w:rFonts w:hint="cs"/>
          <w:rtl/>
        </w:rPr>
        <w:t xml:space="preserve"> </w:t>
      </w:r>
      <w:r w:rsidRPr="0090407E">
        <w:rPr>
          <w:rFonts w:hint="cs"/>
          <w:rtl/>
        </w:rPr>
        <w:t>ו</w:t>
      </w:r>
      <w:r w:rsidRPr="0090407E">
        <w:rPr>
          <w:rtl/>
        </w:rPr>
        <w:t xml:space="preserve">מיד עם רכישת הבעלות </w:t>
      </w:r>
      <w:r w:rsidRPr="0090407E">
        <w:rPr>
          <w:rFonts w:hint="cs"/>
          <w:rtl/>
        </w:rPr>
        <w:t xml:space="preserve">באו בדרישות של תשלום סכומי עתק </w:t>
      </w:r>
      <w:r w:rsidRPr="0090407E">
        <w:rPr>
          <w:rtl/>
        </w:rPr>
        <w:t xml:space="preserve">כנגד הארכת החכירה או הקניית הבעלות.  </w:t>
      </w:r>
    </w:p>
    <w:p w14:paraId="1F609267" w14:textId="77777777" w:rsidR="00375558" w:rsidRPr="0090407E" w:rsidRDefault="00375558" w:rsidP="00375558">
      <w:pPr>
        <w:pStyle w:val="Hesber"/>
        <w:rPr>
          <w:rtl/>
        </w:rPr>
      </w:pPr>
      <w:r w:rsidRPr="001F32C7">
        <w:rPr>
          <w:rtl/>
        </w:rPr>
        <w:lastRenderedPageBreak/>
        <w:t>החוק המוצע נועד להשלים</w:t>
      </w:r>
      <w:r>
        <w:rPr>
          <w:rFonts w:hint="cs"/>
          <w:rtl/>
        </w:rPr>
        <w:t xml:space="preserve"> </w:t>
      </w:r>
      <w:r w:rsidRPr="001F32C7">
        <w:rPr>
          <w:rtl/>
        </w:rPr>
        <w:t>את החסר בחוק, ולייצר איזון בין שתי זכויות קנ</w:t>
      </w:r>
      <w:r w:rsidRPr="001F32C7">
        <w:rPr>
          <w:rFonts w:hint="cs"/>
          <w:rtl/>
        </w:rPr>
        <w:t>י</w:t>
      </w:r>
      <w:r w:rsidRPr="001F32C7">
        <w:rPr>
          <w:rtl/>
        </w:rPr>
        <w:t>ין</w:t>
      </w:r>
      <w:r>
        <w:rPr>
          <w:rFonts w:hint="cs"/>
          <w:rtl/>
        </w:rPr>
        <w:t xml:space="preserve"> </w:t>
      </w:r>
      <w:r w:rsidRPr="001F32C7">
        <w:rPr>
          <w:rtl/>
        </w:rPr>
        <w:t>–</w:t>
      </w:r>
      <w:r>
        <w:rPr>
          <w:rFonts w:hint="cs"/>
          <w:rtl/>
        </w:rPr>
        <w:t xml:space="preserve"> </w:t>
      </w:r>
      <w:r w:rsidRPr="001F32C7">
        <w:rPr>
          <w:rtl/>
        </w:rPr>
        <w:t>זכות הבעלות של בעלי הקרקעות וזכות החכירה של החוכרים</w:t>
      </w:r>
      <w:r w:rsidRPr="001F32C7">
        <w:rPr>
          <w:rFonts w:hint="cs"/>
          <w:rtl/>
        </w:rPr>
        <w:t>.</w:t>
      </w:r>
      <w:r w:rsidRPr="001F32C7">
        <w:rPr>
          <w:rtl/>
        </w:rPr>
        <w:t xml:space="preserve"> כנגד הטענה של הבעלים לפגיעה בזכות הקניינית שלהם</w:t>
      </w:r>
      <w:r w:rsidRPr="001F32C7">
        <w:rPr>
          <w:rFonts w:hint="cs"/>
          <w:rtl/>
        </w:rPr>
        <w:t>,</w:t>
      </w:r>
      <w:r w:rsidRPr="001F32C7">
        <w:rPr>
          <w:rtl/>
        </w:rPr>
        <w:t xml:space="preserve"> עומדת טענת החוכרים לפגיעה בפועל בזכות הקניינית שלהם ובציפייה הלגיטימית שהחכירה תוארך</w:t>
      </w:r>
      <w:r w:rsidRPr="001F32C7">
        <w:rPr>
          <w:rFonts w:hint="cs"/>
          <w:rtl/>
        </w:rPr>
        <w:t>.</w:t>
      </w:r>
      <w:r w:rsidRPr="001F32C7">
        <w:rPr>
          <w:rtl/>
        </w:rPr>
        <w:t xml:space="preserve"> איזון </w:t>
      </w:r>
      <w:r w:rsidRPr="001F32C7">
        <w:rPr>
          <w:rFonts w:hint="cs"/>
          <w:rtl/>
        </w:rPr>
        <w:t xml:space="preserve">ראוי </w:t>
      </w:r>
      <w:r w:rsidRPr="001F32C7">
        <w:rPr>
          <w:rtl/>
        </w:rPr>
        <w:t xml:space="preserve">בין שתי הזכויות הללו </w:t>
      </w:r>
      <w:r w:rsidRPr="001F32C7">
        <w:rPr>
          <w:rFonts w:hint="cs"/>
          <w:rtl/>
        </w:rPr>
        <w:t xml:space="preserve">יגשים </w:t>
      </w:r>
      <w:r w:rsidRPr="001F32C7">
        <w:rPr>
          <w:rtl/>
        </w:rPr>
        <w:t>את דרישת ההגנה על ה</w:t>
      </w:r>
      <w:r w:rsidRPr="001F32C7">
        <w:rPr>
          <w:rFonts w:hint="cs"/>
          <w:rtl/>
        </w:rPr>
        <w:t>זכות ל</w:t>
      </w:r>
      <w:r w:rsidRPr="001F32C7">
        <w:rPr>
          <w:rtl/>
        </w:rPr>
        <w:t>קניין.</w:t>
      </w:r>
      <w:r w:rsidRPr="0090407E">
        <w:rPr>
          <w:rtl/>
        </w:rPr>
        <w:t xml:space="preserve"> בעניין זה יובהר כי חקיקה שנועדה להגן על חוכרים לדורות מפני בעלי המקרקעין קיימת גם במדינות אחרות והוכרה כחוקתית, הן ע</w:t>
      </w:r>
      <w:r>
        <w:rPr>
          <w:rFonts w:hint="cs"/>
          <w:rtl/>
        </w:rPr>
        <w:t>ל יד</w:t>
      </w:r>
      <w:r w:rsidRPr="0090407E">
        <w:rPr>
          <w:rtl/>
        </w:rPr>
        <w:t xml:space="preserve">י בית </w:t>
      </w:r>
      <w:r>
        <w:rPr>
          <w:rtl/>
        </w:rPr>
        <w:t>הדין האירופאי לזכויות אדם והן ע</w:t>
      </w:r>
      <w:r>
        <w:rPr>
          <w:rFonts w:hint="cs"/>
          <w:rtl/>
        </w:rPr>
        <w:t>ל יד</w:t>
      </w:r>
      <w:r w:rsidRPr="0090407E">
        <w:rPr>
          <w:rtl/>
        </w:rPr>
        <w:t>י בית המשפט העליון האמריקאי. שני בתי משפט אלו הכריעו שהגנה על ציבור החוכרים היא מטרה ציבורית לגיטימית שאף מצדיקה הפקעת הבעלות מבעלי המקרקעין לא כל שכן הארכת זכות החכירה.</w:t>
      </w:r>
    </w:p>
    <w:p w14:paraId="56DD3715" w14:textId="77777777" w:rsidR="00375558" w:rsidRPr="0090407E" w:rsidRDefault="00375558" w:rsidP="00375558">
      <w:pPr>
        <w:pStyle w:val="Hesber"/>
        <w:rPr>
          <w:rtl/>
        </w:rPr>
      </w:pPr>
      <w:r w:rsidRPr="0090407E">
        <w:rPr>
          <w:rFonts w:hint="cs"/>
          <w:rtl/>
        </w:rPr>
        <w:t>ה</w:t>
      </w:r>
      <w:r w:rsidRPr="0090407E">
        <w:rPr>
          <w:rtl/>
        </w:rPr>
        <w:t>סכום שהוצע בהצעת החוק לצורך הארכת החכירה הוא התשלום הקבוע ברשות מקרקעי ישראל, בעת תשלום של חוכרים לצורך הארכות חכירה בקרקעות לא מהוונות. מדובר על אחוזי תשלום על הצד הגבוה, ועל כן הוא ראוי ומהווה איזון נכון בין הצדדים.</w:t>
      </w:r>
    </w:p>
    <w:p w14:paraId="7F6961CB" w14:textId="50FD7DDD" w:rsidR="00E13C27" w:rsidRDefault="00E13C27" w:rsidP="00375558">
      <w:pPr>
        <w:spacing w:before="0" w:line="360" w:lineRule="auto"/>
        <w:ind w:left="2880" w:firstLine="720"/>
        <w:rPr>
          <w:rtl/>
        </w:rPr>
      </w:pPr>
    </w:p>
    <w:p w14:paraId="64665AC8" w14:textId="77777777" w:rsidR="00CE1EE6" w:rsidRDefault="00925BB5">
      <w:pPr>
        <w:spacing w:before="0" w:line="360" w:lineRule="auto"/>
        <w:jc w:val="left"/>
      </w:pPr>
      <w:bookmarkStart w:id="9" w:name="selectedDocDateB"/>
      <w:bookmarkEnd w:id="9"/>
      <w:r>
        <w:rPr>
          <w:rFonts w:ascii="David" w:eastAsia="David" w:hAnsi="David" w:cs="David" w:hint="cs"/>
          <w:sz w:val="26"/>
          <w:szCs w:val="26"/>
          <w:rtl/>
        </w:rPr>
        <w:t>--------------------------------</w:t>
      </w:r>
    </w:p>
    <w:p w14:paraId="45B5A29E" w14:textId="77777777" w:rsidR="00CE1EE6" w:rsidRDefault="00925BB5">
      <w:pPr>
        <w:spacing w:before="0" w:line="360" w:lineRule="auto"/>
        <w:jc w:val="left"/>
      </w:pPr>
      <w:r>
        <w:rPr>
          <w:rFonts w:ascii="David" w:eastAsia="David" w:hAnsi="David" w:cs="David" w:hint="cs"/>
          <w:sz w:val="26"/>
          <w:szCs w:val="26"/>
          <w:rtl/>
        </w:rPr>
        <w:t>הוגשה ליו"ר ה</w:t>
      </w:r>
      <w:r>
        <w:rPr>
          <w:rFonts w:ascii="David" w:eastAsia="David" w:hAnsi="David" w:cs="David" w:hint="cs"/>
          <w:sz w:val="26"/>
          <w:szCs w:val="26"/>
          <w:rtl/>
        </w:rPr>
        <w:t>כנסת והסגנים</w:t>
      </w:r>
    </w:p>
    <w:p w14:paraId="642C59D1" w14:textId="77777777" w:rsidR="00CE1EE6" w:rsidRDefault="00925BB5">
      <w:pPr>
        <w:spacing w:before="0" w:line="360" w:lineRule="auto"/>
        <w:jc w:val="left"/>
      </w:pPr>
      <w:r>
        <w:rPr>
          <w:rFonts w:ascii="David" w:eastAsia="David" w:hAnsi="David" w:cs="David" w:hint="cs"/>
          <w:sz w:val="26"/>
          <w:szCs w:val="26"/>
          <w:rtl/>
        </w:rPr>
        <w:t>והונחה על שולחן הכנסת ביום</w:t>
      </w:r>
    </w:p>
    <w:p w14:paraId="147E9FA3" w14:textId="77777777" w:rsidR="00CE1EE6" w:rsidRDefault="00925BB5">
      <w:pPr>
        <w:spacing w:before="0" w:line="360" w:lineRule="auto"/>
        <w:jc w:val="left"/>
      </w:pPr>
      <w:r>
        <w:rPr>
          <w:rFonts w:ascii="David" w:eastAsia="David" w:hAnsi="David" w:cs="David" w:hint="cs"/>
          <w:sz w:val="26"/>
          <w:szCs w:val="26"/>
          <w:rtl/>
        </w:rPr>
        <w:t xml:space="preserve">ז' בסיוון התשפ"ב (06.06.2022) </w:t>
      </w:r>
    </w:p>
    <w:p w14:paraId="1E8160AC" w14:textId="77777777" w:rsidR="00CE1EE6" w:rsidRDefault="00CE1EE6">
      <w:pPr>
        <w:spacing w:before="0" w:line="276" w:lineRule="auto"/>
        <w:jc w:val="left"/>
      </w:pPr>
    </w:p>
    <w:sectPr w:rsidR="00CE1EE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10D3C3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25BB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F970D45" w14:textId="003BF6AF" w:rsidR="00375558" w:rsidRDefault="00375558" w:rsidP="00375558">
      <w:pPr>
        <w:pStyle w:val="a4"/>
        <w:rPr>
          <w:rtl/>
        </w:rPr>
      </w:pPr>
      <w:r>
        <w:rPr>
          <w:rStyle w:val="a6"/>
        </w:rPr>
        <w:footnoteRef/>
      </w:r>
      <w:r w:rsidR="00F269E3">
        <w:rPr>
          <w:rFonts w:hint="cs"/>
          <w:rtl/>
        </w:rPr>
        <w:t xml:space="preserve"> </w:t>
      </w:r>
      <w:r>
        <w:rPr>
          <w:rFonts w:hint="cs"/>
          <w:rtl/>
        </w:rPr>
        <w:t>ס"ח התשכ"ט, עמ' 259.</w:t>
      </w:r>
    </w:p>
  </w:footnote>
  <w:footnote w:id="3">
    <w:p w14:paraId="60E51ECE" w14:textId="61E5E989" w:rsidR="00375558" w:rsidRDefault="00375558" w:rsidP="00375558">
      <w:pPr>
        <w:pStyle w:val="a4"/>
        <w:rPr>
          <w:rtl/>
        </w:rPr>
      </w:pPr>
      <w:r>
        <w:rPr>
          <w:rStyle w:val="a6"/>
        </w:rPr>
        <w:footnoteRef/>
      </w:r>
      <w:r w:rsidR="0038655F">
        <w:rPr>
          <w:rFonts w:hint="cs"/>
          <w:rtl/>
        </w:rPr>
        <w:t xml:space="preserve"> </w:t>
      </w:r>
      <w:r>
        <w:rPr>
          <w:rFonts w:hint="cs"/>
          <w:rtl/>
        </w:rPr>
        <w:t>ס"ח התשכ"ג, עמ'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0451"/>
    <w:rsid w:val="0014195F"/>
    <w:rsid w:val="00152609"/>
    <w:rsid w:val="00153E1B"/>
    <w:rsid w:val="00175E8A"/>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5558"/>
    <w:rsid w:val="0038655F"/>
    <w:rsid w:val="00386E88"/>
    <w:rsid w:val="00396585"/>
    <w:rsid w:val="003D6E38"/>
    <w:rsid w:val="003D74A0"/>
    <w:rsid w:val="003E6679"/>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014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51BF6"/>
    <w:rsid w:val="008576D5"/>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5BB5"/>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E1EE6"/>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69E3"/>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B5CF74E-8EDE-4CD0-A5F1-84494905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7555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D7C-DA36-47DF-BE44-5801EFF8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E17C579-AAA6-4998-AE9F-5D95F77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690</Words>
  <Characters>3934</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2022-06-01T08:17:00Z</cp:lastPrinted>
  <dcterms:created xsi:type="dcterms:W3CDTF">2015-04-20T09:58:00Z</dcterms:created>
  <dcterms:modified xsi:type="dcterms:W3CDTF">2022-06-01T08:17:00Z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2192139</vt:r8>
  </property>
</Properties>
</file>