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2193276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Pr="00CF1AA2" w:rsidR="00E13C27" w:rsidP="00F540DF" w:rsidRDefault="008F6665" w14:paraId="7F6961AA" w14:textId="1DBBF53E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name="LGS_Initiators_List" w:id="2"/>
      <w:r>
        <w:rPr>
          <w:b/>
          <w:bCs/>
          <w:rtl/>
        </w:rPr>
        <w:t>יוזמים:      חברי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שלמה קרעי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מיכל רוזין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רם בן ברק</w:t>
      </w:r>
      <w:bookmarkStart w:name="LGS_Join_List" w:id="4"/>
      <w:bookmarkEnd w:id="3"/>
      <w:r w:rsidR="007D585A"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 w:rsidR="007D585A">
        <w:rPr>
          <w:rFonts w:hint="cs"/>
          <w:rtl/>
        </w:rPr>
        <w:t xml:space="preserve"> </w:t>
      </w:r>
      <w:bookmarkEnd w:id="5"/>
    </w:p>
    <w:p w:rsidRPr="00904591" w:rsidR="00904591" w:rsidP="0036422C" w:rsidRDefault="00266D86" w14:paraId="34DB4103" w14:textId="7777777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="00E13C27" w:rsidP="00E44744" w:rsidRDefault="00904591" w14:paraId="7F6961AC" w14:textId="3DA4E742">
      <w:pPr>
        <w:pStyle w:val="David"/>
        <w:spacing w:before="0" w:line="240" w:lineRule="auto"/>
        <w:ind w:left="3544"/>
        <w:rPr>
          <w:rtl/>
        </w:rPr>
      </w:pPr>
      <w:bookmarkStart w:name="_GoBack" w:id="6"/>
      <w:r>
        <w:t xml:space="preserve">                                            </w:t>
      </w:r>
      <w:r w:rsidR="008F1308">
        <w:t xml:space="preserve"> </w:t>
      </w:r>
      <w:bookmarkStart w:name="Private_Number" w:id="7"/>
      <w:r>
        <w:rPr>
          <w:rFonts w:hint="cs"/>
          <w:rtl/>
        </w:rPr>
        <w:t>פ/3931/24</w:t>
      </w:r>
      <w:bookmarkEnd w:id="7"/>
    </w:p>
    <w:p w:rsidRPr="00F67051" w:rsidR="00E13C27" w:rsidP="0021633A" w:rsidRDefault="00A443CF" w14:paraId="7F6961AD" w14:textId="66A06BEC">
      <w:pPr>
        <w:pStyle w:val="HeadHatzaotHok"/>
        <w:rPr>
          <w:rtl/>
        </w:rPr>
      </w:pPr>
      <w:bookmarkStart w:name="LGS_Subject" w:id="8"/>
      <w:r xmlns:w="http://schemas.openxmlformats.org/wordprocessingml/2006/main">
        <w:rPr xmlns:w="http://schemas.openxmlformats.org/wordprocessingml/2006/main">
          <w:rFonts w:hint="cs"/>
          <w:rtl/>
        </w:rPr>
        <w:t xml:space="preserve">הצעת חוק ליווי בני משפחות של משרתים בגופי ביטחון ששלחו יד בנפשם, התשפ"ב–2022</w:t>
      </w:r>
      <w:bookmarkEnd w:id="6"/>
      <w:bookmarkEnd w:id="8"/>
    </w:p>
    <w:p w:rsidR="00067809" w:rsidP="00067809" w:rsidRDefault="00067809" w14:paraId="39B12EB0" w14:textId="77777777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A21DFC" w:rsidTr="001200F3" w14:paraId="76D91D6A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581CB27F" w14:textId="36C34FFE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:rsidR="00A21DFC" w:rsidP="00A21DFC" w:rsidRDefault="00A21DFC" w14:paraId="5FF891F8" w14:textId="60AC2828">
            <w:pPr>
              <w:pStyle w:val="TableText"/>
              <w:keepLines w:val="0"/>
              <w:tabs>
                <w:tab w:val="clear" w:pos="624"/>
              </w:tabs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:rsidRPr="00951AD8" w:rsidR="00A21DFC" w:rsidP="00A41F27" w:rsidRDefault="00A21DFC" w14:paraId="5E04BD25" w14:textId="63D6E500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בן משפחה"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בן זוג, הורים, אחים, סבא, סבתא וילדים.</w:t>
            </w:r>
          </w:p>
        </w:tc>
      </w:tr>
      <w:tr w:rsidR="00A21DFC" w:rsidTr="001200F3" w14:paraId="630FB347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77BFBB87" w14:textId="5A94CC58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A21DFC" w:rsidP="00A21DFC" w:rsidRDefault="00A21DFC" w14:paraId="118A1040" w14:textId="77777777">
            <w:pPr>
              <w:pStyle w:val="TableText"/>
              <w:keepLines w:val="0"/>
              <w:tabs>
                <w:tab w:val="clear" w:pos="624"/>
              </w:tabs>
            </w:pPr>
          </w:p>
        </w:tc>
        <w:tc>
          <w:tcPr>
            <w:tcW w:w="7146" w:type="dxa"/>
          </w:tcPr>
          <w:p w:rsidR="00A21DFC" w:rsidP="00A21DFC" w:rsidRDefault="00A21DFC" w14:paraId="789E116E" w14:textId="3E9BF779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גוף ביטחון"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צבא ההגנה לישראל, משטרת ישראל, שירות הביטחון הכללי, המוסד למודיעין ולתפקידים מיוחדים או שירות בתי הסוהר;</w:t>
            </w:r>
          </w:p>
        </w:tc>
      </w:tr>
      <w:tr w:rsidR="00A21DFC" w:rsidTr="001200F3" w14:paraId="77B21B98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2A5C36DA" w14:textId="4E9DD85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A21DFC" w:rsidP="00A21DFC" w:rsidRDefault="00A21DFC" w14:paraId="2EB1067D" w14:textId="77777777">
            <w:pPr>
              <w:pStyle w:val="TableText"/>
              <w:keepLines w:val="0"/>
              <w:tabs>
                <w:tab w:val="clear" w:pos="624"/>
              </w:tabs>
            </w:pPr>
          </w:p>
        </w:tc>
        <w:tc>
          <w:tcPr>
            <w:tcW w:w="7146" w:type="dxa"/>
          </w:tcPr>
          <w:p w:rsidR="00A21DFC" w:rsidP="00A41F27" w:rsidRDefault="00A21DFC" w14:paraId="5852B337" w14:textId="5C29E75E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"השר הממונה"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21DFC" w:rsidTr="001200F3" w14:paraId="17C3D8DD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75603780" w14:textId="38422248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A21DFC" w:rsidP="00A21DFC" w:rsidRDefault="00A21DFC" w14:paraId="073E218A" w14:textId="77777777">
            <w:pPr>
              <w:pStyle w:val="TableText"/>
              <w:keepLines w:val="0"/>
              <w:tabs>
                <w:tab w:val="clear" w:pos="624"/>
              </w:tabs>
            </w:pPr>
          </w:p>
        </w:tc>
        <w:tc>
          <w:tcPr>
            <w:tcW w:w="7146" w:type="dxa"/>
          </w:tcPr>
          <w:p w:rsidR="00A21DFC" w:rsidP="00A21DFC" w:rsidRDefault="00A21DFC" w14:paraId="75995E4E" w14:textId="3F3A3CFA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לעניין צבא הגנה לישראל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שר הביטחון;</w:t>
            </w:r>
          </w:p>
        </w:tc>
      </w:tr>
      <w:tr w:rsidR="00A21DFC" w:rsidTr="001200F3" w14:paraId="43D6F883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22FDB218" w14:textId="0EED4344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A21DFC" w:rsidP="00A21DFC" w:rsidRDefault="00A21DFC" w14:paraId="79A607CD" w14:textId="77777777">
            <w:pPr>
              <w:pStyle w:val="TableText"/>
              <w:keepLines w:val="0"/>
              <w:tabs>
                <w:tab w:val="clear" w:pos="624"/>
              </w:tabs>
            </w:pPr>
          </w:p>
        </w:tc>
        <w:tc>
          <w:tcPr>
            <w:tcW w:w="7146" w:type="dxa"/>
          </w:tcPr>
          <w:p w:rsidR="00A21DFC" w:rsidP="00A21DFC" w:rsidRDefault="00A21DFC" w14:paraId="71862F71" w14:textId="6E535B95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לעניין שירות הביטחון הכללי והמוסד למודיעין ולתפקידים מיוחדים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ראש הממשלה;</w:t>
            </w:r>
          </w:p>
        </w:tc>
      </w:tr>
      <w:tr w:rsidR="00A21DFC" w:rsidTr="001200F3" w14:paraId="3FD2C0FF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0857784B" w14:textId="6EC3F322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A21DFC" w:rsidP="00A21DFC" w:rsidRDefault="00A21DFC" w14:paraId="1EAE79BD" w14:textId="77777777">
            <w:pPr>
              <w:pStyle w:val="TableText"/>
              <w:keepLines w:val="0"/>
              <w:tabs>
                <w:tab w:val="clear" w:pos="624"/>
              </w:tabs>
            </w:pPr>
          </w:p>
        </w:tc>
        <w:tc>
          <w:tcPr>
            <w:tcW w:w="7146" w:type="dxa"/>
          </w:tcPr>
          <w:p w:rsidR="00A21DFC" w:rsidP="00A21DFC" w:rsidRDefault="00A21DFC" w14:paraId="26810CBF" w14:textId="400A8603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לעניין משטרת ישראל ושירות בתי הסוהר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השר לביטחון הפנים.</w:t>
            </w:r>
          </w:p>
        </w:tc>
      </w:tr>
      <w:tr w:rsidR="00A21DFC" w:rsidTr="001200F3" w14:paraId="6431F718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024A57B5" w14:textId="24A30D80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מעטפת ליווי לבני משפחה</w:t>
            </w:r>
          </w:p>
        </w:tc>
        <w:tc>
          <w:tcPr>
            <w:tcW w:w="624" w:type="dxa"/>
          </w:tcPr>
          <w:p w:rsidR="00A21DFC" w:rsidP="00A21DFC" w:rsidRDefault="00A21DFC" w14:paraId="79137951" w14:textId="30CE1E48">
            <w:pPr>
              <w:pStyle w:val="TableText"/>
              <w:keepLines w:val="0"/>
              <w:tabs>
                <w:tab w:val="clear" w:pos="624"/>
              </w:tabs>
              <w:autoSpaceDE/>
              <w:autoSpaceDN/>
              <w:adjustRightInd/>
              <w:ind w:right="0"/>
              <w:contextualSpacing/>
              <w:textAlignment w:val="auto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</w:tcPr>
          <w:p w:rsidRPr="00B11CA7" w:rsidR="00A21DFC" w:rsidP="00A41F27" w:rsidRDefault="00A21DFC" w14:paraId="7B220BF7" w14:textId="3920F5D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מבלי לגרוע מהוראות</w:t>
            </w:r>
            <w:r w:rsidRPr="00B11CA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כל דין, משרת או עובד</w:t>
            </w:r>
            <w:r w:rsidRPr="00B11CA7">
              <w:rPr>
                <w:rFonts w:hint="cs"/>
                <w:rtl/>
              </w:rPr>
              <w:t xml:space="preserve"> בגוף ביטחון </w:t>
            </w:r>
            <w:r>
              <w:rPr>
                <w:rFonts w:hint="cs"/>
                <w:rtl/>
              </w:rPr>
              <w:t xml:space="preserve">ששלח </w:t>
            </w:r>
            <w:r w:rsidRPr="00B11CA7">
              <w:rPr>
                <w:rFonts w:hint="cs"/>
                <w:rtl/>
              </w:rPr>
              <w:t>יד בנפשו</w:t>
            </w:r>
            <w:r>
              <w:rPr>
                <w:rFonts w:hint="cs"/>
                <w:rtl/>
              </w:rPr>
              <w:t xml:space="preserve"> עד שנתיים מתום שירותו או עבודתו בגוף הביטחון</w:t>
            </w:r>
            <w:r w:rsidRPr="00B11CA7">
              <w:rPr>
                <w:rFonts w:hint="cs"/>
                <w:rtl/>
              </w:rPr>
              <w:t>, יהיו בני משפחתו זכאים לקבל מעטפת ליווי הכוללת מענה פסיכולוגי וזכאויות נוספות כפי שיקבע שר הביטחון בצו ובאישור ועדת החוץ והביטחון של הכנסת.</w:t>
            </w:r>
          </w:p>
        </w:tc>
      </w:tr>
      <w:tr w:rsidR="00A21DFC" w:rsidTr="001200F3" w14:paraId="35BE40B9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6BE13101" w14:textId="1C471CC6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אחריות למתן מעטפת ליווי</w:t>
            </w:r>
          </w:p>
        </w:tc>
        <w:tc>
          <w:tcPr>
            <w:tcW w:w="624" w:type="dxa"/>
          </w:tcPr>
          <w:p w:rsidR="00A21DFC" w:rsidP="00A21DFC" w:rsidRDefault="00A21DFC" w14:paraId="3921D2AC" w14:textId="77777777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</w:tcPr>
          <w:p w:rsidRPr="0010050A" w:rsidR="00A21DFC" w:rsidP="00A21DFC" w:rsidRDefault="00A21DFC" w14:paraId="619BEC1F" w14:textId="777777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האחריות על מתן מעטפת הליווי מוטלת על גוף הביטחון בו עבד האדם אשר שלח יד בנפשו.</w:t>
            </w:r>
          </w:p>
        </w:tc>
      </w:tr>
      <w:tr w:rsidR="00A21DFC" w:rsidTr="001200F3" w14:paraId="5BC91D99" w14:textId="77777777">
        <w:trPr>
          <w:cantSplit/>
          <w:trHeight w:val="60"/>
        </w:trPr>
        <w:tc>
          <w:tcPr>
            <w:tcW w:w="1871" w:type="dxa"/>
          </w:tcPr>
          <w:p w:rsidR="00A21DFC" w:rsidP="00A21DFC" w:rsidRDefault="00A21DFC" w14:paraId="5EC5BC6B" w14:textId="77777777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חובת דיווח</w:t>
            </w:r>
          </w:p>
        </w:tc>
        <w:tc>
          <w:tcPr>
            <w:tcW w:w="624" w:type="dxa"/>
          </w:tcPr>
          <w:p w:rsidR="00A21DFC" w:rsidP="00A21DFC" w:rsidRDefault="00A21DFC" w14:paraId="62DA2C16" w14:textId="7777777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6" w:type="dxa"/>
          </w:tcPr>
          <w:p w:rsidR="00A21DFC" w:rsidP="00A21DFC" w:rsidRDefault="00A21DFC" w14:paraId="66DA3250" w14:textId="206B5F2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השר הממונה ידווח אחת לשנה לוועדת החוץ והביטחון של הכנסת, על אודות סך הבקשות שהוגשו לפי חוק זה והטיפול בעניינן.</w:t>
            </w:r>
          </w:p>
        </w:tc>
      </w:tr>
    </w:tbl>
    <w:p w:rsidRPr="00D0608E" w:rsidR="00067809" w:rsidP="00067809" w:rsidRDefault="00067809" w14:paraId="4D815E0F" w14:textId="77777777">
      <w:pPr>
        <w:pStyle w:val="HeadDivreiHesber"/>
        <w:rPr>
          <w:rtl/>
        </w:rPr>
      </w:pPr>
      <w:r w:rsidRPr="00D0608E">
        <w:rPr>
          <w:rtl/>
        </w:rPr>
        <w:t>דברי הסבר</w:t>
      </w:r>
    </w:p>
    <w:p w:rsidRPr="00F540DF" w:rsidR="00067809" w:rsidP="00F540DF" w:rsidRDefault="00067809" w14:paraId="7702395E" w14:textId="7D98CAE9">
      <w:pPr>
        <w:pStyle w:val="Hesber"/>
        <w:rPr>
          <w:rtl/>
        </w:rPr>
      </w:pPr>
      <w:r w:rsidRPr="00F540DF">
        <w:rPr>
          <w:rtl/>
        </w:rPr>
        <w:t>מדי שנה, שמים קץ לחייהם משרתים בגופי ב</w:t>
      </w:r>
      <w:r w:rsidRPr="00F540DF" w:rsidR="00A21DFC">
        <w:rPr>
          <w:rFonts w:hint="cs"/>
          <w:rtl/>
        </w:rPr>
        <w:t>י</w:t>
      </w:r>
      <w:r w:rsidRPr="00F540DF">
        <w:rPr>
          <w:rtl/>
        </w:rPr>
        <w:t>טחון שונים, לעתים, במישרין או בעקיפין, כתוצאה ממאפייני הפעילות שבה הם נוטלים חלק. מערכת הב</w:t>
      </w:r>
      <w:r w:rsidRPr="00F540DF">
        <w:rPr>
          <w:rFonts w:hint="cs"/>
          <w:rtl/>
        </w:rPr>
        <w:t>י</w:t>
      </w:r>
      <w:r w:rsidRPr="00F540DF">
        <w:rPr>
          <w:rtl/>
        </w:rPr>
        <w:t>טחון מתמודדת עם התופעה הכאובה וניכר בשנים האחרונות כי המאמצים נושאים פירות.</w:t>
      </w:r>
    </w:p>
    <w:p w:rsidRPr="00F540DF" w:rsidR="00067809" w:rsidP="00F540DF" w:rsidRDefault="00067809" w14:paraId="2B5FB5C6" w14:textId="6D5A6B8E">
      <w:pPr>
        <w:pStyle w:val="Hesber"/>
        <w:rPr>
          <w:rtl/>
        </w:rPr>
      </w:pPr>
      <w:r w:rsidRPr="00F540DF">
        <w:rPr>
          <w:rtl/>
        </w:rPr>
        <w:t xml:space="preserve">כיום, על פי חוק, זכאים לליווי וקצבה בני משפחות של משרתים בשירות סדיר ששלחו יד בנפשם. לעומת זאת, משפחות של </w:t>
      </w:r>
      <w:r w:rsidRPr="00F540DF" w:rsidR="00A21DFC">
        <w:rPr>
          <w:rFonts w:hint="cs"/>
          <w:rtl/>
        </w:rPr>
        <w:t xml:space="preserve">אלו </w:t>
      </w:r>
      <w:r w:rsidRPr="00F540DF">
        <w:rPr>
          <w:rtl/>
        </w:rPr>
        <w:t>ששלחו יד בנפשם</w:t>
      </w:r>
      <w:r w:rsidRPr="00F540DF" w:rsidR="00A21DFC">
        <w:rPr>
          <w:rFonts w:hint="cs"/>
          <w:rtl/>
        </w:rPr>
        <w:t xml:space="preserve"> לאחר השירות</w:t>
      </w:r>
      <w:r w:rsidRPr="00F540DF">
        <w:rPr>
          <w:rtl/>
        </w:rPr>
        <w:t xml:space="preserve">, לא זכאיות אפילו לסיוע בטיפול </w:t>
      </w:r>
      <w:r w:rsidRPr="00F540DF">
        <w:rPr>
          <w:rtl/>
        </w:rPr>
        <w:lastRenderedPageBreak/>
        <w:t>פסיכולוגי ולמעטפת ליווי כלשהי</w:t>
      </w:r>
      <w:r w:rsidRPr="00F540DF" w:rsidR="00A41F27">
        <w:rPr>
          <w:rFonts w:hint="cs"/>
          <w:rtl/>
        </w:rPr>
        <w:t>.</w:t>
      </w:r>
    </w:p>
    <w:p w:rsidRPr="00F540DF" w:rsidR="00067809" w:rsidP="00F540DF" w:rsidRDefault="00067809" w14:paraId="11CD32B1" w14:textId="77777777">
      <w:pPr>
        <w:pStyle w:val="Hesber"/>
        <w:rPr>
          <w:rtl/>
        </w:rPr>
      </w:pPr>
      <w:r w:rsidRPr="00F540DF">
        <w:rPr>
          <w:rtl/>
        </w:rPr>
        <w:t>הצעת החוק באה לתת מענה למצוקתם של הורים שכולים שאיבדו את ילדיהם בנסיבות אלו, בעיקר בתחום המעטפת הרגשית והנפשית.</w:t>
      </w:r>
    </w:p>
    <w:p w:rsidR="00E13C27" w:rsidP="00F540DF" w:rsidRDefault="00067809" w14:paraId="7F6961CB" w14:textId="3D9E1B64">
      <w:pPr>
        <w:pStyle w:val="Hesber"/>
        <w:rPr>
          <w:rtl/>
        </w:rPr>
      </w:pPr>
      <w:r w:rsidRPr="00F540DF">
        <w:rPr>
          <w:rtl/>
        </w:rPr>
        <w:t>הצעת החוק קובעת כי יינתנו טיפולים פסיכולוגיים ומעטפת ליווי לבני המשפחה, על ידי גוף הב</w:t>
      </w:r>
      <w:r w:rsidRPr="00F540DF">
        <w:rPr>
          <w:rFonts w:hint="cs"/>
          <w:rtl/>
        </w:rPr>
        <w:t>י</w:t>
      </w:r>
      <w:r w:rsidRPr="00F540DF">
        <w:rPr>
          <w:rtl/>
        </w:rPr>
        <w:t>טחון שבו עבד האדם אשר שלח יד בנפשו. מעטפת הליווי ת</w:t>
      </w:r>
      <w:r w:rsidRPr="00F540DF">
        <w:rPr>
          <w:rFonts w:hint="cs"/>
          <w:rtl/>
        </w:rPr>
        <w:t>י</w:t>
      </w:r>
      <w:r w:rsidRPr="00F540DF">
        <w:rPr>
          <w:rtl/>
        </w:rPr>
        <w:t>נתן בכל מקרה כזה, ללא צורך בהוכחת קשר נסיבתי לעבודה</w:t>
      </w:r>
      <w:r w:rsidRPr="00F540DF" w:rsidR="00A21DFC">
        <w:rPr>
          <w:rFonts w:hint="cs"/>
          <w:rtl/>
        </w:rPr>
        <w:t xml:space="preserve"> או לשירות</w:t>
      </w:r>
      <w:r w:rsidRPr="00F540DF">
        <w:rPr>
          <w:rtl/>
        </w:rPr>
        <w:t xml:space="preserve"> בגוף הב</w:t>
      </w:r>
      <w:r w:rsidRPr="00F540DF">
        <w:rPr>
          <w:rFonts w:hint="cs"/>
          <w:rtl/>
        </w:rPr>
        <w:t>י</w:t>
      </w:r>
      <w:r w:rsidRPr="00F540DF">
        <w:rPr>
          <w:rtl/>
        </w:rPr>
        <w:t>טחון</w:t>
      </w:r>
      <w:r w:rsidRPr="00E44744">
        <w:rPr>
          <w:rtl/>
        </w:rPr>
        <w:t>.</w:t>
      </w:r>
    </w:p>
    <w:p w:rsidR="00F540DF" w:rsidP="00F540DF" w:rsidRDefault="00F540DF" w14:paraId="758DA9F6" w14:textId="2257991F">
      <w:pPr>
        <w:pStyle w:val="Hesber"/>
        <w:rPr>
          <w:rtl/>
        </w:rPr>
      </w:pPr>
    </w:p>
    <w:p w:rsidRPr="00067809" w:rsidR="00F540DF" w:rsidP="00F540DF" w:rsidRDefault="00F540DF" w14:paraId="1599FA67" w14:textId="77777777">
      <w:pPr>
        <w:pStyle w:val="Hesber"/>
        <w:rPr>
          <w:rtl/>
        </w:rPr>
      </w:pPr>
    </w:p>
    <w:p w:rsidR="000B7404" w:rsidRDefault="00244770" w14:paraId="5294463A" w14:textId="77777777">
      <w:pPr>
        <w:spacing w:before="0" w:line="360" w:lineRule="auto"/>
        <w:jc w:val="left"/>
      </w:pPr>
      <w:bookmarkStart w:name="selectedDocDateB" w:id="9"/>
      <w:bookmarkEnd w:id="9"/>
      <w:r>
        <w:rPr>
          <w:rFonts w:hint="cs" w:ascii="David" w:hAnsi="David" w:eastAsia="David" w:cs="David"/>
          <w:sz w:val="26"/>
          <w:szCs w:val="26"/>
          <w:rtl/>
        </w:rPr>
        <w:t>--------------------------------</w:t>
      </w:r>
    </w:p>
    <w:p w:rsidR="000B7404" w:rsidRDefault="00244770" w14:paraId="1D56EEF2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הוגשה ליו"ר הכנסת והסגנים</w:t>
      </w:r>
    </w:p>
    <w:p w:rsidR="000B7404" w:rsidRDefault="00244770" w14:paraId="2B198585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והונחה על שולחן הכנסת ביום</w:t>
      </w:r>
    </w:p>
    <w:p w:rsidR="000B7404" w:rsidRDefault="00244770" w14:paraId="0D23FD5C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ז'</w:t>
      </w:r>
      <w:r>
        <w:rPr>
          <w:rFonts w:hint="cs" w:ascii="David" w:hAnsi="David" w:eastAsia="David" w:cs="David"/>
          <w:sz w:val="26"/>
          <w:szCs w:val="26"/>
          <w:rtl/>
        </w:rPr>
        <w:t xml:space="preserve"> בסיוון התשפ"ב (06.06.2022) </w:t>
      </w:r>
    </w:p>
    <w:p w:rsidR="000B7404" w:rsidRDefault="000B7404" w14:paraId="1D409B58" w14:textId="77777777">
      <w:pPr>
        <w:spacing w:before="0" w:line="276" w:lineRule="auto"/>
        <w:jc w:val="left"/>
      </w:pPr>
    </w:p>
    <w:sectPr w:rsidR="000B7404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77F2796D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24477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26E1"/>
    <w:rsid w:val="00015B27"/>
    <w:rsid w:val="00063A3E"/>
    <w:rsid w:val="00067809"/>
    <w:rsid w:val="00072CAC"/>
    <w:rsid w:val="0007681A"/>
    <w:rsid w:val="000A542E"/>
    <w:rsid w:val="000B7404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4770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C724D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1DFC"/>
    <w:rsid w:val="00A26BD6"/>
    <w:rsid w:val="00A41F27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4744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540DF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5274719-FE3F-417E-A195-50668614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link w:val="HeadDivreiHesber0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HeadDivreiHesber0">
    <w:name w:val="Head DivreiHesber תו"/>
    <w:link w:val="HeadDivreiHesber"/>
    <w:locked/>
    <w:rsid w:val="00067809"/>
    <w:rPr>
      <w:rFonts w:ascii="Arial" w:eastAsia="Arial Unicode MS" w:hAnsi="Arial" w:cs="David"/>
      <w:b/>
      <w:snapToGrid w:val="0"/>
      <w:color w:val="000000"/>
      <w:spacing w:val="4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A7DE2-7567-4C5F-91A0-A54850680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3BB08C-D2D1-4C29-810B-C16DC360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344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2022-06-02T07:36:00Z</cp:lastPrinted>
  <dcterms:created xsi:type="dcterms:W3CDTF">2015-04-20T09:58:00Z</dcterms:created>
  <dcterms:modified xsi:type="dcterms:W3CDTF">2022-06-02T08:32:00Z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2193276</vt:r8>
  </property>
</Properties>
</file>