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A273F" w14:textId="77777777" w:rsidR="00E0313B" w:rsidRPr="00E635A2" w:rsidRDefault="00E0313B" w:rsidP="00E0313B">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2190887</w:t>
      </w:r>
      <w:bookmarkEnd w:id="0"/>
    </w:p>
    <w:p w14:paraId="7B407460" w14:textId="77777777" w:rsidR="00E0313B" w:rsidRPr="00DB7060" w:rsidRDefault="00E0313B" w:rsidP="00E0313B">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2BD7491" w14:textId="77777777" w:rsidR="00E0313B" w:rsidRPr="00F67051" w:rsidRDefault="00E0313B" w:rsidP="00E0313B">
      <w:pPr>
        <w:rPr>
          <w:b/>
          <w:bCs/>
          <w:sz w:val="26"/>
          <w:szCs w:val="26"/>
          <w:rtl/>
        </w:rPr>
      </w:pPr>
    </w:p>
    <w:p w14:paraId="1F5934A9" w14:textId="345FD70C" w:rsidR="00E0313B" w:rsidRPr="00CF1AA2" w:rsidRDefault="00E0313B" w:rsidP="00F07C22">
      <w:pPr>
        <w:pStyle w:val="David"/>
        <w:ind w:left="3544"/>
        <w:rPr>
          <w:b/>
          <w:bCs/>
          <w:sz w:val="16"/>
          <w:szCs w:val="16"/>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אלון טל</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3C45FCC7" w14:textId="77777777" w:rsidR="00E0313B" w:rsidRPr="00904591" w:rsidRDefault="00E0313B" w:rsidP="00E0313B">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523E74D5" w14:textId="7059D3F1" w:rsidR="00E0313B" w:rsidRDefault="00F07C22" w:rsidP="005650F0">
      <w:pPr>
        <w:pStyle w:val="David"/>
        <w:spacing w:line="240" w:lineRule="auto"/>
        <w:ind w:left="3544"/>
        <w:rPr>
          <w:rtl/>
        </w:rPr>
      </w:pPr>
      <w:r>
        <w:tab/>
        <w:t xml:space="preserve">    </w:t>
      </w:r>
      <w:r w:rsidR="00E0313B">
        <w:t xml:space="preserve">                                             </w:t>
      </w:r>
      <w:bookmarkStart w:id="6" w:name="Private_Number"/>
      <w:r w:rsidR="00E0313B">
        <w:rPr>
          <w:rFonts w:hint="cs"/>
          <w:rtl/>
        </w:rPr>
        <w:t>פ/3890/24</w:t>
      </w:r>
      <w:bookmarkEnd w:id="6"/>
    </w:p>
    <w:p w14:paraId="5A71D8F2" w14:textId="5A1F6F16" w:rsidR="00E0313B" w:rsidRDefault="00E0313B" w:rsidP="00AB545F">
      <w:pPr>
        <w:pStyle w:val="HeadHatzaotHok"/>
        <w:rPr>
          <w:rtl/>
        </w:rPr>
      </w:pPr>
      <w:bookmarkStart w:id="7" w:name="LGS_Subject"/>
      <w:r>
        <w:rPr>
          <w:rFonts w:hint="cs"/>
          <w:rtl/>
        </w:rPr>
        <w:t>הצעת חוק איסור מכירת קמינים ושימוש בהם, התשפ"ב–2022</w:t>
      </w:r>
      <w:bookmarkEnd w:id="7"/>
    </w:p>
    <w:p w14:paraId="02F58529" w14:textId="77777777" w:rsidR="00F07C22" w:rsidRDefault="00F07C22" w:rsidP="00AB545F">
      <w:pPr>
        <w:pStyle w:val="HeadHatzaotHok"/>
        <w:rPr>
          <w:rtl/>
        </w:rPr>
      </w:pPr>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19"/>
      </w:tblGrid>
      <w:tr w:rsidR="00902609" w:rsidRPr="005650F0" w14:paraId="40F24509" w14:textId="77777777" w:rsidTr="00F07C22">
        <w:trPr>
          <w:cantSplit/>
        </w:trPr>
        <w:tc>
          <w:tcPr>
            <w:tcW w:w="1870" w:type="dxa"/>
          </w:tcPr>
          <w:p w14:paraId="7B3EACE0" w14:textId="77777777" w:rsidR="00902609" w:rsidRPr="005650F0" w:rsidRDefault="00902609" w:rsidP="0058757E">
            <w:pPr>
              <w:pStyle w:val="TableSideHeading"/>
              <w:keepLines w:val="0"/>
              <w:rPr>
                <w:rFonts w:ascii="David" w:hAnsi="David"/>
                <w:sz w:val="26"/>
              </w:rPr>
            </w:pPr>
            <w:r w:rsidRPr="005650F0">
              <w:rPr>
                <w:rFonts w:ascii="David" w:hAnsi="David"/>
                <w:sz w:val="26"/>
                <w:rtl/>
              </w:rPr>
              <w:t>מטרה</w:t>
            </w:r>
          </w:p>
        </w:tc>
        <w:tc>
          <w:tcPr>
            <w:tcW w:w="624" w:type="dxa"/>
          </w:tcPr>
          <w:p w14:paraId="2E7B033D" w14:textId="77777777" w:rsidR="00902609" w:rsidRPr="005650F0" w:rsidRDefault="00902609" w:rsidP="0058757E">
            <w:pPr>
              <w:pStyle w:val="TableText"/>
              <w:keepLines w:val="0"/>
              <w:rPr>
                <w:rFonts w:ascii="David" w:hAnsi="David"/>
                <w:sz w:val="26"/>
              </w:rPr>
            </w:pPr>
            <w:r w:rsidRPr="005650F0">
              <w:rPr>
                <w:rFonts w:ascii="David" w:hAnsi="David"/>
                <w:sz w:val="26"/>
                <w:rtl/>
              </w:rPr>
              <w:t xml:space="preserve">1. </w:t>
            </w:r>
          </w:p>
        </w:tc>
        <w:tc>
          <w:tcPr>
            <w:tcW w:w="7143" w:type="dxa"/>
            <w:gridSpan w:val="2"/>
          </w:tcPr>
          <w:p w14:paraId="40380A5C" w14:textId="65066BB5" w:rsidR="00902609" w:rsidRPr="005650F0" w:rsidRDefault="00902609" w:rsidP="00F07C22">
            <w:pPr>
              <w:pStyle w:val="TableBlock"/>
              <w:rPr>
                <w:rFonts w:ascii="David" w:hAnsi="David"/>
                <w:sz w:val="26"/>
              </w:rPr>
            </w:pPr>
            <w:r w:rsidRPr="005650F0">
              <w:rPr>
                <w:rFonts w:ascii="David" w:hAnsi="David"/>
                <w:sz w:val="26"/>
                <w:rtl/>
              </w:rPr>
              <w:t>חוק זה מטרתו להביא לשיפור של איכות האוויר וכן למנו</w:t>
            </w:r>
            <w:r w:rsidR="00E86211" w:rsidRPr="005650F0">
              <w:rPr>
                <w:rFonts w:ascii="David" w:hAnsi="David"/>
                <w:sz w:val="26"/>
                <w:rtl/>
              </w:rPr>
              <w:t xml:space="preserve">ע ולצמצם את זיהום האוויר הנגרם </w:t>
            </w:r>
            <w:r w:rsidRPr="005650F0">
              <w:rPr>
                <w:rFonts w:ascii="David" w:hAnsi="David"/>
                <w:sz w:val="26"/>
                <w:rtl/>
              </w:rPr>
              <w:t>מהסקה ביתית באמצעות קמינים, לשם הגנה על חיי אדם, בריאותם ואיכות חייהם ולשם הגנה על הסביבה לרבות משאבי הטבע, המערכות האקולוגיות והמגוון הביולוגי למען הציבור ולמען הדורות הבאים</w:t>
            </w:r>
            <w:r w:rsidR="00F07C22" w:rsidRPr="005650F0">
              <w:rPr>
                <w:rFonts w:ascii="David" w:hAnsi="David"/>
                <w:sz w:val="26"/>
                <w:rtl/>
              </w:rPr>
              <w:t xml:space="preserve"> ובהתחשב בצרכיהם</w:t>
            </w:r>
            <w:r w:rsidRPr="005650F0">
              <w:rPr>
                <w:rFonts w:ascii="David" w:hAnsi="David"/>
                <w:sz w:val="26"/>
                <w:rtl/>
              </w:rPr>
              <w:t>.</w:t>
            </w:r>
          </w:p>
        </w:tc>
      </w:tr>
      <w:tr w:rsidR="00902609" w:rsidRPr="005650F0" w14:paraId="1DFA494B" w14:textId="77777777" w:rsidTr="00F07C22">
        <w:trPr>
          <w:cantSplit/>
        </w:trPr>
        <w:tc>
          <w:tcPr>
            <w:tcW w:w="1870" w:type="dxa"/>
          </w:tcPr>
          <w:p w14:paraId="294F4D67" w14:textId="77777777" w:rsidR="00902609" w:rsidRPr="005650F0" w:rsidRDefault="00902609" w:rsidP="0058757E">
            <w:pPr>
              <w:pStyle w:val="TableSideHeading"/>
              <w:keepLines w:val="0"/>
              <w:rPr>
                <w:rFonts w:ascii="David" w:hAnsi="David"/>
                <w:sz w:val="26"/>
                <w:rtl/>
              </w:rPr>
            </w:pPr>
            <w:r w:rsidRPr="005650F0">
              <w:rPr>
                <w:rFonts w:ascii="David" w:hAnsi="David"/>
                <w:sz w:val="26"/>
                <w:rtl/>
              </w:rPr>
              <w:t>הגדרות</w:t>
            </w:r>
          </w:p>
        </w:tc>
        <w:tc>
          <w:tcPr>
            <w:tcW w:w="624" w:type="dxa"/>
          </w:tcPr>
          <w:p w14:paraId="625927CE" w14:textId="77777777" w:rsidR="00902609" w:rsidRPr="005650F0" w:rsidRDefault="00902609" w:rsidP="0058757E">
            <w:pPr>
              <w:pStyle w:val="TableText"/>
              <w:keepLines w:val="0"/>
              <w:rPr>
                <w:rFonts w:ascii="David" w:hAnsi="David"/>
                <w:sz w:val="26"/>
                <w:rtl/>
              </w:rPr>
            </w:pPr>
            <w:r w:rsidRPr="005650F0">
              <w:rPr>
                <w:rFonts w:ascii="David" w:hAnsi="David"/>
                <w:sz w:val="26"/>
                <w:rtl/>
              </w:rPr>
              <w:t>2.</w:t>
            </w:r>
          </w:p>
        </w:tc>
        <w:tc>
          <w:tcPr>
            <w:tcW w:w="7143" w:type="dxa"/>
            <w:gridSpan w:val="2"/>
          </w:tcPr>
          <w:p w14:paraId="1158FD4E" w14:textId="77777777" w:rsidR="00902609" w:rsidRPr="005650F0" w:rsidRDefault="00902609" w:rsidP="00F07C22">
            <w:pPr>
              <w:pStyle w:val="TableBlock"/>
              <w:rPr>
                <w:rFonts w:ascii="David" w:hAnsi="David"/>
                <w:sz w:val="26"/>
              </w:rPr>
            </w:pPr>
            <w:r w:rsidRPr="005650F0">
              <w:rPr>
                <w:rFonts w:ascii="David" w:hAnsi="David"/>
                <w:sz w:val="26"/>
                <w:rtl/>
              </w:rPr>
              <w:t xml:space="preserve">בחוק זה – </w:t>
            </w:r>
          </w:p>
        </w:tc>
      </w:tr>
      <w:tr w:rsidR="00902609" w:rsidRPr="005650F0" w14:paraId="190D2A2C" w14:textId="77777777" w:rsidTr="00F07C22">
        <w:trPr>
          <w:cantSplit/>
        </w:trPr>
        <w:tc>
          <w:tcPr>
            <w:tcW w:w="1870" w:type="dxa"/>
          </w:tcPr>
          <w:p w14:paraId="25DA7F51" w14:textId="77777777" w:rsidR="00902609" w:rsidRPr="005650F0" w:rsidRDefault="00902609" w:rsidP="0058757E">
            <w:pPr>
              <w:pStyle w:val="TableSideHeading"/>
              <w:keepLines w:val="0"/>
              <w:rPr>
                <w:rFonts w:ascii="David" w:hAnsi="David"/>
                <w:sz w:val="26"/>
                <w:rtl/>
              </w:rPr>
            </w:pPr>
          </w:p>
        </w:tc>
        <w:tc>
          <w:tcPr>
            <w:tcW w:w="624" w:type="dxa"/>
          </w:tcPr>
          <w:p w14:paraId="4A52FB53" w14:textId="77777777" w:rsidR="00902609" w:rsidRPr="005650F0" w:rsidRDefault="00902609" w:rsidP="0058757E">
            <w:pPr>
              <w:pStyle w:val="TableText"/>
              <w:rPr>
                <w:rFonts w:ascii="David" w:hAnsi="David"/>
                <w:sz w:val="26"/>
                <w:rtl/>
              </w:rPr>
            </w:pPr>
          </w:p>
        </w:tc>
        <w:tc>
          <w:tcPr>
            <w:tcW w:w="7143" w:type="dxa"/>
            <w:gridSpan w:val="2"/>
          </w:tcPr>
          <w:p w14:paraId="6C808221" w14:textId="77777777" w:rsidR="00902609" w:rsidRPr="005650F0" w:rsidRDefault="00902609" w:rsidP="00F07C22">
            <w:pPr>
              <w:pStyle w:val="TableBlockOutdent"/>
              <w:rPr>
                <w:rFonts w:ascii="David" w:hAnsi="David"/>
                <w:sz w:val="26"/>
                <w:rtl/>
              </w:rPr>
            </w:pPr>
            <w:r w:rsidRPr="005650F0">
              <w:rPr>
                <w:rFonts w:ascii="David" w:hAnsi="David"/>
                <w:sz w:val="26"/>
                <w:rtl/>
              </w:rPr>
              <w:t>"קמין" – תנור הסקה המופעל באמצעות שריפת עץ, סולר או נפט גולמי, ובכלל זה גם כל חלקיו וכל המחובר אליו, לרבות הארובה;</w:t>
            </w:r>
          </w:p>
        </w:tc>
      </w:tr>
      <w:tr w:rsidR="00902609" w:rsidRPr="005650F0" w14:paraId="648662BD" w14:textId="77777777" w:rsidTr="00F07C22">
        <w:trPr>
          <w:cantSplit/>
        </w:trPr>
        <w:tc>
          <w:tcPr>
            <w:tcW w:w="1870" w:type="dxa"/>
          </w:tcPr>
          <w:p w14:paraId="291788F7" w14:textId="77777777" w:rsidR="00902609" w:rsidRPr="005650F0" w:rsidRDefault="00902609" w:rsidP="0058757E">
            <w:pPr>
              <w:pStyle w:val="TableSideHeading"/>
              <w:keepLines w:val="0"/>
              <w:rPr>
                <w:rFonts w:ascii="David" w:hAnsi="David"/>
                <w:sz w:val="26"/>
                <w:rtl/>
              </w:rPr>
            </w:pPr>
          </w:p>
        </w:tc>
        <w:tc>
          <w:tcPr>
            <w:tcW w:w="624" w:type="dxa"/>
          </w:tcPr>
          <w:p w14:paraId="06EE414D" w14:textId="77777777" w:rsidR="00902609" w:rsidRPr="005650F0" w:rsidRDefault="00902609" w:rsidP="0058757E">
            <w:pPr>
              <w:pStyle w:val="TableText"/>
              <w:rPr>
                <w:rFonts w:ascii="David" w:hAnsi="David"/>
                <w:sz w:val="26"/>
                <w:rtl/>
              </w:rPr>
            </w:pPr>
          </w:p>
        </w:tc>
        <w:tc>
          <w:tcPr>
            <w:tcW w:w="7143" w:type="dxa"/>
            <w:gridSpan w:val="2"/>
          </w:tcPr>
          <w:p w14:paraId="7D4BEB14" w14:textId="77777777" w:rsidR="00902609" w:rsidRPr="005650F0" w:rsidRDefault="00902609" w:rsidP="00F07C22">
            <w:pPr>
              <w:pStyle w:val="TableBlockOutdent"/>
              <w:rPr>
                <w:rFonts w:ascii="David" w:hAnsi="David"/>
                <w:sz w:val="26"/>
                <w:rtl/>
              </w:rPr>
            </w:pPr>
            <w:r w:rsidRPr="005650F0">
              <w:rPr>
                <w:rFonts w:ascii="David" w:hAnsi="David"/>
                <w:sz w:val="26"/>
                <w:rtl/>
              </w:rPr>
              <w:t>"השר" – השר להגנת הסביבה.</w:t>
            </w:r>
          </w:p>
        </w:tc>
      </w:tr>
      <w:tr w:rsidR="00902609" w:rsidRPr="005650F0" w14:paraId="06D9AAB4" w14:textId="77777777" w:rsidTr="00F07C22">
        <w:trPr>
          <w:cantSplit/>
        </w:trPr>
        <w:tc>
          <w:tcPr>
            <w:tcW w:w="1870" w:type="dxa"/>
          </w:tcPr>
          <w:p w14:paraId="1286CBE6" w14:textId="77777777" w:rsidR="00902609" w:rsidRPr="005650F0" w:rsidRDefault="00902609" w:rsidP="0058757E">
            <w:pPr>
              <w:pStyle w:val="TableSideHeading"/>
              <w:keepLines w:val="0"/>
              <w:rPr>
                <w:rFonts w:ascii="David" w:hAnsi="David"/>
                <w:sz w:val="26"/>
                <w:rtl/>
              </w:rPr>
            </w:pPr>
            <w:r w:rsidRPr="005650F0">
              <w:rPr>
                <w:rFonts w:ascii="David" w:hAnsi="David"/>
                <w:sz w:val="26"/>
                <w:rtl/>
              </w:rPr>
              <w:t xml:space="preserve">איסור מכירת קמין </w:t>
            </w:r>
          </w:p>
        </w:tc>
        <w:tc>
          <w:tcPr>
            <w:tcW w:w="624" w:type="dxa"/>
          </w:tcPr>
          <w:p w14:paraId="5848E4DC" w14:textId="77777777" w:rsidR="00902609" w:rsidRPr="005650F0" w:rsidRDefault="00902609" w:rsidP="0058757E">
            <w:pPr>
              <w:pStyle w:val="TableText"/>
              <w:rPr>
                <w:rFonts w:ascii="David" w:hAnsi="David"/>
                <w:sz w:val="26"/>
                <w:rtl/>
              </w:rPr>
            </w:pPr>
            <w:r w:rsidRPr="005650F0">
              <w:rPr>
                <w:rFonts w:ascii="David" w:hAnsi="David"/>
                <w:sz w:val="26"/>
                <w:rtl/>
              </w:rPr>
              <w:t>3.</w:t>
            </w:r>
          </w:p>
        </w:tc>
        <w:tc>
          <w:tcPr>
            <w:tcW w:w="7143" w:type="dxa"/>
            <w:gridSpan w:val="2"/>
          </w:tcPr>
          <w:p w14:paraId="7F80AF7F" w14:textId="4D09A0FC" w:rsidR="00902609" w:rsidRPr="005650F0" w:rsidRDefault="00902609" w:rsidP="00F07C22">
            <w:pPr>
              <w:pStyle w:val="TableBlock"/>
              <w:rPr>
                <w:rFonts w:ascii="David" w:hAnsi="David"/>
                <w:sz w:val="26"/>
              </w:rPr>
            </w:pPr>
            <w:r w:rsidRPr="005650F0">
              <w:rPr>
                <w:rFonts w:ascii="David" w:hAnsi="David"/>
                <w:sz w:val="26"/>
                <w:rtl/>
              </w:rPr>
              <w:t>לא ימכור אדם קמין לא</w:t>
            </w:r>
            <w:r w:rsidR="00E86211" w:rsidRPr="005650F0">
              <w:rPr>
                <w:rFonts w:ascii="David" w:hAnsi="David"/>
                <w:sz w:val="26"/>
              </w:rPr>
              <w:t xml:space="preserve"> </w:t>
            </w:r>
            <w:r w:rsidRPr="005650F0">
              <w:rPr>
                <w:rFonts w:ascii="David" w:hAnsi="David"/>
                <w:sz w:val="26"/>
                <w:rtl/>
              </w:rPr>
              <w:t>ייבאו, ולא יעבירו לאחר, בין בתמורה ובין שלא בתמורה.</w:t>
            </w:r>
          </w:p>
        </w:tc>
      </w:tr>
      <w:tr w:rsidR="00902609" w:rsidRPr="005650F0" w14:paraId="52A8985E" w14:textId="77777777" w:rsidTr="00F07C22">
        <w:trPr>
          <w:cantSplit/>
        </w:trPr>
        <w:tc>
          <w:tcPr>
            <w:tcW w:w="1870" w:type="dxa"/>
          </w:tcPr>
          <w:p w14:paraId="67766FC3" w14:textId="77777777" w:rsidR="00902609" w:rsidRPr="005650F0" w:rsidRDefault="00902609" w:rsidP="0058757E">
            <w:pPr>
              <w:pStyle w:val="TableSideHeading"/>
              <w:keepLines w:val="0"/>
              <w:rPr>
                <w:rFonts w:ascii="David" w:hAnsi="David"/>
                <w:sz w:val="26"/>
                <w:rtl/>
              </w:rPr>
            </w:pPr>
            <w:r w:rsidRPr="005650F0">
              <w:rPr>
                <w:rFonts w:ascii="David" w:hAnsi="David"/>
                <w:sz w:val="26"/>
                <w:rtl/>
              </w:rPr>
              <w:t>איסור שימוש בקמין</w:t>
            </w:r>
          </w:p>
        </w:tc>
        <w:tc>
          <w:tcPr>
            <w:tcW w:w="624" w:type="dxa"/>
          </w:tcPr>
          <w:p w14:paraId="45AA8AC5" w14:textId="77777777" w:rsidR="00902609" w:rsidRPr="005650F0" w:rsidRDefault="00902609" w:rsidP="0058757E">
            <w:pPr>
              <w:pStyle w:val="TableText"/>
              <w:rPr>
                <w:rFonts w:ascii="David" w:hAnsi="David"/>
                <w:sz w:val="26"/>
                <w:rtl/>
              </w:rPr>
            </w:pPr>
            <w:r w:rsidRPr="005650F0">
              <w:rPr>
                <w:rFonts w:ascii="David" w:hAnsi="David"/>
                <w:sz w:val="26"/>
                <w:rtl/>
              </w:rPr>
              <w:t>4.</w:t>
            </w:r>
          </w:p>
        </w:tc>
        <w:tc>
          <w:tcPr>
            <w:tcW w:w="7143" w:type="dxa"/>
            <w:gridSpan w:val="2"/>
          </w:tcPr>
          <w:p w14:paraId="3A9A75DE" w14:textId="77777777" w:rsidR="00902609" w:rsidRPr="005650F0" w:rsidRDefault="00902609" w:rsidP="00F07C22">
            <w:pPr>
              <w:pStyle w:val="TableBlock"/>
              <w:rPr>
                <w:rFonts w:ascii="David" w:hAnsi="David"/>
                <w:sz w:val="26"/>
                <w:rtl/>
              </w:rPr>
            </w:pPr>
            <w:r w:rsidRPr="005650F0">
              <w:rPr>
                <w:rFonts w:ascii="David" w:hAnsi="David"/>
                <w:sz w:val="26"/>
                <w:rtl/>
              </w:rPr>
              <w:t>(א)</w:t>
            </w:r>
            <w:r w:rsidRPr="005650F0">
              <w:rPr>
                <w:rFonts w:ascii="David" w:hAnsi="David"/>
                <w:sz w:val="26"/>
                <w:rtl/>
              </w:rPr>
              <w:tab/>
              <w:t xml:space="preserve">לא יעשה אדם שימוש בקמין. </w:t>
            </w:r>
          </w:p>
        </w:tc>
      </w:tr>
      <w:tr w:rsidR="00902609" w:rsidRPr="005650F0" w14:paraId="6499E2B1" w14:textId="77777777" w:rsidTr="00F07C22">
        <w:trPr>
          <w:cantSplit/>
        </w:trPr>
        <w:tc>
          <w:tcPr>
            <w:tcW w:w="1870" w:type="dxa"/>
          </w:tcPr>
          <w:p w14:paraId="28EA3C5F" w14:textId="77777777" w:rsidR="00902609" w:rsidRPr="005650F0" w:rsidRDefault="00902609" w:rsidP="0058757E">
            <w:pPr>
              <w:pStyle w:val="TableSideHeading"/>
              <w:keepLines w:val="0"/>
              <w:rPr>
                <w:rFonts w:ascii="David" w:hAnsi="David"/>
                <w:sz w:val="26"/>
                <w:rtl/>
              </w:rPr>
            </w:pPr>
          </w:p>
        </w:tc>
        <w:tc>
          <w:tcPr>
            <w:tcW w:w="624" w:type="dxa"/>
          </w:tcPr>
          <w:p w14:paraId="3D1AC368" w14:textId="77777777" w:rsidR="00902609" w:rsidRPr="005650F0" w:rsidRDefault="00902609" w:rsidP="0058757E">
            <w:pPr>
              <w:pStyle w:val="TableText"/>
              <w:rPr>
                <w:rFonts w:ascii="David" w:hAnsi="David"/>
                <w:sz w:val="26"/>
                <w:rtl/>
              </w:rPr>
            </w:pPr>
          </w:p>
        </w:tc>
        <w:tc>
          <w:tcPr>
            <w:tcW w:w="7143" w:type="dxa"/>
            <w:gridSpan w:val="2"/>
          </w:tcPr>
          <w:p w14:paraId="46C73DC7" w14:textId="77777777" w:rsidR="00902609" w:rsidRPr="005650F0" w:rsidRDefault="00902609" w:rsidP="00F07C22">
            <w:pPr>
              <w:pStyle w:val="TableBlock"/>
              <w:rPr>
                <w:rFonts w:ascii="David" w:hAnsi="David"/>
                <w:sz w:val="26"/>
              </w:rPr>
            </w:pPr>
            <w:r w:rsidRPr="005650F0">
              <w:rPr>
                <w:rFonts w:ascii="David" w:hAnsi="David"/>
                <w:sz w:val="26"/>
                <w:rtl/>
              </w:rPr>
              <w:t>(ב)</w:t>
            </w:r>
            <w:r w:rsidRPr="005650F0">
              <w:rPr>
                <w:rFonts w:ascii="David" w:hAnsi="David"/>
                <w:sz w:val="26"/>
                <w:rtl/>
              </w:rPr>
              <w:tab/>
              <w:t xml:space="preserve">על אף האמור בסעיף קטן (א) </w:t>
            </w:r>
            <w:r w:rsidRPr="005650F0">
              <w:rPr>
                <w:rFonts w:ascii="David" w:hAnsi="David"/>
                <w:sz w:val="26"/>
              </w:rPr>
              <w:t>–</w:t>
            </w:r>
          </w:p>
        </w:tc>
      </w:tr>
      <w:tr w:rsidR="00902609" w:rsidRPr="005650F0" w14:paraId="04415F55" w14:textId="77777777" w:rsidTr="00F07C22">
        <w:trPr>
          <w:cantSplit/>
        </w:trPr>
        <w:tc>
          <w:tcPr>
            <w:tcW w:w="1870" w:type="dxa"/>
          </w:tcPr>
          <w:p w14:paraId="7E9A939D" w14:textId="77777777" w:rsidR="00902609" w:rsidRPr="005650F0" w:rsidRDefault="00902609" w:rsidP="0058757E">
            <w:pPr>
              <w:pStyle w:val="TableSideHeading"/>
              <w:rPr>
                <w:rFonts w:ascii="David" w:hAnsi="David"/>
                <w:sz w:val="26"/>
              </w:rPr>
            </w:pPr>
          </w:p>
        </w:tc>
        <w:tc>
          <w:tcPr>
            <w:tcW w:w="624" w:type="dxa"/>
          </w:tcPr>
          <w:p w14:paraId="0B1DDCC8" w14:textId="77777777" w:rsidR="00902609" w:rsidRPr="005650F0" w:rsidRDefault="00902609" w:rsidP="0058757E">
            <w:pPr>
              <w:pStyle w:val="TableText"/>
              <w:rPr>
                <w:rFonts w:ascii="David" w:hAnsi="David"/>
                <w:sz w:val="26"/>
              </w:rPr>
            </w:pPr>
          </w:p>
        </w:tc>
        <w:tc>
          <w:tcPr>
            <w:tcW w:w="624" w:type="dxa"/>
          </w:tcPr>
          <w:p w14:paraId="13ABAA1E" w14:textId="77777777" w:rsidR="00902609" w:rsidRPr="005650F0" w:rsidRDefault="00902609" w:rsidP="0058757E">
            <w:pPr>
              <w:pStyle w:val="TableText"/>
              <w:rPr>
                <w:rFonts w:ascii="David" w:hAnsi="David"/>
                <w:sz w:val="26"/>
              </w:rPr>
            </w:pPr>
          </w:p>
        </w:tc>
        <w:tc>
          <w:tcPr>
            <w:tcW w:w="6519" w:type="dxa"/>
          </w:tcPr>
          <w:p w14:paraId="3BAA02FC" w14:textId="6896968C" w:rsidR="00902609" w:rsidRPr="005650F0" w:rsidRDefault="00902609" w:rsidP="00E86211">
            <w:pPr>
              <w:pStyle w:val="TableBlock"/>
              <w:rPr>
                <w:rFonts w:ascii="David" w:hAnsi="David"/>
                <w:sz w:val="26"/>
              </w:rPr>
            </w:pPr>
            <w:r w:rsidRPr="005650F0">
              <w:rPr>
                <w:rFonts w:ascii="David" w:hAnsi="David"/>
                <w:sz w:val="26"/>
                <w:rtl/>
              </w:rPr>
              <w:t>(1)</w:t>
            </w:r>
            <w:r w:rsidRPr="005650F0">
              <w:rPr>
                <w:rFonts w:ascii="David" w:hAnsi="David"/>
                <w:sz w:val="26"/>
                <w:rtl/>
              </w:rPr>
              <w:tab/>
              <w:t>השר, לבקשת ראש רשות מקומית רשאי לאשר שימוש בקמין בתחום אותה רשות מקומית או באזורים ממנה, ובלבד שראה כי יש באיסור השימוש בקמין כדי לפגוע באופן משמעותי באוכלוסייה באותו מקום בשל מצבה הכלכלי או החברתי או בשל ת</w:t>
            </w:r>
            <w:r w:rsidR="00E86211" w:rsidRPr="005650F0">
              <w:rPr>
                <w:rFonts w:ascii="David" w:hAnsi="David"/>
                <w:sz w:val="26"/>
                <w:rtl/>
              </w:rPr>
              <w:t>נאי מזג האוויר</w:t>
            </w:r>
            <w:r w:rsidRPr="005650F0">
              <w:rPr>
                <w:rFonts w:ascii="David" w:hAnsi="David"/>
                <w:sz w:val="26"/>
                <w:rtl/>
              </w:rPr>
              <w:t xml:space="preserve">, וכי השימוש בקמין כאמור לא יגרום לזיהום אוויר חזק, </w:t>
            </w:r>
            <w:r w:rsidR="00E86211" w:rsidRPr="005650F0">
              <w:rPr>
                <w:rFonts w:ascii="David" w:hAnsi="David"/>
                <w:sz w:val="26"/>
                <w:rtl/>
              </w:rPr>
              <w:t>בלתי סביר או המעורר</w:t>
            </w:r>
            <w:r w:rsidRPr="005650F0">
              <w:rPr>
                <w:rFonts w:ascii="David" w:hAnsi="David"/>
                <w:sz w:val="26"/>
                <w:rtl/>
              </w:rPr>
              <w:t xml:space="preserve"> חשש ממשי כי הוא עלול לפגוע בבריאות הציבור; אישור כאמור יינתן למשך שנה אחת בכל פעם; </w:t>
            </w:r>
          </w:p>
        </w:tc>
      </w:tr>
      <w:tr w:rsidR="00902609" w:rsidRPr="005650F0" w14:paraId="4CA843D0" w14:textId="77777777" w:rsidTr="00F07C22">
        <w:trPr>
          <w:cantSplit/>
        </w:trPr>
        <w:tc>
          <w:tcPr>
            <w:tcW w:w="1870" w:type="dxa"/>
          </w:tcPr>
          <w:p w14:paraId="5AF2F4ED" w14:textId="77777777" w:rsidR="00902609" w:rsidRPr="005650F0" w:rsidRDefault="00902609" w:rsidP="0058757E">
            <w:pPr>
              <w:pStyle w:val="TableSideHeading"/>
              <w:rPr>
                <w:rFonts w:ascii="David" w:hAnsi="David"/>
                <w:sz w:val="26"/>
              </w:rPr>
            </w:pPr>
          </w:p>
        </w:tc>
        <w:tc>
          <w:tcPr>
            <w:tcW w:w="624" w:type="dxa"/>
          </w:tcPr>
          <w:p w14:paraId="35AB1904" w14:textId="77777777" w:rsidR="00902609" w:rsidRPr="005650F0" w:rsidRDefault="00902609" w:rsidP="0058757E">
            <w:pPr>
              <w:pStyle w:val="TableText"/>
              <w:rPr>
                <w:rFonts w:ascii="David" w:hAnsi="David"/>
                <w:sz w:val="26"/>
              </w:rPr>
            </w:pPr>
          </w:p>
        </w:tc>
        <w:tc>
          <w:tcPr>
            <w:tcW w:w="624" w:type="dxa"/>
          </w:tcPr>
          <w:p w14:paraId="7FEB7E06" w14:textId="77777777" w:rsidR="00902609" w:rsidRPr="005650F0" w:rsidRDefault="00902609" w:rsidP="0058757E">
            <w:pPr>
              <w:pStyle w:val="TableText"/>
              <w:rPr>
                <w:rFonts w:ascii="David" w:hAnsi="David"/>
                <w:sz w:val="26"/>
              </w:rPr>
            </w:pPr>
          </w:p>
        </w:tc>
        <w:tc>
          <w:tcPr>
            <w:tcW w:w="6519" w:type="dxa"/>
          </w:tcPr>
          <w:p w14:paraId="084EA8A4" w14:textId="77777777" w:rsidR="00902609" w:rsidRPr="005650F0" w:rsidRDefault="00902609" w:rsidP="00F07C22">
            <w:pPr>
              <w:pStyle w:val="TableBlock"/>
              <w:rPr>
                <w:rFonts w:ascii="David" w:hAnsi="David"/>
                <w:sz w:val="26"/>
                <w:rtl/>
              </w:rPr>
            </w:pPr>
            <w:r w:rsidRPr="005650F0">
              <w:rPr>
                <w:rFonts w:ascii="David" w:hAnsi="David"/>
                <w:sz w:val="26"/>
                <w:rtl/>
              </w:rPr>
              <w:t>(2)</w:t>
            </w:r>
            <w:r w:rsidRPr="005650F0">
              <w:rPr>
                <w:rFonts w:ascii="David" w:hAnsi="David"/>
                <w:sz w:val="26"/>
                <w:rtl/>
              </w:rPr>
              <w:tab/>
              <w:t xml:space="preserve">ראש רשות מקומית רשאי, בעת התרחשות אירוע חריג של מזג אוויר קיצוני, לאשר שימוש בקמין בתחומי הרשות לתקופה שלא תעלה על שבעה ימים; השר לבקשת ראש הרשות המקומית רשאי להאריך את התקופה ככל הנדרש, כל עוד נמשך מזג האוויר הקיצוני כאמור.   </w:t>
            </w:r>
          </w:p>
        </w:tc>
      </w:tr>
      <w:tr w:rsidR="00902609" w:rsidRPr="005650F0" w14:paraId="441029B9" w14:textId="77777777" w:rsidTr="00F07C22">
        <w:trPr>
          <w:cantSplit/>
        </w:trPr>
        <w:tc>
          <w:tcPr>
            <w:tcW w:w="1870" w:type="dxa"/>
          </w:tcPr>
          <w:p w14:paraId="6E3E7127" w14:textId="77777777" w:rsidR="00902609" w:rsidRPr="005650F0" w:rsidRDefault="00902609" w:rsidP="0058757E">
            <w:pPr>
              <w:pStyle w:val="TableSideHeading"/>
              <w:keepLines w:val="0"/>
              <w:rPr>
                <w:rFonts w:ascii="David" w:hAnsi="David"/>
                <w:sz w:val="26"/>
                <w:rtl/>
              </w:rPr>
            </w:pPr>
            <w:r w:rsidRPr="005650F0">
              <w:rPr>
                <w:rFonts w:ascii="David" w:hAnsi="David"/>
                <w:sz w:val="26"/>
                <w:rtl/>
              </w:rPr>
              <w:t xml:space="preserve">תקנות </w:t>
            </w:r>
          </w:p>
        </w:tc>
        <w:tc>
          <w:tcPr>
            <w:tcW w:w="624" w:type="dxa"/>
          </w:tcPr>
          <w:p w14:paraId="6C87E944" w14:textId="11FB1C15" w:rsidR="00902609" w:rsidRPr="005650F0" w:rsidRDefault="00DC0B64" w:rsidP="0058757E">
            <w:pPr>
              <w:pStyle w:val="TableText"/>
              <w:rPr>
                <w:rFonts w:ascii="David" w:hAnsi="David"/>
                <w:sz w:val="26"/>
                <w:rtl/>
              </w:rPr>
            </w:pPr>
            <w:r w:rsidRPr="005650F0">
              <w:rPr>
                <w:rFonts w:ascii="David" w:hAnsi="David"/>
                <w:sz w:val="26"/>
                <w:rtl/>
              </w:rPr>
              <w:t>5.</w:t>
            </w:r>
          </w:p>
        </w:tc>
        <w:tc>
          <w:tcPr>
            <w:tcW w:w="7143" w:type="dxa"/>
            <w:gridSpan w:val="2"/>
          </w:tcPr>
          <w:p w14:paraId="350CB889" w14:textId="77777777" w:rsidR="00902609" w:rsidRPr="005650F0" w:rsidRDefault="00902609" w:rsidP="00F07C22">
            <w:pPr>
              <w:pStyle w:val="TableBlock"/>
              <w:rPr>
                <w:rFonts w:ascii="David" w:hAnsi="David"/>
                <w:sz w:val="26"/>
                <w:rtl/>
              </w:rPr>
            </w:pPr>
            <w:r w:rsidRPr="005650F0">
              <w:rPr>
                <w:rFonts w:ascii="David" w:hAnsi="David"/>
                <w:sz w:val="26"/>
                <w:rtl/>
              </w:rPr>
              <w:t>השר ממונה על ביצועו של חוק זה והוא רשאי להתקין תקנות בכל עניין הנוגע לביצועו.</w:t>
            </w:r>
          </w:p>
        </w:tc>
      </w:tr>
      <w:tr w:rsidR="00902609" w:rsidRPr="005650F0" w14:paraId="5D0EC0D4" w14:textId="77777777" w:rsidTr="00F07C22">
        <w:trPr>
          <w:cantSplit/>
        </w:trPr>
        <w:tc>
          <w:tcPr>
            <w:tcW w:w="1870" w:type="dxa"/>
          </w:tcPr>
          <w:p w14:paraId="3B1D82C3" w14:textId="77777777" w:rsidR="00902609" w:rsidRPr="005650F0" w:rsidRDefault="00902609" w:rsidP="0058757E">
            <w:pPr>
              <w:pStyle w:val="TableSideHeading"/>
              <w:rPr>
                <w:rFonts w:ascii="David" w:hAnsi="David"/>
                <w:sz w:val="26"/>
              </w:rPr>
            </w:pPr>
            <w:r w:rsidRPr="005650F0">
              <w:rPr>
                <w:rFonts w:ascii="David" w:hAnsi="David"/>
                <w:sz w:val="26"/>
                <w:rtl/>
              </w:rPr>
              <w:t xml:space="preserve">תיקון לחוק הרשויות המקומיות (סמכויות פקחים ואכיפה) </w:t>
            </w:r>
          </w:p>
        </w:tc>
        <w:tc>
          <w:tcPr>
            <w:tcW w:w="624" w:type="dxa"/>
          </w:tcPr>
          <w:p w14:paraId="762E4389" w14:textId="2F92F1D8" w:rsidR="00902609" w:rsidRPr="005650F0" w:rsidRDefault="00DC0B64" w:rsidP="0058757E">
            <w:pPr>
              <w:pStyle w:val="TableText"/>
              <w:rPr>
                <w:rFonts w:ascii="David" w:hAnsi="David"/>
                <w:sz w:val="26"/>
              </w:rPr>
            </w:pPr>
            <w:r w:rsidRPr="005650F0">
              <w:rPr>
                <w:rFonts w:ascii="David" w:hAnsi="David"/>
                <w:sz w:val="26"/>
                <w:rtl/>
              </w:rPr>
              <w:t>6</w:t>
            </w:r>
            <w:r w:rsidR="00902609" w:rsidRPr="005650F0">
              <w:rPr>
                <w:rFonts w:ascii="David" w:hAnsi="David"/>
                <w:sz w:val="26"/>
                <w:rtl/>
              </w:rPr>
              <w:t>.</w:t>
            </w:r>
          </w:p>
        </w:tc>
        <w:tc>
          <w:tcPr>
            <w:tcW w:w="7143" w:type="dxa"/>
            <w:gridSpan w:val="2"/>
          </w:tcPr>
          <w:p w14:paraId="67E1D0A9" w14:textId="4A0D0FA4" w:rsidR="00902609" w:rsidRPr="005650F0" w:rsidRDefault="00902609" w:rsidP="00F07C22">
            <w:pPr>
              <w:pStyle w:val="TableBlock"/>
              <w:rPr>
                <w:rFonts w:ascii="David" w:eastAsia="Times New Roman" w:hAnsi="David"/>
                <w:color w:val="222222"/>
                <w:sz w:val="26"/>
                <w:rtl/>
              </w:rPr>
            </w:pPr>
            <w:r w:rsidRPr="005650F0">
              <w:rPr>
                <w:rFonts w:ascii="David" w:eastAsia="Times New Roman" w:hAnsi="David"/>
                <w:color w:val="222222"/>
                <w:sz w:val="26"/>
                <w:rtl/>
              </w:rPr>
              <w:t xml:space="preserve">בחוק הרשויות המקומיות (אכיפה סביבתית – סמכויות פקחים), </w:t>
            </w:r>
            <w:r w:rsidR="00F07C22" w:rsidRPr="005650F0">
              <w:rPr>
                <w:rFonts w:ascii="David" w:eastAsia="Times New Roman" w:hAnsi="David"/>
                <w:color w:val="222222"/>
                <w:sz w:val="26"/>
                <w:rtl/>
              </w:rPr>
              <w:t>ה</w:t>
            </w:r>
            <w:r w:rsidRPr="005650F0">
              <w:rPr>
                <w:rFonts w:ascii="David" w:eastAsia="Times New Roman" w:hAnsi="David"/>
                <w:color w:val="222222"/>
                <w:sz w:val="26"/>
                <w:rtl/>
              </w:rPr>
              <w:t>תשס"ח</w:t>
            </w:r>
            <w:r w:rsidR="00F07C22" w:rsidRPr="005650F0">
              <w:rPr>
                <w:rFonts w:ascii="David" w:eastAsia="Times New Roman" w:hAnsi="David"/>
                <w:color w:val="222222"/>
                <w:sz w:val="26"/>
                <w:rtl/>
              </w:rPr>
              <w:t>–</w:t>
            </w:r>
            <w:r w:rsidRPr="005650F0">
              <w:rPr>
                <w:rFonts w:ascii="David" w:eastAsia="Times New Roman" w:hAnsi="David"/>
                <w:color w:val="222222"/>
                <w:sz w:val="26"/>
                <w:rtl/>
              </w:rPr>
              <w:t>2008</w:t>
            </w:r>
            <w:r w:rsidRPr="005650F0">
              <w:rPr>
                <w:rStyle w:val="a5"/>
                <w:rFonts w:ascii="David" w:eastAsia="Times New Roman" w:hAnsi="David"/>
                <w:color w:val="222222"/>
                <w:sz w:val="26"/>
                <w:rtl/>
              </w:rPr>
              <w:footnoteReference w:id="2"/>
            </w:r>
            <w:r w:rsidRPr="005650F0">
              <w:rPr>
                <w:rFonts w:ascii="David" w:eastAsia="Times New Roman" w:hAnsi="David"/>
                <w:color w:val="222222"/>
                <w:sz w:val="26"/>
                <w:rtl/>
              </w:rPr>
              <w:t xml:space="preserve">, בתוספת הראשונה אחרי פרט 19, יבוא:  </w:t>
            </w:r>
          </w:p>
        </w:tc>
      </w:tr>
      <w:tr w:rsidR="00F07C22" w:rsidRPr="005650F0" w14:paraId="44EDC110" w14:textId="77777777" w:rsidTr="005E7386">
        <w:trPr>
          <w:cantSplit/>
        </w:trPr>
        <w:tc>
          <w:tcPr>
            <w:tcW w:w="1870" w:type="dxa"/>
          </w:tcPr>
          <w:p w14:paraId="1A087244" w14:textId="77777777" w:rsidR="00F07C22" w:rsidRPr="005650F0" w:rsidRDefault="00F07C22" w:rsidP="0058757E">
            <w:pPr>
              <w:pStyle w:val="TableSideHeading"/>
              <w:rPr>
                <w:rFonts w:ascii="David" w:hAnsi="David"/>
                <w:sz w:val="26"/>
              </w:rPr>
            </w:pPr>
          </w:p>
        </w:tc>
        <w:tc>
          <w:tcPr>
            <w:tcW w:w="624" w:type="dxa"/>
          </w:tcPr>
          <w:p w14:paraId="511447BC" w14:textId="77777777" w:rsidR="00F07C22" w:rsidRPr="005650F0" w:rsidRDefault="00F07C22" w:rsidP="0058757E">
            <w:pPr>
              <w:pStyle w:val="TableText"/>
              <w:rPr>
                <w:rFonts w:ascii="David" w:hAnsi="David"/>
                <w:sz w:val="26"/>
              </w:rPr>
            </w:pPr>
          </w:p>
        </w:tc>
        <w:tc>
          <w:tcPr>
            <w:tcW w:w="7143" w:type="dxa"/>
            <w:gridSpan w:val="2"/>
          </w:tcPr>
          <w:p w14:paraId="2B285265" w14:textId="77777777" w:rsidR="00F07C22" w:rsidRPr="005650F0" w:rsidRDefault="00F07C22" w:rsidP="00F07C22">
            <w:pPr>
              <w:pStyle w:val="TableBlock"/>
              <w:rPr>
                <w:rFonts w:ascii="David" w:hAnsi="David"/>
                <w:sz w:val="26"/>
              </w:rPr>
            </w:pPr>
            <w:r w:rsidRPr="005650F0">
              <w:rPr>
                <w:rFonts w:ascii="David" w:hAnsi="David"/>
                <w:sz w:val="26"/>
                <w:rtl/>
              </w:rPr>
              <w:t>"</w:t>
            </w:r>
            <w:r w:rsidRPr="005650F0">
              <w:rPr>
                <w:rFonts w:ascii="David" w:eastAsia="Times New Roman" w:hAnsi="David"/>
                <w:color w:val="222222"/>
                <w:sz w:val="26"/>
                <w:rtl/>
              </w:rPr>
              <w:t xml:space="preserve">(20) </w:t>
            </w:r>
            <w:r w:rsidRPr="005650F0">
              <w:rPr>
                <w:rFonts w:ascii="David" w:eastAsia="Times New Roman" w:hAnsi="David"/>
                <w:color w:val="222222"/>
                <w:sz w:val="26"/>
                <w:rtl/>
              </w:rPr>
              <w:tab/>
              <w:t>חוק איסור שימוש ומכירת קמינים, התשפ"ב–2022.".</w:t>
            </w:r>
          </w:p>
        </w:tc>
      </w:tr>
      <w:tr w:rsidR="00902609" w:rsidRPr="005650F0" w14:paraId="0276B1CC" w14:textId="77777777" w:rsidTr="00F07C22">
        <w:trPr>
          <w:cantSplit/>
        </w:trPr>
        <w:tc>
          <w:tcPr>
            <w:tcW w:w="1870" w:type="dxa"/>
          </w:tcPr>
          <w:p w14:paraId="70144A84" w14:textId="77777777" w:rsidR="00902609" w:rsidRPr="005650F0" w:rsidRDefault="00902609" w:rsidP="0058757E">
            <w:pPr>
              <w:pStyle w:val="TableSideHeading"/>
              <w:rPr>
                <w:rFonts w:ascii="David" w:hAnsi="David"/>
                <w:sz w:val="26"/>
                <w:rtl/>
              </w:rPr>
            </w:pPr>
            <w:r w:rsidRPr="005650F0">
              <w:rPr>
                <w:rFonts w:ascii="David" w:hAnsi="David"/>
                <w:sz w:val="26"/>
                <w:rtl/>
              </w:rPr>
              <w:t>תיקון לחוק הגנת הסביבה (סמכויות פיקוח ואכיפה)</w:t>
            </w:r>
          </w:p>
        </w:tc>
        <w:tc>
          <w:tcPr>
            <w:tcW w:w="624" w:type="dxa"/>
          </w:tcPr>
          <w:p w14:paraId="557BA3A3" w14:textId="54E047DB" w:rsidR="00902609" w:rsidRPr="005650F0" w:rsidRDefault="00DC0B64" w:rsidP="0058757E">
            <w:pPr>
              <w:pStyle w:val="TableText"/>
              <w:rPr>
                <w:rFonts w:ascii="David" w:hAnsi="David"/>
                <w:sz w:val="26"/>
              </w:rPr>
            </w:pPr>
            <w:r w:rsidRPr="005650F0">
              <w:rPr>
                <w:rFonts w:ascii="David" w:hAnsi="David"/>
                <w:sz w:val="26"/>
                <w:rtl/>
              </w:rPr>
              <w:t>7</w:t>
            </w:r>
            <w:r w:rsidR="00902609" w:rsidRPr="005650F0">
              <w:rPr>
                <w:rFonts w:ascii="David" w:hAnsi="David"/>
                <w:sz w:val="26"/>
                <w:rtl/>
              </w:rPr>
              <w:t>.</w:t>
            </w:r>
          </w:p>
        </w:tc>
        <w:tc>
          <w:tcPr>
            <w:tcW w:w="7143" w:type="dxa"/>
            <w:gridSpan w:val="2"/>
          </w:tcPr>
          <w:p w14:paraId="03417D75" w14:textId="5CA0C22B" w:rsidR="00902609" w:rsidRPr="005650F0" w:rsidRDefault="00902609" w:rsidP="00F07C22">
            <w:pPr>
              <w:pStyle w:val="TableBlock"/>
              <w:rPr>
                <w:rFonts w:ascii="David" w:eastAsia="Times New Roman" w:hAnsi="David"/>
                <w:color w:val="222222"/>
                <w:sz w:val="26"/>
              </w:rPr>
            </w:pPr>
            <w:r w:rsidRPr="005650F0">
              <w:rPr>
                <w:rFonts w:ascii="David" w:eastAsia="Times New Roman" w:hAnsi="David"/>
                <w:color w:val="222222"/>
                <w:sz w:val="26"/>
                <w:rtl/>
              </w:rPr>
              <w:t>בחוק הגנת הסביבה (סמכויות פיקוח ואכיפה), תשע"א</w:t>
            </w:r>
            <w:r w:rsidR="00F07C22" w:rsidRPr="005650F0">
              <w:rPr>
                <w:rFonts w:ascii="David" w:eastAsia="Times New Roman" w:hAnsi="David"/>
                <w:color w:val="222222"/>
                <w:sz w:val="26"/>
                <w:rtl/>
              </w:rPr>
              <w:t>–</w:t>
            </w:r>
            <w:r w:rsidRPr="005650F0">
              <w:rPr>
                <w:rFonts w:ascii="David" w:eastAsia="Times New Roman" w:hAnsi="David"/>
                <w:color w:val="222222"/>
                <w:sz w:val="26"/>
                <w:rtl/>
              </w:rPr>
              <w:t>2011</w:t>
            </w:r>
            <w:r w:rsidRPr="005650F0">
              <w:rPr>
                <w:rStyle w:val="a5"/>
                <w:rFonts w:ascii="David" w:eastAsia="Times New Roman" w:hAnsi="David"/>
                <w:color w:val="222222"/>
                <w:sz w:val="26"/>
                <w:rtl/>
              </w:rPr>
              <w:footnoteReference w:id="3"/>
            </w:r>
            <w:r w:rsidRPr="005650F0">
              <w:rPr>
                <w:rFonts w:ascii="David" w:eastAsia="Times New Roman" w:hAnsi="David"/>
                <w:color w:val="222222"/>
                <w:sz w:val="26"/>
                <w:rtl/>
              </w:rPr>
              <w:t>, בתוספת הראשונה, אחרי פרט 27, יבוא:</w:t>
            </w:r>
          </w:p>
        </w:tc>
      </w:tr>
      <w:tr w:rsidR="00F07C22" w:rsidRPr="005650F0" w14:paraId="77E5EBC2" w14:textId="77777777" w:rsidTr="00F551C7">
        <w:trPr>
          <w:cantSplit/>
        </w:trPr>
        <w:tc>
          <w:tcPr>
            <w:tcW w:w="1870" w:type="dxa"/>
          </w:tcPr>
          <w:p w14:paraId="1E8F8CBF" w14:textId="77777777" w:rsidR="00F07C22" w:rsidRPr="005650F0" w:rsidRDefault="00F07C22" w:rsidP="0058757E">
            <w:pPr>
              <w:pStyle w:val="TableSideHeading"/>
              <w:rPr>
                <w:rFonts w:ascii="David" w:hAnsi="David"/>
                <w:sz w:val="26"/>
              </w:rPr>
            </w:pPr>
          </w:p>
        </w:tc>
        <w:tc>
          <w:tcPr>
            <w:tcW w:w="624" w:type="dxa"/>
          </w:tcPr>
          <w:p w14:paraId="04173741" w14:textId="77777777" w:rsidR="00F07C22" w:rsidRPr="005650F0" w:rsidRDefault="00F07C22" w:rsidP="0058757E">
            <w:pPr>
              <w:pStyle w:val="TableText"/>
              <w:rPr>
                <w:rFonts w:ascii="David" w:hAnsi="David"/>
                <w:sz w:val="26"/>
              </w:rPr>
            </w:pPr>
          </w:p>
        </w:tc>
        <w:tc>
          <w:tcPr>
            <w:tcW w:w="7143" w:type="dxa"/>
            <w:gridSpan w:val="2"/>
          </w:tcPr>
          <w:p w14:paraId="296DE48E" w14:textId="77777777" w:rsidR="00F07C22" w:rsidRPr="005650F0" w:rsidRDefault="00F07C22" w:rsidP="00F07C22">
            <w:pPr>
              <w:pStyle w:val="TableBlock"/>
              <w:rPr>
                <w:rFonts w:ascii="David" w:hAnsi="David"/>
                <w:sz w:val="26"/>
              </w:rPr>
            </w:pPr>
            <w:r w:rsidRPr="005650F0">
              <w:rPr>
                <w:rFonts w:ascii="David" w:hAnsi="David"/>
                <w:sz w:val="26"/>
                <w:rtl/>
              </w:rPr>
              <w:t>"(28)</w:t>
            </w:r>
            <w:r w:rsidRPr="005650F0">
              <w:rPr>
                <w:rFonts w:ascii="David" w:hAnsi="David"/>
                <w:sz w:val="26"/>
                <w:rtl/>
              </w:rPr>
              <w:tab/>
            </w:r>
            <w:r w:rsidRPr="005650F0">
              <w:rPr>
                <w:rFonts w:ascii="David" w:eastAsia="Times New Roman" w:hAnsi="David"/>
                <w:color w:val="222222"/>
                <w:sz w:val="26"/>
                <w:rtl/>
              </w:rPr>
              <w:t>חוק איסור מכירת קמינים ושימוש בהם, התשפ"ב–2022.".</w:t>
            </w:r>
            <w:r w:rsidRPr="005650F0">
              <w:rPr>
                <w:rFonts w:ascii="David" w:hAnsi="David"/>
                <w:sz w:val="26"/>
                <w:rtl/>
              </w:rPr>
              <w:tab/>
            </w:r>
          </w:p>
        </w:tc>
      </w:tr>
      <w:tr w:rsidR="00902609" w:rsidRPr="005650F0" w14:paraId="3C2A6AFA" w14:textId="77777777" w:rsidTr="00F07C22">
        <w:trPr>
          <w:cantSplit/>
        </w:trPr>
        <w:tc>
          <w:tcPr>
            <w:tcW w:w="1870" w:type="dxa"/>
          </w:tcPr>
          <w:p w14:paraId="4A9258F4" w14:textId="77777777" w:rsidR="00902609" w:rsidRPr="005650F0" w:rsidRDefault="00902609" w:rsidP="0058757E">
            <w:pPr>
              <w:pStyle w:val="TableSideHeading"/>
              <w:keepLines w:val="0"/>
              <w:rPr>
                <w:rFonts w:ascii="David" w:hAnsi="David"/>
                <w:sz w:val="26"/>
              </w:rPr>
            </w:pPr>
            <w:r w:rsidRPr="005650F0">
              <w:rPr>
                <w:rFonts w:ascii="David" w:hAnsi="David"/>
                <w:sz w:val="26"/>
                <w:rtl/>
              </w:rPr>
              <w:t xml:space="preserve">תיקון לחוק העבירות המנהליות </w:t>
            </w:r>
          </w:p>
        </w:tc>
        <w:tc>
          <w:tcPr>
            <w:tcW w:w="624" w:type="dxa"/>
          </w:tcPr>
          <w:p w14:paraId="6B6B5CA2" w14:textId="73B4B76E" w:rsidR="00902609" w:rsidRPr="005650F0" w:rsidRDefault="00DC0B64" w:rsidP="0058757E">
            <w:pPr>
              <w:pStyle w:val="TableText"/>
              <w:keepLines w:val="0"/>
              <w:rPr>
                <w:rFonts w:ascii="David" w:hAnsi="David"/>
                <w:sz w:val="26"/>
              </w:rPr>
            </w:pPr>
            <w:r w:rsidRPr="005650F0">
              <w:rPr>
                <w:rFonts w:ascii="David" w:hAnsi="David"/>
                <w:sz w:val="26"/>
                <w:rtl/>
              </w:rPr>
              <w:t>8</w:t>
            </w:r>
            <w:r w:rsidR="00902609" w:rsidRPr="005650F0">
              <w:rPr>
                <w:rFonts w:ascii="David" w:hAnsi="David"/>
                <w:sz w:val="26"/>
                <w:rtl/>
              </w:rPr>
              <w:t>.</w:t>
            </w:r>
          </w:p>
        </w:tc>
        <w:tc>
          <w:tcPr>
            <w:tcW w:w="7143" w:type="dxa"/>
            <w:gridSpan w:val="2"/>
          </w:tcPr>
          <w:p w14:paraId="10CDA472" w14:textId="77777777" w:rsidR="00902609" w:rsidRPr="005650F0" w:rsidRDefault="00902609" w:rsidP="00F07C22">
            <w:pPr>
              <w:pStyle w:val="TableBlock"/>
              <w:rPr>
                <w:rFonts w:ascii="David" w:hAnsi="David"/>
                <w:sz w:val="26"/>
              </w:rPr>
            </w:pPr>
            <w:r w:rsidRPr="005650F0">
              <w:rPr>
                <w:rFonts w:ascii="David" w:hAnsi="David"/>
                <w:sz w:val="26"/>
                <w:rtl/>
              </w:rPr>
              <w:t>בחוק העבירות המנהליות, התשמ"ו–1985</w:t>
            </w:r>
            <w:r w:rsidRPr="005650F0">
              <w:rPr>
                <w:rStyle w:val="a5"/>
                <w:rFonts w:ascii="David" w:hAnsi="David"/>
                <w:sz w:val="26"/>
                <w:rtl/>
              </w:rPr>
              <w:footnoteReference w:id="4"/>
            </w:r>
            <w:r w:rsidRPr="005650F0">
              <w:rPr>
                <w:rFonts w:ascii="David" w:hAnsi="David"/>
                <w:sz w:val="26"/>
                <w:rtl/>
              </w:rPr>
              <w:t>, בתוספת הראשונה, בטור א', בסופו יבוא "חוק איסור מכירת קמינים ושימוש בהם, התשפ"ב–2022.".</w:t>
            </w:r>
          </w:p>
        </w:tc>
      </w:tr>
      <w:tr w:rsidR="00902609" w:rsidRPr="005650F0" w14:paraId="16E80A36" w14:textId="77777777" w:rsidTr="00F07C22">
        <w:trPr>
          <w:cantSplit/>
        </w:trPr>
        <w:tc>
          <w:tcPr>
            <w:tcW w:w="1870" w:type="dxa"/>
          </w:tcPr>
          <w:p w14:paraId="4256D030" w14:textId="77777777" w:rsidR="00902609" w:rsidRPr="005650F0" w:rsidRDefault="00902609" w:rsidP="0058757E">
            <w:pPr>
              <w:pStyle w:val="TableSideHeading"/>
              <w:rPr>
                <w:rFonts w:ascii="David" w:hAnsi="David"/>
                <w:sz w:val="26"/>
              </w:rPr>
            </w:pPr>
            <w:r w:rsidRPr="005650F0">
              <w:rPr>
                <w:rFonts w:ascii="David" w:hAnsi="David"/>
                <w:sz w:val="26"/>
                <w:rtl/>
              </w:rPr>
              <w:t>תחילה</w:t>
            </w:r>
          </w:p>
        </w:tc>
        <w:tc>
          <w:tcPr>
            <w:tcW w:w="624" w:type="dxa"/>
          </w:tcPr>
          <w:p w14:paraId="177D9356" w14:textId="21B15DB2" w:rsidR="00902609" w:rsidRPr="005650F0" w:rsidRDefault="00DC0B64" w:rsidP="0058757E">
            <w:pPr>
              <w:pStyle w:val="TableText"/>
              <w:rPr>
                <w:rFonts w:ascii="David" w:hAnsi="David"/>
                <w:sz w:val="26"/>
              </w:rPr>
            </w:pPr>
            <w:r w:rsidRPr="005650F0">
              <w:rPr>
                <w:rFonts w:ascii="David" w:hAnsi="David"/>
                <w:sz w:val="26"/>
                <w:rtl/>
              </w:rPr>
              <w:t>9</w:t>
            </w:r>
            <w:r w:rsidR="00902609" w:rsidRPr="005650F0">
              <w:rPr>
                <w:rFonts w:ascii="David" w:hAnsi="David"/>
                <w:sz w:val="26"/>
                <w:rtl/>
              </w:rPr>
              <w:t>.</w:t>
            </w:r>
          </w:p>
        </w:tc>
        <w:tc>
          <w:tcPr>
            <w:tcW w:w="7143" w:type="dxa"/>
            <w:gridSpan w:val="2"/>
          </w:tcPr>
          <w:p w14:paraId="478A122C" w14:textId="77777777" w:rsidR="00902609" w:rsidRPr="005650F0" w:rsidRDefault="00902609" w:rsidP="00F07C22">
            <w:pPr>
              <w:pStyle w:val="TableBlock"/>
              <w:rPr>
                <w:rFonts w:ascii="David" w:hAnsi="David"/>
                <w:sz w:val="26"/>
              </w:rPr>
            </w:pPr>
            <w:r w:rsidRPr="005650F0">
              <w:rPr>
                <w:rFonts w:ascii="David" w:hAnsi="David"/>
                <w:sz w:val="26"/>
                <w:rtl/>
              </w:rPr>
              <w:t>(א)</w:t>
            </w:r>
            <w:r w:rsidRPr="005650F0">
              <w:rPr>
                <w:rFonts w:ascii="David" w:hAnsi="David"/>
                <w:sz w:val="26"/>
                <w:rtl/>
              </w:rPr>
              <w:tab/>
            </w:r>
            <w:r w:rsidRPr="005650F0">
              <w:rPr>
                <w:rFonts w:ascii="David" w:eastAsia="Times New Roman" w:hAnsi="David"/>
                <w:color w:val="222222"/>
                <w:sz w:val="26"/>
                <w:rtl/>
              </w:rPr>
              <w:t>תחילתו של סעיף 3 שנה מיום פרסומו של חוק זה</w:t>
            </w:r>
            <w:r w:rsidRPr="005650F0">
              <w:rPr>
                <w:rFonts w:ascii="David" w:eastAsia="Times New Roman" w:hAnsi="David"/>
                <w:color w:val="222222"/>
                <w:sz w:val="26"/>
              </w:rPr>
              <w:t>.</w:t>
            </w:r>
          </w:p>
        </w:tc>
      </w:tr>
      <w:tr w:rsidR="00902609" w:rsidRPr="005650F0" w14:paraId="4E8C51CE" w14:textId="77777777" w:rsidTr="00F07C22">
        <w:trPr>
          <w:cantSplit/>
        </w:trPr>
        <w:tc>
          <w:tcPr>
            <w:tcW w:w="1870" w:type="dxa"/>
          </w:tcPr>
          <w:p w14:paraId="5EDC867E" w14:textId="77777777" w:rsidR="00902609" w:rsidRPr="005650F0" w:rsidRDefault="00902609" w:rsidP="0058757E">
            <w:pPr>
              <w:pStyle w:val="TableSideHeading"/>
              <w:rPr>
                <w:rFonts w:ascii="David" w:hAnsi="David"/>
                <w:sz w:val="26"/>
                <w:rtl/>
              </w:rPr>
            </w:pPr>
          </w:p>
        </w:tc>
        <w:tc>
          <w:tcPr>
            <w:tcW w:w="624" w:type="dxa"/>
          </w:tcPr>
          <w:p w14:paraId="4D20778C" w14:textId="77777777" w:rsidR="00902609" w:rsidRPr="005650F0" w:rsidRDefault="00902609" w:rsidP="0058757E">
            <w:pPr>
              <w:pStyle w:val="TableText"/>
              <w:rPr>
                <w:rFonts w:ascii="David" w:hAnsi="David"/>
                <w:sz w:val="26"/>
                <w:rtl/>
              </w:rPr>
            </w:pPr>
          </w:p>
        </w:tc>
        <w:tc>
          <w:tcPr>
            <w:tcW w:w="7143" w:type="dxa"/>
            <w:gridSpan w:val="2"/>
          </w:tcPr>
          <w:p w14:paraId="719725A6" w14:textId="77777777" w:rsidR="00902609" w:rsidRPr="005650F0" w:rsidRDefault="00902609" w:rsidP="00F07C22">
            <w:pPr>
              <w:pStyle w:val="TableBlock"/>
              <w:rPr>
                <w:rFonts w:ascii="David" w:hAnsi="David"/>
                <w:sz w:val="26"/>
                <w:rtl/>
              </w:rPr>
            </w:pPr>
            <w:r w:rsidRPr="005650F0">
              <w:rPr>
                <w:rFonts w:ascii="David" w:hAnsi="David"/>
                <w:sz w:val="26"/>
                <w:rtl/>
              </w:rPr>
              <w:t>(ב)</w:t>
            </w:r>
            <w:r w:rsidRPr="005650F0">
              <w:rPr>
                <w:rFonts w:ascii="David" w:hAnsi="David"/>
                <w:sz w:val="26"/>
                <w:rtl/>
              </w:rPr>
              <w:tab/>
              <w:t>תחילתו של סעיף 4 שלוש שנים מיום פרסומו של חוק זה.</w:t>
            </w:r>
          </w:p>
        </w:tc>
      </w:tr>
    </w:tbl>
    <w:p w14:paraId="2D480D61" w14:textId="77777777" w:rsidR="00902609" w:rsidRPr="00D44EA2" w:rsidRDefault="00902609" w:rsidP="00902609">
      <w:pPr>
        <w:pStyle w:val="HeadDivreiHesber"/>
        <w:rPr>
          <w:rtl/>
        </w:rPr>
      </w:pPr>
      <w:bookmarkStart w:id="8" w:name="_GoBack"/>
      <w:bookmarkEnd w:id="8"/>
      <w:r w:rsidRPr="00D44EA2">
        <w:rPr>
          <w:rFonts w:hint="cs"/>
          <w:rtl/>
        </w:rPr>
        <w:t>דברי הסבר</w:t>
      </w:r>
    </w:p>
    <w:p w14:paraId="40360DFE" w14:textId="6BCEB792" w:rsidR="00902609" w:rsidRPr="00D44EA2" w:rsidRDefault="00902609" w:rsidP="00902609">
      <w:pPr>
        <w:pStyle w:val="Hesber"/>
      </w:pPr>
      <w:r w:rsidRPr="00D44EA2">
        <w:rPr>
          <w:rtl/>
        </w:rPr>
        <w:t>בשנים האחרונות הולכות ומתגברות תלונות רבות באזורים שונים בארץ, במיוחד בעונת החורף, על מטרדי זיהום אוויר הנגרמים מהפעלת תנורי הסקה ביתיים שפועלים על שריפת עץ, סולר או נפט גולמי</w:t>
      </w:r>
      <w:r w:rsidRPr="00D44EA2">
        <w:rPr>
          <w:rFonts w:hint="cs"/>
          <w:rtl/>
        </w:rPr>
        <w:t xml:space="preserve"> (להלן קמינים). </w:t>
      </w:r>
      <w:r w:rsidRPr="00D44EA2">
        <w:rPr>
          <w:rtl/>
        </w:rPr>
        <w:t> </w:t>
      </w:r>
    </w:p>
    <w:p w14:paraId="74C3953F" w14:textId="77777777" w:rsidR="00902609" w:rsidRPr="00D44EA2" w:rsidRDefault="00902609" w:rsidP="00902609">
      <w:pPr>
        <w:pStyle w:val="Hesber"/>
        <w:rPr>
          <w:rtl/>
        </w:rPr>
      </w:pPr>
      <w:r w:rsidRPr="00D44EA2">
        <w:rPr>
          <w:rtl/>
        </w:rPr>
        <w:t>שימוש בקמיני</w:t>
      </w:r>
      <w:r w:rsidRPr="00D44EA2">
        <w:rPr>
          <w:rFonts w:hint="cs"/>
          <w:rtl/>
        </w:rPr>
        <w:t xml:space="preserve">ם </w:t>
      </w:r>
      <w:r w:rsidRPr="00D44EA2">
        <w:rPr>
          <w:rtl/>
        </w:rPr>
        <w:t>מוכר כגורם מזהם תחת ארגון הבריאות העולמי ו</w:t>
      </w:r>
      <w:r w:rsidRPr="00D44EA2">
        <w:rPr>
          <w:rFonts w:hint="cs"/>
          <w:rtl/>
        </w:rPr>
        <w:t>כ</w:t>
      </w:r>
      <w:r w:rsidRPr="00D44EA2">
        <w:rPr>
          <w:rtl/>
        </w:rPr>
        <w:t xml:space="preserve">בעל השפעות בריאותיות כרוניות, בהן אסטמה וברונכיטיס, מחלות סרטניות, מחלות קרדיו-וסקולריות, מחלות לב-ריאה והשפעות בריאותיות חמורות </w:t>
      </w:r>
      <w:r w:rsidRPr="00D44EA2">
        <w:rPr>
          <w:rFonts w:hint="cs"/>
          <w:rtl/>
        </w:rPr>
        <w:t xml:space="preserve">נוספות. נוסף על ההשלכות הבריאותיות, תהליך השריפה של פחם ועץ מביא גם לפליטת גזי חממה ותורם לזיהום האוויר. כמו כן, השימוש בקמיני עצים נעשה בעיקר בשעות </w:t>
      </w:r>
      <w:r w:rsidRPr="00D44EA2">
        <w:rPr>
          <w:rFonts w:hint="cs"/>
          <w:rtl/>
        </w:rPr>
        <w:lastRenderedPageBreak/>
        <w:t>הלילה, כאשר בשעות אלה יש תנועה פחותה של האוויר מה שמוביל להשפעה גדולה יותר של זיהום האוויר. בנוסף, בתחנות הכוח שריפת הדלקים נעשית בצורה מבוקרת ומזהמת פחות מקמינים בייתים. לנוכח האמור לעיל, ישנה עדיפות לחימום ביתי באמצעות מזגן, על פני חימום באמצעות קמינים.</w:t>
      </w:r>
    </w:p>
    <w:p w14:paraId="0E419923" w14:textId="77777777" w:rsidR="00902609" w:rsidRPr="00D44EA2" w:rsidRDefault="00902609" w:rsidP="00902609">
      <w:pPr>
        <w:pStyle w:val="Hesber"/>
        <w:rPr>
          <w:rtl/>
        </w:rPr>
      </w:pPr>
      <w:r w:rsidRPr="00D44EA2">
        <w:rPr>
          <w:rFonts w:hint="cs"/>
          <w:rtl/>
        </w:rPr>
        <w:t>הצעת חוק זו נועדה להסדיר את זיהום האוויר המקומי שנגרם כתוצאה מאותם קמינים. המשרד להגנת הסביבה רשאי להוציא תקנות מכוח חוק אוויר נקי, אולם הוא נמנע מלעשות כן שנים רבות. בעקבות פניות של אזרחים ורשויות מקומיות התקיימו דיונים בוועדת הפנים של הכנסת ה-23 ובוועדת המשנה להשפעת הסביבה והאקלים על בריאות הציבור בכנסת ה-24, שם עלה כי יש צורך בחקיקה ראשית.</w:t>
      </w:r>
    </w:p>
    <w:p w14:paraId="059C81F3" w14:textId="460B5F30" w:rsidR="00902609" w:rsidRPr="00D44EA2" w:rsidRDefault="00902609" w:rsidP="00F07C22">
      <w:pPr>
        <w:pStyle w:val="Hesber"/>
        <w:rPr>
          <w:rtl/>
        </w:rPr>
      </w:pPr>
      <w:r w:rsidRPr="00D44EA2">
        <w:rPr>
          <w:rFonts w:hint="cs"/>
          <w:rtl/>
        </w:rPr>
        <w:t>כיום</w:t>
      </w:r>
      <w:r w:rsidRPr="00D44EA2">
        <w:rPr>
          <w:rtl/>
        </w:rPr>
        <w:t xml:space="preserve"> </w:t>
      </w:r>
      <w:r w:rsidRPr="00D44EA2">
        <w:rPr>
          <w:rFonts w:hint="cs"/>
          <w:rtl/>
        </w:rPr>
        <w:t>הרשויות המקומיות יכולות למנוע</w:t>
      </w:r>
      <w:r w:rsidRPr="00D44EA2">
        <w:rPr>
          <w:rtl/>
        </w:rPr>
        <w:t xml:space="preserve"> מפגעים שמקורם בהסקה ביתית </w:t>
      </w:r>
      <w:r w:rsidRPr="00D44EA2">
        <w:rPr>
          <w:rFonts w:hint="cs"/>
          <w:rtl/>
        </w:rPr>
        <w:t>באמצעות חוקי עזר עירוניים</w:t>
      </w:r>
      <w:r w:rsidRPr="00D44EA2">
        <w:rPr>
          <w:rtl/>
        </w:rPr>
        <w:t xml:space="preserve">. רשויות </w:t>
      </w:r>
      <w:r w:rsidRPr="00D44EA2">
        <w:rPr>
          <w:rFonts w:hint="cs"/>
          <w:rtl/>
        </w:rPr>
        <w:t>בודדות</w:t>
      </w:r>
      <w:r w:rsidRPr="00D44EA2">
        <w:rPr>
          <w:rtl/>
        </w:rPr>
        <w:t xml:space="preserve"> הסדירו את הנושא </w:t>
      </w:r>
      <w:r w:rsidRPr="00D44EA2">
        <w:rPr>
          <w:rFonts w:hint="cs"/>
          <w:rtl/>
        </w:rPr>
        <w:t xml:space="preserve">וכן קיימים </w:t>
      </w:r>
      <w:r w:rsidRPr="00D44EA2">
        <w:rPr>
          <w:rtl/>
        </w:rPr>
        <w:t xml:space="preserve">חסמים מהותיים לאכיפה אפקטיבית. </w:t>
      </w:r>
      <w:r w:rsidRPr="00D44EA2">
        <w:rPr>
          <w:rFonts w:hint="cs"/>
          <w:rtl/>
        </w:rPr>
        <w:t>על כן, מטרת החוק היא איסור מכירה ושימוש בקמינים</w:t>
      </w:r>
      <w:r w:rsidRPr="00D44EA2">
        <w:rPr>
          <w:rtl/>
        </w:rPr>
        <w:t xml:space="preserve"> – </w:t>
      </w:r>
      <w:r w:rsidRPr="00D44EA2">
        <w:rPr>
          <w:rFonts w:hint="cs"/>
          <w:rtl/>
        </w:rPr>
        <w:t>לצד סייג לתחולת החוק המאפשר במצבי חירום סמכות לרשויות מקומיות אישור שימוש בקמינים מותקנים. יצוין כי איסור שימוש בהסקת ביתית נעשה בעבר בישראל כאשר נאסר השימוש בתנורי מזוט (</w:t>
      </w:r>
      <w:r w:rsidRPr="00D44EA2">
        <w:rPr>
          <w:rtl/>
        </w:rPr>
        <w:t>תקנות למניעת מפגעים (זיהום אויר ממבערי מזוט להסקה ביתית</w:t>
      </w:r>
      <w:r w:rsidRPr="00D44EA2">
        <w:rPr>
          <w:rFonts w:hint="cs"/>
          <w:rtl/>
        </w:rPr>
        <w:t xml:space="preserve">), </w:t>
      </w:r>
      <w:r w:rsidRPr="00D44EA2">
        <w:rPr>
          <w:rtl/>
        </w:rPr>
        <w:t>תשל"ג</w:t>
      </w:r>
      <w:r w:rsidR="00F07C22" w:rsidRPr="005F48BE">
        <w:rPr>
          <w:rFonts w:ascii="David" w:eastAsia="Times New Roman" w:hAnsi="David" w:hint="eastAsia"/>
          <w:color w:val="222222"/>
          <w:sz w:val="26"/>
          <w:rtl/>
        </w:rPr>
        <w:t>–</w:t>
      </w:r>
      <w:r w:rsidRPr="00D44EA2">
        <w:rPr>
          <w:rtl/>
        </w:rPr>
        <w:t>1972</w:t>
      </w:r>
      <w:r w:rsidRPr="00D44EA2">
        <w:rPr>
          <w:rFonts w:hint="cs"/>
          <w:rtl/>
        </w:rPr>
        <w:t xml:space="preserve">). </w:t>
      </w:r>
    </w:p>
    <w:p w14:paraId="6031FD86" w14:textId="67F9501F" w:rsidR="00902609" w:rsidRPr="00D44EA2" w:rsidRDefault="00902609" w:rsidP="00CB1FA7">
      <w:pPr>
        <w:pStyle w:val="Hesber"/>
        <w:rPr>
          <w:rtl/>
        </w:rPr>
      </w:pPr>
      <w:r w:rsidRPr="00D44EA2">
        <w:rPr>
          <w:rtl/>
        </w:rPr>
        <w:t xml:space="preserve"> </w:t>
      </w:r>
      <w:r w:rsidR="00CB1FA7">
        <w:rPr>
          <w:rFonts w:hint="cs"/>
          <w:rtl/>
        </w:rPr>
        <w:t>הגשמת מטרת החוק</w:t>
      </w:r>
      <w:r w:rsidRPr="00D44EA2">
        <w:rPr>
          <w:rFonts w:hint="cs"/>
          <w:rtl/>
        </w:rPr>
        <w:t xml:space="preserve"> היא להביא להפסקה הדרגתית (</w:t>
      </w:r>
      <w:r w:rsidRPr="00D44EA2">
        <w:t>Phasing-out</w:t>
      </w:r>
      <w:r w:rsidRPr="00D44EA2">
        <w:rPr>
          <w:rFonts w:hint="cs"/>
          <w:rtl/>
        </w:rPr>
        <w:t xml:space="preserve">) של השימוש בקמינים </w:t>
      </w:r>
      <w:r w:rsidRPr="00D44EA2">
        <w:rPr>
          <w:rtl/>
        </w:rPr>
        <w:t>שפועלים על שריפת עץ</w:t>
      </w:r>
      <w:r w:rsidRPr="00D44EA2">
        <w:rPr>
          <w:rFonts w:hint="cs"/>
          <w:rtl/>
        </w:rPr>
        <w:t xml:space="preserve">, סולר או נפט גולמי. על כן, השלב הראשון הוא איסור מכירה, שיווק ובניית קמינים חדשים, שייאסרו בתוך שנה מכניסת החוק לתוקף על מנת לאפשר היערכות (סעיף 3 לחוק וסעיף תחילה </w:t>
      </w:r>
      <w:r w:rsidR="00DC0B64">
        <w:rPr>
          <w:rFonts w:hint="cs"/>
          <w:rtl/>
        </w:rPr>
        <w:t>9</w:t>
      </w:r>
      <w:r w:rsidRPr="00D44EA2">
        <w:rPr>
          <w:rFonts w:hint="cs"/>
          <w:rtl/>
        </w:rPr>
        <w:t>(א)). השלב הבא בתהליך הוא איסור שימוש</w:t>
      </w:r>
      <w:r w:rsidR="00CB1FA7">
        <w:rPr>
          <w:rFonts w:hint="cs"/>
          <w:rtl/>
        </w:rPr>
        <w:t xml:space="preserve"> בקמינים, </w:t>
      </w:r>
      <w:r w:rsidRPr="00D44EA2">
        <w:rPr>
          <w:rFonts w:hint="cs"/>
          <w:rtl/>
        </w:rPr>
        <w:t xml:space="preserve">בתוך שלוש שנים מכניסת החוק לתוקף (סעיף 4 וסעיף תחילה </w:t>
      </w:r>
      <w:r w:rsidR="00DC0B64">
        <w:rPr>
          <w:rFonts w:hint="cs"/>
          <w:rtl/>
        </w:rPr>
        <w:t>9</w:t>
      </w:r>
      <w:r w:rsidRPr="00D44EA2">
        <w:rPr>
          <w:rFonts w:hint="cs"/>
          <w:rtl/>
        </w:rPr>
        <w:t>(ב)).</w:t>
      </w:r>
    </w:p>
    <w:p w14:paraId="78D7EAFF" w14:textId="733CCF0E" w:rsidR="00902609" w:rsidRPr="00D44EA2" w:rsidRDefault="00902609" w:rsidP="00902609">
      <w:pPr>
        <w:pStyle w:val="Hesber"/>
        <w:rPr>
          <w:rtl/>
        </w:rPr>
      </w:pPr>
      <w:r w:rsidRPr="00D44EA2">
        <w:rPr>
          <w:rFonts w:hint="cs"/>
          <w:rtl/>
        </w:rPr>
        <w:t>בנוסף, סעיף 4</w:t>
      </w:r>
      <w:r w:rsidR="00CB1FA7">
        <w:rPr>
          <w:rFonts w:hint="cs"/>
          <w:rtl/>
        </w:rPr>
        <w:t xml:space="preserve"> לחוק עוסק בסייגים לאיסור שימוש.</w:t>
      </w:r>
      <w:r w:rsidRPr="00D44EA2">
        <w:rPr>
          <w:rFonts w:hint="cs"/>
          <w:rtl/>
        </w:rPr>
        <w:t xml:space="preserve"> ראש רשות מקומית רשאי לבקש פטור של שנה מן השר להגנת הסביבה. השר רשאי לתת </w:t>
      </w:r>
      <w:r w:rsidR="00CB1FA7">
        <w:rPr>
          <w:rFonts w:hint="cs"/>
          <w:rtl/>
        </w:rPr>
        <w:t xml:space="preserve">את הפטור </w:t>
      </w:r>
      <w:r w:rsidRPr="00D44EA2">
        <w:rPr>
          <w:rFonts w:hint="cs"/>
          <w:rtl/>
        </w:rPr>
        <w:t>במידה ואי השימוש בקמין יכול לפגוע באופן משמעותי באוכלוסייה באותו מקום</w:t>
      </w:r>
      <w:r w:rsidR="00CB1FA7">
        <w:rPr>
          <w:rFonts w:hint="cs"/>
          <w:rtl/>
        </w:rPr>
        <w:t>,</w:t>
      </w:r>
      <w:r w:rsidRPr="00D44EA2">
        <w:rPr>
          <w:rFonts w:hint="cs"/>
          <w:rtl/>
        </w:rPr>
        <w:t xml:space="preserve"> בשל מצבה הכלכלי או החברתי או בשל תנאי מזג האוויר באותה רשות מקומית, וכי השימוש בקמין כאמור לא יגרום לזיהום אוויר חזק, בלתי סביר או שקיים חשש ממשי כ</w:t>
      </w:r>
      <w:r w:rsidR="00CB1FA7">
        <w:rPr>
          <w:rFonts w:hint="cs"/>
          <w:rtl/>
        </w:rPr>
        <w:t>י הוא עלול לפגוע בבריאות הציבור. הפטור יינתן</w:t>
      </w:r>
      <w:r w:rsidRPr="00D44EA2">
        <w:rPr>
          <w:rFonts w:hint="cs"/>
          <w:rtl/>
        </w:rPr>
        <w:t xml:space="preserve"> למשך שנה אחת בכל פעם (סעיף 4(ב)(1)). כמו כן בסע</w:t>
      </w:r>
      <w:r w:rsidR="00CB1FA7">
        <w:rPr>
          <w:rFonts w:hint="cs"/>
          <w:rtl/>
        </w:rPr>
        <w:t>יף 4(ב)(2) מוצע כי בעתות חירום (</w:t>
      </w:r>
      <w:r w:rsidRPr="00D44EA2">
        <w:rPr>
          <w:rFonts w:hint="cs"/>
          <w:rtl/>
        </w:rPr>
        <w:t xml:space="preserve">דוגמת בעיות </w:t>
      </w:r>
      <w:r w:rsidR="00CB1FA7">
        <w:rPr>
          <w:rFonts w:hint="cs"/>
          <w:rtl/>
        </w:rPr>
        <w:t>באספקת החשמל בימי חורף קיצוניים),</w:t>
      </w:r>
      <w:r w:rsidRPr="00D44EA2">
        <w:rPr>
          <w:rFonts w:hint="cs"/>
          <w:rtl/>
        </w:rPr>
        <w:t xml:space="preserve"> </w:t>
      </w:r>
      <w:r w:rsidRPr="00D44EA2">
        <w:rPr>
          <w:rtl/>
        </w:rPr>
        <w:t>רשאי ראש הרשות ה</w:t>
      </w:r>
      <w:r w:rsidRPr="00D44EA2">
        <w:rPr>
          <w:rFonts w:hint="cs"/>
          <w:rtl/>
        </w:rPr>
        <w:t xml:space="preserve">מקומית </w:t>
      </w:r>
      <w:r w:rsidRPr="00D44EA2">
        <w:rPr>
          <w:rtl/>
        </w:rPr>
        <w:t>לאשר שימוש בקמי</w:t>
      </w:r>
      <w:r w:rsidRPr="00D44EA2">
        <w:rPr>
          <w:rFonts w:hint="cs"/>
          <w:rtl/>
        </w:rPr>
        <w:t xml:space="preserve">ן לעד שבוע ימים. תקופת זמן של יותר משבוע </w:t>
      </w:r>
      <w:r w:rsidR="00CB1FA7">
        <w:rPr>
          <w:rFonts w:hint="cs"/>
          <w:rtl/>
        </w:rPr>
        <w:t xml:space="preserve">ימים </w:t>
      </w:r>
      <w:r w:rsidRPr="00D44EA2">
        <w:rPr>
          <w:rFonts w:hint="cs"/>
          <w:rtl/>
        </w:rPr>
        <w:t xml:space="preserve">טעונה את אישור השר. </w:t>
      </w:r>
    </w:p>
    <w:p w14:paraId="0E5F395E" w14:textId="3274B0DB" w:rsidR="00902609" w:rsidRPr="00D44EA2" w:rsidRDefault="00902609" w:rsidP="00DC0B64">
      <w:pPr>
        <w:pStyle w:val="Hesber"/>
        <w:rPr>
          <w:rtl/>
        </w:rPr>
      </w:pPr>
      <w:r w:rsidRPr="00D44EA2">
        <w:rPr>
          <w:rFonts w:hint="cs"/>
          <w:rtl/>
        </w:rPr>
        <w:t xml:space="preserve">סעיפים </w:t>
      </w:r>
      <w:r w:rsidR="00DC0B64">
        <w:rPr>
          <w:rFonts w:hint="cs"/>
          <w:rtl/>
        </w:rPr>
        <w:t>6</w:t>
      </w:r>
      <w:r w:rsidRPr="00D44EA2">
        <w:rPr>
          <w:rFonts w:hint="cs"/>
          <w:rtl/>
        </w:rPr>
        <w:t xml:space="preserve"> ו-</w:t>
      </w:r>
      <w:r w:rsidR="00DC0B64">
        <w:rPr>
          <w:rFonts w:hint="cs"/>
          <w:rtl/>
        </w:rPr>
        <w:t>7</w:t>
      </w:r>
      <w:r w:rsidRPr="00D44EA2">
        <w:rPr>
          <w:rFonts w:hint="cs"/>
          <w:rtl/>
        </w:rPr>
        <w:t xml:space="preserve"> כוללים תיקוני חקיקה עקיפים להסדרת הפיקוח. כמו כן</w:t>
      </w:r>
      <w:r w:rsidR="00CB1FA7">
        <w:rPr>
          <w:rFonts w:hint="cs"/>
          <w:rtl/>
        </w:rPr>
        <w:t>, בסעיף 8</w:t>
      </w:r>
      <w:r w:rsidRPr="00D44EA2">
        <w:rPr>
          <w:rFonts w:hint="cs"/>
          <w:rtl/>
        </w:rPr>
        <w:t xml:space="preserve"> מוצע כי חוק זה יקבע בחוק העבירות המנהליות, לפיכך יהיה ניתן ל</w:t>
      </w:r>
      <w:r w:rsidRPr="00D44EA2">
        <w:rPr>
          <w:rtl/>
        </w:rPr>
        <w:t>הטיל קנס בדרך מינהלית</w:t>
      </w:r>
      <w:r w:rsidRPr="00D44EA2">
        <w:rPr>
          <w:rFonts w:hint="cs"/>
          <w:rtl/>
        </w:rPr>
        <w:t xml:space="preserve">, על עבירה לפי חוק זה.  </w:t>
      </w:r>
    </w:p>
    <w:p w14:paraId="7F6961CB" w14:textId="77777777" w:rsidR="00E13C27" w:rsidRPr="00E0313B" w:rsidRDefault="00E13C27" w:rsidP="00EF6E92">
      <w:pPr>
        <w:pStyle w:val="NormalWeb"/>
        <w:bidi/>
        <w:spacing w:before="0" w:beforeAutospacing="0" w:after="0" w:afterAutospacing="0"/>
        <w:ind w:firstLine="340"/>
        <w:jc w:val="both"/>
        <w:rPr>
          <w:rtl/>
        </w:rPr>
      </w:pPr>
    </w:p>
    <w:p w14:paraId="1DF73A9F" w14:textId="77777777" w:rsidR="00FB692F" w:rsidRDefault="00F07C22">
      <w:pPr>
        <w:jc w:val="left"/>
      </w:pPr>
      <w:bookmarkStart w:id="9" w:name="selectedDocDateB"/>
      <w:bookmarkEnd w:id="9"/>
      <w:r>
        <w:rPr>
          <w:rFonts w:eastAsia="David" w:hint="cs"/>
          <w:sz w:val="26"/>
          <w:szCs w:val="26"/>
          <w:rtl/>
        </w:rPr>
        <w:t>--------------------------------</w:t>
      </w:r>
    </w:p>
    <w:p w14:paraId="30909A4A" w14:textId="77777777" w:rsidR="00FB692F" w:rsidRDefault="00F07C22">
      <w:pPr>
        <w:jc w:val="left"/>
      </w:pPr>
      <w:r>
        <w:rPr>
          <w:rFonts w:eastAsia="David" w:hint="cs"/>
          <w:sz w:val="26"/>
          <w:szCs w:val="26"/>
          <w:rtl/>
        </w:rPr>
        <w:t>הוגשה ליו"ר הכנסת והסגנים</w:t>
      </w:r>
    </w:p>
    <w:p w14:paraId="367BC906" w14:textId="77777777" w:rsidR="00FB692F" w:rsidRDefault="00F07C22">
      <w:pPr>
        <w:jc w:val="left"/>
      </w:pPr>
      <w:r>
        <w:rPr>
          <w:rFonts w:eastAsia="David" w:hint="cs"/>
          <w:sz w:val="26"/>
          <w:szCs w:val="26"/>
          <w:rtl/>
        </w:rPr>
        <w:t>והונחה על שולחן הכנסת ביום</w:t>
      </w:r>
    </w:p>
    <w:p w14:paraId="75BE3B56" w14:textId="356EFE3F" w:rsidR="00FB692F" w:rsidRDefault="00F07C22" w:rsidP="00F07C22">
      <w:pPr>
        <w:jc w:val="left"/>
      </w:pPr>
      <w:r>
        <w:rPr>
          <w:rFonts w:eastAsia="David" w:hint="cs"/>
          <w:sz w:val="26"/>
          <w:szCs w:val="26"/>
          <w:rtl/>
        </w:rPr>
        <w:t xml:space="preserve">כ"ט באייר התשפ"ב (30.05.2022) </w:t>
      </w:r>
    </w:p>
    <w:sectPr w:rsidR="00FB692F" w:rsidSect="00F07C22">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37529BFD"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5650F0">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F07C22">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6288105" w14:textId="77777777" w:rsidR="00902609" w:rsidRDefault="00902609" w:rsidP="00902609">
      <w:pPr>
        <w:pStyle w:val="a4"/>
        <w:rPr>
          <w:rtl/>
        </w:rPr>
      </w:pPr>
      <w:r>
        <w:rPr>
          <w:rStyle w:val="a5"/>
        </w:rPr>
        <w:footnoteRef/>
      </w:r>
      <w:r>
        <w:rPr>
          <w:rtl/>
        </w:rPr>
        <w:t xml:space="preserve"> ס"ח התשס"ח, עמ' 534.</w:t>
      </w:r>
    </w:p>
  </w:footnote>
  <w:footnote w:id="3">
    <w:p w14:paraId="0AEA8DA9" w14:textId="77777777" w:rsidR="00902609" w:rsidRDefault="00902609" w:rsidP="00902609">
      <w:pPr>
        <w:pStyle w:val="a4"/>
        <w:rPr>
          <w:rtl/>
        </w:rPr>
      </w:pPr>
      <w:r>
        <w:rPr>
          <w:rStyle w:val="a5"/>
        </w:rPr>
        <w:footnoteRef/>
      </w:r>
      <w:r>
        <w:rPr>
          <w:rtl/>
        </w:rPr>
        <w:t xml:space="preserve"> </w:t>
      </w:r>
      <w:r>
        <w:rPr>
          <w:rFonts w:hint="cs"/>
          <w:rtl/>
        </w:rPr>
        <w:t>ס"ח התשע"א, עמ' 738.</w:t>
      </w:r>
    </w:p>
  </w:footnote>
  <w:footnote w:id="4">
    <w:p w14:paraId="63495526" w14:textId="77777777" w:rsidR="00902609" w:rsidRDefault="00902609" w:rsidP="00902609">
      <w:pPr>
        <w:pStyle w:val="a4"/>
      </w:pPr>
      <w:r>
        <w:rPr>
          <w:rStyle w:val="a5"/>
        </w:rPr>
        <w:footnoteRef/>
      </w:r>
      <w:r>
        <w:rPr>
          <w:rtl/>
        </w:rPr>
        <w:t xml:space="preserve"> </w:t>
      </w:r>
      <w:r>
        <w:rPr>
          <w:rFonts w:hint="cs"/>
          <w:rtl/>
        </w:rPr>
        <w:t>ס"ח התשמ"ו, עמ'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C112A"/>
    <w:multiLevelType w:val="hybridMultilevel"/>
    <w:tmpl w:val="45D69C16"/>
    <w:lvl w:ilvl="0" w:tplc="FDCAEA16">
      <w:start w:val="2"/>
      <w:numFmt w:val="hebrew1"/>
      <w:lvlText w:val="(%1)"/>
      <w:lvlJc w:val="left"/>
      <w:pPr>
        <w:ind w:left="360" w:hanging="360"/>
      </w:pPr>
      <w:rPr>
        <w:rFonts w:ascii="David" w:eastAsia="MS Mincho" w:hAnsi="David" w:cs="David"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32790"/>
    <w:multiLevelType w:val="hybridMultilevel"/>
    <w:tmpl w:val="386624FE"/>
    <w:lvl w:ilvl="0" w:tplc="C84CBB9E">
      <w:start w:val="1"/>
      <w:numFmt w:val="hebrew1"/>
      <w:lvlText w:val="(%1)"/>
      <w:lvlJc w:val="left"/>
      <w:pPr>
        <w:ind w:left="360" w:hanging="360"/>
      </w:pPr>
      <w:rPr>
        <w:rFonts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724BD3"/>
    <w:multiLevelType w:val="hybridMultilevel"/>
    <w:tmpl w:val="E1B46A14"/>
    <w:lvl w:ilvl="0" w:tplc="AD949B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0A84E68"/>
    <w:multiLevelType w:val="hybridMultilevel"/>
    <w:tmpl w:val="23D0252C"/>
    <w:lvl w:ilvl="0" w:tplc="8E468DA6">
      <w:start w:val="1"/>
      <w:numFmt w:val="hebrew1"/>
      <w:lvlText w:val="(%1)"/>
      <w:lvlJc w:val="left"/>
      <w:pPr>
        <w:ind w:left="360" w:hanging="360"/>
      </w:pPr>
      <w:rPr>
        <w:rFonts w:ascii="David" w:eastAsia="MS Mincho" w:hAnsi="David" w:cs="David"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3"/>
  </w:num>
  <w:num w:numId="14">
    <w:abstractNumId w:val="20"/>
  </w:num>
  <w:num w:numId="15">
    <w:abstractNumId w:val="18"/>
  </w:num>
  <w:num w:numId="16">
    <w:abstractNumId w:val="10"/>
  </w:num>
  <w:num w:numId="17">
    <w:abstractNumId w:val="15"/>
  </w:num>
  <w:num w:numId="18">
    <w:abstractNumId w:val="11"/>
  </w:num>
  <w:num w:numId="19">
    <w:abstractNumId w:val="16"/>
  </w:num>
  <w:num w:numId="20">
    <w:abstractNumId w:val="16"/>
    <w:lvlOverride w:ilvl="0">
      <w:startOverride w:val="1"/>
    </w:lvlOverride>
  </w:num>
  <w:num w:numId="21">
    <w:abstractNumId w:val="1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0936"/>
    <w:rsid w:val="00072CAC"/>
    <w:rsid w:val="0007681A"/>
    <w:rsid w:val="000A542E"/>
    <w:rsid w:val="00102B6B"/>
    <w:rsid w:val="001052D4"/>
    <w:rsid w:val="0010644B"/>
    <w:rsid w:val="001207F8"/>
    <w:rsid w:val="00121924"/>
    <w:rsid w:val="00123EB0"/>
    <w:rsid w:val="001279A8"/>
    <w:rsid w:val="0014195F"/>
    <w:rsid w:val="001440E3"/>
    <w:rsid w:val="00152609"/>
    <w:rsid w:val="00153E1B"/>
    <w:rsid w:val="0016203B"/>
    <w:rsid w:val="001A0623"/>
    <w:rsid w:val="001C23B0"/>
    <w:rsid w:val="001D7AAF"/>
    <w:rsid w:val="00203A7F"/>
    <w:rsid w:val="0021633A"/>
    <w:rsid w:val="002179E2"/>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650F0"/>
    <w:rsid w:val="00596F15"/>
    <w:rsid w:val="005B064E"/>
    <w:rsid w:val="005D51AE"/>
    <w:rsid w:val="0062674B"/>
    <w:rsid w:val="006363B2"/>
    <w:rsid w:val="00644940"/>
    <w:rsid w:val="006818A9"/>
    <w:rsid w:val="006A2D81"/>
    <w:rsid w:val="006C1D0D"/>
    <w:rsid w:val="0070601E"/>
    <w:rsid w:val="00712C72"/>
    <w:rsid w:val="007259BD"/>
    <w:rsid w:val="00735FE9"/>
    <w:rsid w:val="00763CAA"/>
    <w:rsid w:val="00765F66"/>
    <w:rsid w:val="0078664F"/>
    <w:rsid w:val="007A27CE"/>
    <w:rsid w:val="007C3FA6"/>
    <w:rsid w:val="007D585A"/>
    <w:rsid w:val="007D5A12"/>
    <w:rsid w:val="007E59F9"/>
    <w:rsid w:val="007F6F0F"/>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8F747B"/>
    <w:rsid w:val="00902609"/>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9E32B2"/>
    <w:rsid w:val="00A14672"/>
    <w:rsid w:val="00A26BD6"/>
    <w:rsid w:val="00A443CF"/>
    <w:rsid w:val="00A6611D"/>
    <w:rsid w:val="00A82CB7"/>
    <w:rsid w:val="00A942C1"/>
    <w:rsid w:val="00AA2F03"/>
    <w:rsid w:val="00AB545F"/>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9411D"/>
    <w:rsid w:val="00CB1FA7"/>
    <w:rsid w:val="00CF1AA2"/>
    <w:rsid w:val="00D142D3"/>
    <w:rsid w:val="00D169D9"/>
    <w:rsid w:val="00D17774"/>
    <w:rsid w:val="00D63620"/>
    <w:rsid w:val="00D8410D"/>
    <w:rsid w:val="00D867D7"/>
    <w:rsid w:val="00DB7060"/>
    <w:rsid w:val="00DC0B64"/>
    <w:rsid w:val="00DE3153"/>
    <w:rsid w:val="00E0313B"/>
    <w:rsid w:val="00E06736"/>
    <w:rsid w:val="00E13C27"/>
    <w:rsid w:val="00E33BBD"/>
    <w:rsid w:val="00E374F2"/>
    <w:rsid w:val="00E45103"/>
    <w:rsid w:val="00E55A60"/>
    <w:rsid w:val="00E62778"/>
    <w:rsid w:val="00E635A2"/>
    <w:rsid w:val="00E63D38"/>
    <w:rsid w:val="00E665B9"/>
    <w:rsid w:val="00E86211"/>
    <w:rsid w:val="00EA01E6"/>
    <w:rsid w:val="00EA3DE8"/>
    <w:rsid w:val="00EA758F"/>
    <w:rsid w:val="00ED4A6F"/>
    <w:rsid w:val="00EF3A3A"/>
    <w:rsid w:val="00EF6E92"/>
    <w:rsid w:val="00F07C22"/>
    <w:rsid w:val="00F12AAC"/>
    <w:rsid w:val="00F628D6"/>
    <w:rsid w:val="00F67051"/>
    <w:rsid w:val="00F86A1E"/>
    <w:rsid w:val="00FA5E88"/>
    <w:rsid w:val="00FB692F"/>
    <w:rsid w:val="00FD66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DA2AF89-07CC-46F2-9EC0-B6BEBD6F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C22"/>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07C2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07C2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07C2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07C22"/>
    <w:pPr>
      <w:numPr>
        <w:numId w:val="22"/>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07C22"/>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07C2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07C22"/>
    <w:rPr>
      <w:sz w:val="36"/>
      <w:szCs w:val="52"/>
    </w:rPr>
  </w:style>
  <w:style w:type="paragraph" w:customStyle="1" w:styleId="Cover3-Haknesset">
    <w:name w:val="Cover 3-Haknesset"/>
    <w:basedOn w:val="Cover1-Reshumot"/>
    <w:rsid w:val="00F07C22"/>
    <w:rPr>
      <w:b/>
      <w:bCs/>
      <w:spacing w:val="60"/>
    </w:rPr>
  </w:style>
  <w:style w:type="paragraph" w:customStyle="1" w:styleId="Cover4-Date">
    <w:name w:val="Cover 4-Date"/>
    <w:basedOn w:val="a"/>
    <w:rsid w:val="00F07C2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07C2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F07C22"/>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07C22"/>
    <w:pPr>
      <w:spacing w:before="120" w:after="120"/>
    </w:pPr>
    <w:rPr>
      <w:color w:val="FF0000"/>
      <w:w w:val="80"/>
    </w:rPr>
  </w:style>
  <w:style w:type="paragraph" w:styleId="a3">
    <w:name w:val="endnote text"/>
    <w:basedOn w:val="a"/>
    <w:semiHidden/>
    <w:rsid w:val="00F07C22"/>
    <w:pPr>
      <w:ind w:left="227" w:hanging="227"/>
    </w:pPr>
    <w:rPr>
      <w:sz w:val="14"/>
      <w:szCs w:val="22"/>
    </w:rPr>
  </w:style>
  <w:style w:type="paragraph" w:customStyle="1" w:styleId="TableText">
    <w:name w:val="Table Text"/>
    <w:basedOn w:val="a"/>
    <w:rsid w:val="00F07C2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F07C22"/>
    <w:pPr>
      <w:outlineLvl w:val="2"/>
    </w:pPr>
  </w:style>
  <w:style w:type="paragraph" w:customStyle="1" w:styleId="TableBlock">
    <w:name w:val="Table Block"/>
    <w:basedOn w:val="TableText"/>
    <w:rsid w:val="00F07C22"/>
    <w:pPr>
      <w:jc w:val="both"/>
    </w:pPr>
  </w:style>
  <w:style w:type="paragraph" w:customStyle="1" w:styleId="TableHead">
    <w:name w:val="Table Head"/>
    <w:basedOn w:val="TableText"/>
    <w:rsid w:val="00F07C22"/>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07C22"/>
    <w:pPr>
      <w:outlineLvl w:val="9"/>
    </w:pPr>
  </w:style>
  <w:style w:type="paragraph" w:customStyle="1" w:styleId="Hesber">
    <w:name w:val="Hesber"/>
    <w:basedOn w:val="a"/>
    <w:rsid w:val="00F07C22"/>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F07C22"/>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F07C22"/>
    <w:rPr>
      <w:vertAlign w:val="superscript"/>
    </w:rPr>
  </w:style>
  <w:style w:type="paragraph" w:customStyle="1" w:styleId="HesberHeading">
    <w:name w:val="Hesber Heading"/>
    <w:basedOn w:val="Hesber"/>
    <w:rsid w:val="00F07C22"/>
    <w:pPr>
      <w:tabs>
        <w:tab w:val="left" w:pos="624"/>
        <w:tab w:val="left" w:pos="1247"/>
      </w:tabs>
    </w:pPr>
    <w:rPr>
      <w:b/>
      <w:bCs/>
    </w:rPr>
  </w:style>
  <w:style w:type="paragraph" w:customStyle="1" w:styleId="HesberWriters">
    <w:name w:val="Hesber Writers"/>
    <w:basedOn w:val="Hesber"/>
    <w:rsid w:val="00F07C22"/>
    <w:pPr>
      <w:spacing w:before="120" w:after="120"/>
      <w:ind w:left="1418"/>
      <w:jc w:val="right"/>
    </w:pPr>
    <w:rPr>
      <w:b/>
      <w:bCs/>
    </w:rPr>
  </w:style>
  <w:style w:type="paragraph" w:customStyle="1" w:styleId="Hesber1st">
    <w:name w:val="Hesber 1st"/>
    <w:basedOn w:val="Hesber"/>
    <w:rsid w:val="00F07C22"/>
    <w:pPr>
      <w:tabs>
        <w:tab w:val="left" w:pos="680"/>
        <w:tab w:val="left" w:pos="1020"/>
      </w:tabs>
      <w:ind w:firstLine="0"/>
    </w:pPr>
  </w:style>
  <w:style w:type="character" w:styleId="a6">
    <w:name w:val="endnote reference"/>
    <w:basedOn w:val="a0"/>
    <w:semiHidden/>
    <w:rsid w:val="00F07C22"/>
    <w:rPr>
      <w:vertAlign w:val="superscript"/>
    </w:rPr>
  </w:style>
  <w:style w:type="paragraph" w:customStyle="1" w:styleId="TableBlockOutdent">
    <w:name w:val="Table BlockOutdent"/>
    <w:basedOn w:val="TableBlock"/>
    <w:rsid w:val="00F07C22"/>
    <w:pPr>
      <w:ind w:left="624" w:hanging="624"/>
    </w:pPr>
  </w:style>
  <w:style w:type="paragraph" w:styleId="a7">
    <w:name w:val="header"/>
    <w:basedOn w:val="a"/>
    <w:rsid w:val="00F07C22"/>
    <w:pPr>
      <w:tabs>
        <w:tab w:val="center" w:pos="4153"/>
        <w:tab w:val="right" w:pos="8306"/>
      </w:tabs>
    </w:pPr>
  </w:style>
  <w:style w:type="paragraph" w:styleId="a8">
    <w:name w:val="footer"/>
    <w:basedOn w:val="a"/>
    <w:rsid w:val="00F07C22"/>
    <w:pPr>
      <w:tabs>
        <w:tab w:val="center" w:pos="4153"/>
        <w:tab w:val="right" w:pos="8306"/>
      </w:tabs>
    </w:pPr>
  </w:style>
  <w:style w:type="paragraph" w:customStyle="1" w:styleId="HeadDivreiHesber">
    <w:name w:val="Head DivreiHesber"/>
    <w:basedOn w:val="a"/>
    <w:rsid w:val="00F07C22"/>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F07C22"/>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F07C22"/>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paragraph" w:styleId="ad">
    <w:name w:val="List Paragraph"/>
    <w:basedOn w:val="a"/>
    <w:uiPriority w:val="34"/>
    <w:qFormat/>
    <w:rsid w:val="00F07C22"/>
    <w:pPr>
      <w:widowControl/>
      <w:spacing w:line="259" w:lineRule="auto"/>
    </w:pPr>
    <w:rPr>
      <w:rFonts w:asciiTheme="minorHAnsi" w:hAnsiTheme="minorHAnsi"/>
      <w:sz w:val="22"/>
    </w:rPr>
  </w:style>
  <w:style w:type="table" w:styleId="31">
    <w:name w:val="Table Web 3"/>
    <w:basedOn w:val="a1"/>
    <w:rsid w:val="00FD6615"/>
    <w:pPr>
      <w:widowControl w:val="0"/>
      <w:autoSpaceDE w:val="0"/>
      <w:autoSpaceDN w:val="0"/>
      <w:bidi/>
      <w:adjustRightInd w:val="0"/>
      <w:spacing w:before="102" w:line="204" w:lineRule="atLeast"/>
      <w:ind w:firstLine="340"/>
      <w:jc w:val="both"/>
      <w:textAlignment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a"/>
    <w:uiPriority w:val="99"/>
    <w:unhideWhenUsed/>
    <w:rsid w:val="00FD6615"/>
    <w:pPr>
      <w:widowControl/>
      <w:bidi w:val="0"/>
      <w:spacing w:before="100" w:beforeAutospacing="1" w:after="100" w:afterAutospacing="1" w:line="240" w:lineRule="auto"/>
      <w:jc w:val="left"/>
    </w:pPr>
    <w:rPr>
      <w:rFonts w:ascii="Times New Roman" w:eastAsia="Times New Roman" w:hAnsi="Times New Roman" w:cs="Times New Roman"/>
    </w:rPr>
  </w:style>
  <w:style w:type="character" w:customStyle="1" w:styleId="10">
    <w:name w:val="כותרת 1 תו"/>
    <w:basedOn w:val="a0"/>
    <w:link w:val="1"/>
    <w:uiPriority w:val="9"/>
    <w:rsid w:val="00F07C22"/>
    <w:rPr>
      <w:rFonts w:asciiTheme="majorHAnsi" w:eastAsiaTheme="majorEastAsia" w:hAnsiTheme="majorHAnsi" w:cs="David"/>
      <w:bCs/>
      <w:sz w:val="32"/>
      <w:szCs w:val="36"/>
    </w:rPr>
  </w:style>
  <w:style w:type="character" w:customStyle="1" w:styleId="20">
    <w:name w:val="כותרת 2 תו"/>
    <w:basedOn w:val="a0"/>
    <w:link w:val="2"/>
    <w:rsid w:val="00F07C22"/>
    <w:rPr>
      <w:rFonts w:asciiTheme="majorHAnsi" w:eastAsiaTheme="majorEastAsia" w:hAnsiTheme="majorHAnsi" w:cs="David"/>
      <w:bCs/>
      <w:sz w:val="26"/>
      <w:szCs w:val="36"/>
      <w:u w:val="single"/>
    </w:rPr>
  </w:style>
  <w:style w:type="character" w:customStyle="1" w:styleId="30">
    <w:name w:val="כותרת 3 תו"/>
    <w:basedOn w:val="a0"/>
    <w:link w:val="3"/>
    <w:rsid w:val="00F07C22"/>
    <w:rPr>
      <w:rFonts w:asciiTheme="majorHAnsi" w:eastAsiaTheme="majorEastAsia" w:hAnsiTheme="majorHAnsi" w:cs="David"/>
      <w:sz w:val="24"/>
      <w:szCs w:val="28"/>
      <w:u w:val="double"/>
    </w:rPr>
  </w:style>
  <w:style w:type="character" w:customStyle="1" w:styleId="40">
    <w:name w:val="כותרת 4 תו"/>
    <w:basedOn w:val="a0"/>
    <w:link w:val="4"/>
    <w:uiPriority w:val="9"/>
    <w:rsid w:val="00F07C22"/>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07C22"/>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F07C22"/>
    <w:pPr>
      <w:widowControl/>
      <w:spacing w:before="120" w:after="120"/>
      <w:outlineLvl w:val="9"/>
    </w:pPr>
    <w:rPr>
      <w:rtl/>
      <w:cs/>
    </w:rPr>
  </w:style>
  <w:style w:type="paragraph" w:styleId="TOC1">
    <w:name w:val="toc 1"/>
    <w:basedOn w:val="a"/>
    <w:next w:val="a"/>
    <w:autoRedefine/>
    <w:uiPriority w:val="39"/>
    <w:unhideWhenUsed/>
    <w:rsid w:val="00F07C22"/>
    <w:pPr>
      <w:tabs>
        <w:tab w:val="right" w:leader="dot" w:pos="9629"/>
      </w:tabs>
      <w:spacing w:after="100"/>
    </w:pPr>
    <w:rPr>
      <w:bCs/>
      <w:szCs w:val="22"/>
    </w:rPr>
  </w:style>
  <w:style w:type="paragraph" w:styleId="TOC2">
    <w:name w:val="toc 2"/>
    <w:basedOn w:val="a"/>
    <w:next w:val="a"/>
    <w:uiPriority w:val="39"/>
    <w:unhideWhenUsed/>
    <w:rsid w:val="00F07C22"/>
    <w:pPr>
      <w:tabs>
        <w:tab w:val="right" w:leader="dot" w:pos="9628"/>
      </w:tabs>
      <w:spacing w:after="100"/>
    </w:pPr>
    <w:rPr>
      <w:szCs w:val="22"/>
    </w:rPr>
  </w:style>
  <w:style w:type="character" w:styleId="Hyperlink">
    <w:name w:val="Hyperlink"/>
    <w:basedOn w:val="a0"/>
    <w:uiPriority w:val="99"/>
    <w:unhideWhenUsed/>
    <w:rsid w:val="00F07C22"/>
    <w:rPr>
      <w:color w:val="0000FF" w:themeColor="hyperlink"/>
      <w:u w:val="single"/>
    </w:rPr>
  </w:style>
  <w:style w:type="paragraph" w:styleId="TOC3">
    <w:name w:val="toc 3"/>
    <w:basedOn w:val="a"/>
    <w:next w:val="a"/>
    <w:uiPriority w:val="39"/>
    <w:unhideWhenUsed/>
    <w:rsid w:val="00F07C22"/>
    <w:pPr>
      <w:numPr>
        <w:numId w:val="25"/>
      </w:numPr>
      <w:tabs>
        <w:tab w:val="right" w:leader="dot" w:pos="9629"/>
      </w:tabs>
      <w:spacing w:after="100"/>
      <w:ind w:left="811" w:hanging="357"/>
    </w:pPr>
    <w:rPr>
      <w:szCs w:val="22"/>
    </w:rPr>
  </w:style>
  <w:style w:type="paragraph" w:styleId="TOC4">
    <w:name w:val="toc 4"/>
    <w:basedOn w:val="a"/>
    <w:next w:val="a"/>
    <w:autoRedefine/>
    <w:unhideWhenUsed/>
    <w:qFormat/>
    <w:rsid w:val="00F07C2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07C22"/>
    <w:pPr>
      <w:tabs>
        <w:tab w:val="right" w:leader="dot" w:pos="9628"/>
      </w:tabs>
      <w:spacing w:after="100"/>
      <w:ind w:left="567"/>
    </w:pPr>
    <w:rPr>
      <w:szCs w:val="22"/>
    </w:rPr>
  </w:style>
  <w:style w:type="paragraph" w:styleId="TOC6">
    <w:name w:val="toc 6"/>
    <w:basedOn w:val="a"/>
    <w:next w:val="a"/>
    <w:autoRedefine/>
    <w:semiHidden/>
    <w:unhideWhenUsed/>
    <w:rsid w:val="00F07C22"/>
    <w:pPr>
      <w:spacing w:after="100"/>
      <w:ind w:left="850"/>
    </w:pPr>
  </w:style>
  <w:style w:type="paragraph" w:styleId="TOC7">
    <w:name w:val="toc 7"/>
    <w:basedOn w:val="a"/>
    <w:next w:val="a"/>
    <w:autoRedefine/>
    <w:semiHidden/>
    <w:unhideWhenUsed/>
    <w:rsid w:val="00F07C22"/>
    <w:pPr>
      <w:spacing w:after="100"/>
      <w:ind w:left="1020"/>
    </w:pPr>
  </w:style>
  <w:style w:type="paragraph" w:styleId="TOC8">
    <w:name w:val="toc 8"/>
    <w:basedOn w:val="a"/>
    <w:next w:val="a"/>
    <w:autoRedefine/>
    <w:semiHidden/>
    <w:unhideWhenUsed/>
    <w:rsid w:val="00F07C22"/>
    <w:pPr>
      <w:spacing w:after="100"/>
      <w:ind w:left="1190"/>
    </w:pPr>
  </w:style>
  <w:style w:type="paragraph" w:styleId="TOC9">
    <w:name w:val="toc 9"/>
    <w:basedOn w:val="a"/>
    <w:next w:val="a"/>
    <w:autoRedefine/>
    <w:semiHidden/>
    <w:unhideWhenUsed/>
    <w:rsid w:val="00F07C22"/>
    <w:pPr>
      <w:spacing w:after="100"/>
      <w:ind w:left="1360"/>
    </w:pPr>
  </w:style>
  <w:style w:type="paragraph" w:customStyle="1" w:styleId="TableHead2">
    <w:name w:val="Table Head2"/>
    <w:basedOn w:val="TableHead"/>
    <w:qFormat/>
    <w:rsid w:val="00F07C22"/>
    <w:pPr>
      <w:outlineLvl w:val="9"/>
    </w:pPr>
  </w:style>
  <w:style w:type="paragraph" w:customStyle="1" w:styleId="TableSideHeading2">
    <w:name w:val="Table SideHeading2"/>
    <w:basedOn w:val="TableSideHeading"/>
    <w:autoRedefine/>
    <w:qFormat/>
    <w:rsid w:val="00F07C22"/>
    <w:pPr>
      <w:keepLines w:val="0"/>
      <w:outlineLvl w:val="9"/>
    </w:pPr>
  </w:style>
  <w:style w:type="paragraph" w:customStyle="1" w:styleId="0">
    <w:name w:val="סגנון שורה ראשונה:  0  ס''מ"/>
    <w:basedOn w:val="2"/>
    <w:rsid w:val="00F07C22"/>
    <w:rPr>
      <w:rFonts w:eastAsia="Times New Roman"/>
    </w:rPr>
  </w:style>
  <w:style w:type="table" w:styleId="af">
    <w:name w:val="Table Grid"/>
    <w:basedOn w:val="a1"/>
    <w:rsid w:val="00F07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F07C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07C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F07C22"/>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07C22"/>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F794831A-8B21-45DC-ACD8-43CF6E0F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9174B-3F6C-4783-AE61-8047D004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768</Words>
  <Characters>4384</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25</cp:revision>
  <cp:lastPrinted>2013-07-04T08:25:00Z</cp:lastPrinted>
  <dcterms:created xsi:type="dcterms:W3CDTF">2015-04-20T09:58:00Z</dcterms:created>
  <dcterms:modified xsi:type="dcterms:W3CDTF">2022-05-30T05:52:00Z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2190887</vt:r8>
  </property>
</Properties>
</file>