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2192707</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Pr="00CF1AA2" w:rsidR="00E13C27" w:rsidP="00047CA1" w:rsidRDefault="008F6665" w14:paraId="7F6961AA" w14:textId="02E7D685">
      <w:pPr>
        <w:pStyle w:val="David"/>
        <w:spacing w:before="102"/>
        <w:ind w:left="3544"/>
        <w:rPr>
          <w:b/>
          <w:bCs/>
          <w:sz w:val="16"/>
          <w:szCs w:val="16"/>
          <w:rtl/>
        </w:rPr>
      </w:pPr>
      <w:bookmarkStart w:name="LGS_Initiators_List" w:id="2"/>
      <w:r>
        <w:rPr>
          <w:b/>
          <w:bCs/>
          <w:rtl/>
        </w:rPr>
        <w:t>יוזמים:      חברי הכנסת</w:t>
      </w:r>
      <w:bookmarkEnd w:id="2"/>
      <w:r w:rsidRPr="00F67051" w:rsidR="00B35784">
        <w:rPr>
          <w:b/>
          <w:bCs/>
        </w:rPr>
        <w:tab/>
      </w:r>
      <w:bookmarkStart w:name="LGS_PM_Names" w:id="3"/>
      <w:r>
        <w:rPr>
          <w:rFonts w:hint="cs"/>
          <w:b/>
          <w:bCs/>
          <w:rtl/>
        </w:rPr>
        <w:t>אפרת רייטן מרום</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יעקב אשר</w:t>
      </w:r>
      <w:r>
        <w:br/>
      </w:r>
      <w:r>
        <w:rPr>
          <w:rFonts w:hint="cs"/>
          <w:b/>
          <w:bCs/>
          <w:rtl/>
        </w:rPr>
        <w:t xml:space="preserve"> </w:t>
      </w:r>
      <w:r>
        <w:tab/>
      </w:r>
      <w:r>
        <w:tab/>
      </w:r>
      <w:r>
        <w:tab/>
      </w:r>
      <w:r>
        <w:tab/>
      </w:r>
      <w:r>
        <w:rPr>
          <w:rFonts w:hint="cs"/>
          <w:b/>
          <w:bCs/>
          <w:rtl/>
        </w:rPr>
        <w:t>מיכאל מרדכי ביטון</w:t>
      </w:r>
      <w:r>
        <w:br/>
      </w:r>
      <w:r>
        <w:rPr>
          <w:rFonts w:hint="cs"/>
          <w:b/>
          <w:bCs/>
          <w:rtl/>
        </w:rPr>
        <w:t xml:space="preserve"> </w:t>
      </w:r>
      <w:r>
        <w:tab/>
      </w:r>
      <w:r>
        <w:tab/>
      </w:r>
      <w:r>
        <w:tab/>
      </w:r>
      <w:r>
        <w:tab/>
      </w:r>
      <w:r>
        <w:rPr>
          <w:rFonts w:hint="cs"/>
          <w:b/>
          <w:bCs/>
          <w:rtl/>
        </w:rPr>
        <w:t>מיכל רוזין</w:t>
      </w:r>
      <w:bookmarkStart w:name="LGS_Join_List" w:id="4"/>
      <w:bookmarkEnd w:id="3"/>
      <w:r w:rsidR="007D585A">
        <w:rPr>
          <w:rtl/>
        </w:rPr>
        <w:t xml:space="preserve"> </w:t>
      </w:r>
      <w:bookmarkEnd w:id="4"/>
      <w:r w:rsidRPr="00CF1AA2" w:rsidR="002200A1">
        <w:rPr>
          <w:rFonts w:hint="cs"/>
          <w:rtl/>
        </w:rPr>
        <w:tab/>
      </w:r>
      <w:bookmarkStart w:name="LGS_PM_NamesJoin" w:id="5"/>
      <w:r w:rsidR="007D585A">
        <w:rPr>
          <w:rFonts w:hint="cs"/>
          <w:rtl/>
        </w:rPr>
        <w:t xml:space="preserve"> </w:t>
      </w:r>
      <w:bookmarkEnd w:id="5"/>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047CA1" w:rsidRDefault="00904591" w14:paraId="7F6961AB" w14:textId="194DEF3E">
      <w:pPr>
        <w:pStyle w:val="David"/>
        <w:spacing w:line="240" w:lineRule="auto"/>
        <w:ind w:left="6424" w:firstLine="56"/>
        <w:rPr>
          <w:rtl/>
        </w:rPr>
      </w:pPr>
      <w:bookmarkStart w:name="Private_Number" w:id="6"/>
      <w:r xmlns:w="http://schemas.openxmlformats.org/wordprocessingml/2006/main">
        <w:rPr xmlns:w="http://schemas.openxmlformats.org/wordprocessingml/2006/main">
          <w:rFonts w:hint="cs"/>
          <w:rtl/>
        </w:rPr>
        <w:t xml:space="preserve">פ/3886/24</w:t>
      </w:r>
      <w:bookmarkEnd w:id="6"/>
    </w:p>
    <w:p w:rsidRPr="00F67051" w:rsidR="00E13C27" w:rsidP="00792E45" w:rsidRDefault="00A443CF" w14:paraId="7F6961AD" w14:textId="3979441E">
      <w:pPr>
        <w:pStyle w:val="HeadHatzaotHok"/>
        <w:rPr>
          <w:rtl/>
        </w:rPr>
      </w:pPr>
      <w:bookmarkStart w:name="LGS_Subject" w:id="7"/>
      <w:r>
        <w:rPr>
          <w:rFonts w:hint="cs"/>
          <w:rtl/>
        </w:rPr>
        <w:t xml:space="preserve">הצעת חוק הביטוח הלאומי (תיקון </w:t>
      </w:r>
      <w:r w:rsidR="00792E45">
        <w:rPr>
          <w:rFonts w:hint="eastAsia"/>
          <w:rtl/>
        </w:rPr>
        <w:t>–</w:t>
      </w:r>
      <w:r>
        <w:rPr>
          <w:rFonts w:hint="cs"/>
          <w:rtl/>
        </w:rPr>
        <w:t xml:space="preserve"> כפל קצבאות), </w:t>
      </w:r>
      <w:proofErr w:type="spellStart"/>
      <w:r>
        <w:rPr>
          <w:rFonts w:hint="cs"/>
          <w:rtl/>
        </w:rPr>
        <w:t>התשפ"ב</w:t>
      </w:r>
      <w:proofErr w:type="spellEnd"/>
      <w:r w:rsidR="00792E45">
        <w:rPr>
          <w:rFonts w:hint="eastAsia"/>
          <w:rtl/>
        </w:rPr>
        <w:t>–</w:t>
      </w:r>
      <w:r>
        <w:rPr>
          <w:rFonts w:hint="cs"/>
          <w:rtl/>
        </w:rPr>
        <w:t>2022</w:t>
      </w:r>
      <w:bookmarkEnd w:id="7"/>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Pr="00047CA1" w:rsidR="00FA0A0A" w:rsidTr="00047CA1" w14:paraId="709F82B7" w14:textId="77777777">
        <w:tc>
          <w:tcPr>
            <w:tcW w:w="1871" w:type="dxa"/>
            <w:shd w:val="clear" w:color="auto" w:fill="auto"/>
          </w:tcPr>
          <w:p w:rsidRPr="00047CA1" w:rsidR="00FA0A0A" w:rsidP="00F2315D" w:rsidRDefault="00FA0A0A" w14:paraId="67FF9FB0" w14:textId="77777777">
            <w:pPr>
              <w:pStyle w:val="TableSideHeading"/>
              <w:rPr>
                <w:rFonts w:ascii="David" w:hAnsi="David"/>
                <w:sz w:val="26"/>
                <w:rtl/>
              </w:rPr>
            </w:pPr>
            <w:r w:rsidRPr="00047CA1">
              <w:rPr>
                <w:rFonts w:ascii="David" w:hAnsi="David"/>
                <w:sz w:val="26"/>
                <w:rtl/>
              </w:rPr>
              <w:t xml:space="preserve">תיקון סעיף 195 </w:t>
            </w:r>
          </w:p>
        </w:tc>
        <w:tc>
          <w:tcPr>
            <w:tcW w:w="624" w:type="dxa"/>
            <w:shd w:val="clear" w:color="auto" w:fill="auto"/>
          </w:tcPr>
          <w:p w:rsidRPr="00047CA1" w:rsidR="00FA0A0A" w:rsidP="00F2315D" w:rsidRDefault="00FA0A0A" w14:paraId="549E0338" w14:textId="77777777">
            <w:pPr>
              <w:pStyle w:val="TableText"/>
              <w:rPr>
                <w:rFonts w:ascii="David" w:hAnsi="David"/>
                <w:sz w:val="26"/>
                <w:rtl/>
              </w:rPr>
            </w:pPr>
            <w:r w:rsidRPr="00047CA1">
              <w:rPr>
                <w:rFonts w:ascii="David" w:hAnsi="David"/>
                <w:sz w:val="26"/>
                <w:rtl/>
              </w:rPr>
              <w:t>1.</w:t>
            </w:r>
            <w:r w:rsidRPr="00047CA1">
              <w:rPr>
                <w:rFonts w:ascii="David" w:hAnsi="David"/>
                <w:sz w:val="26"/>
                <w:rtl/>
              </w:rPr>
              <w:tab/>
            </w:r>
          </w:p>
        </w:tc>
        <w:tc>
          <w:tcPr>
            <w:tcW w:w="7143" w:type="dxa"/>
            <w:shd w:val="clear" w:color="auto" w:fill="auto"/>
          </w:tcPr>
          <w:p w:rsidRPr="00047CA1" w:rsidR="00FA0A0A" w:rsidP="00047CA1" w:rsidRDefault="00FA0A0A" w14:paraId="4CEE64D8" w14:textId="4BB35174">
            <w:pPr>
              <w:pStyle w:val="TableBlock"/>
              <w:rPr>
                <w:rFonts w:ascii="David" w:hAnsi="David"/>
                <w:sz w:val="26"/>
                <w:rtl/>
              </w:rPr>
            </w:pPr>
            <w:r w:rsidRPr="00047CA1">
              <w:rPr>
                <w:rFonts w:ascii="David" w:hAnsi="David"/>
                <w:sz w:val="26"/>
                <w:rtl/>
              </w:rPr>
              <w:t xml:space="preserve">בחוק הביטוח הלאומי [נוסח משולב], </w:t>
            </w:r>
            <w:proofErr w:type="spellStart"/>
            <w:r w:rsidRPr="00047CA1">
              <w:rPr>
                <w:rFonts w:ascii="David" w:hAnsi="David"/>
                <w:sz w:val="26"/>
                <w:rtl/>
              </w:rPr>
              <w:t>התשנ"ה</w:t>
            </w:r>
            <w:proofErr w:type="spellEnd"/>
            <w:r w:rsidRPr="00047CA1">
              <w:rPr>
                <w:rFonts w:ascii="David" w:hAnsi="David"/>
                <w:sz w:val="26"/>
                <w:rtl/>
              </w:rPr>
              <w:t>–1995‏</w:t>
            </w:r>
            <w:r w:rsidRPr="00047CA1">
              <w:rPr>
                <w:rStyle w:val="a6"/>
                <w:rFonts w:ascii="David" w:hAnsi="David"/>
                <w:sz w:val="26"/>
                <w:rtl/>
              </w:rPr>
              <w:footnoteReference w:id="2"/>
            </w:r>
            <w:r w:rsidRPr="00047CA1">
              <w:rPr>
                <w:rFonts w:ascii="David" w:hAnsi="David"/>
                <w:sz w:val="26"/>
                <w:rtl/>
              </w:rPr>
              <w:t xml:space="preserve"> (להלן – החוק העיקרי), בסעיף 195, בהגדרה "הכנסה מעבודה או ממשלח יד", בסופה יבוא "ולעניין סעיפים 200, 201 ו-202 – גם הכנסה מדמי אבטלה כהגדרתם בסעיף 158"</w:t>
            </w:r>
            <w:r w:rsidR="00462B89">
              <w:rPr>
                <w:rFonts w:hint="cs" w:ascii="David" w:hAnsi="David"/>
                <w:sz w:val="26"/>
                <w:rtl/>
              </w:rPr>
              <w:t>.</w:t>
            </w:r>
          </w:p>
        </w:tc>
      </w:tr>
      <w:tr w:rsidRPr="00047CA1" w:rsidR="00FA0A0A" w:rsidTr="00047CA1" w14:paraId="698AC8BE" w14:textId="77777777">
        <w:tc>
          <w:tcPr>
            <w:tcW w:w="1871" w:type="dxa"/>
            <w:shd w:val="clear" w:color="auto" w:fill="auto"/>
          </w:tcPr>
          <w:p w:rsidRPr="00047CA1" w:rsidR="00FA0A0A" w:rsidP="00F2315D" w:rsidRDefault="00FA0A0A" w14:paraId="326694ED" w14:textId="77777777">
            <w:pPr>
              <w:pStyle w:val="TableSideHeading"/>
              <w:rPr>
                <w:rFonts w:ascii="David" w:hAnsi="David"/>
                <w:sz w:val="26"/>
                <w:rtl/>
              </w:rPr>
            </w:pPr>
            <w:r w:rsidRPr="00047CA1">
              <w:rPr>
                <w:rFonts w:ascii="David" w:hAnsi="David"/>
                <w:sz w:val="26"/>
                <w:rtl/>
              </w:rPr>
              <w:t>תיקון סעיף 238</w:t>
            </w:r>
          </w:p>
        </w:tc>
        <w:tc>
          <w:tcPr>
            <w:tcW w:w="624" w:type="dxa"/>
            <w:shd w:val="clear" w:color="auto" w:fill="auto"/>
          </w:tcPr>
          <w:p w:rsidRPr="00047CA1" w:rsidR="00FA0A0A" w:rsidP="00F2315D" w:rsidRDefault="00FA0A0A" w14:paraId="246C180C" w14:textId="77777777">
            <w:pPr>
              <w:pStyle w:val="TableText"/>
              <w:rPr>
                <w:rFonts w:ascii="David" w:hAnsi="David"/>
                <w:sz w:val="26"/>
                <w:rtl/>
              </w:rPr>
            </w:pPr>
            <w:r w:rsidRPr="00047CA1">
              <w:rPr>
                <w:rFonts w:ascii="David" w:hAnsi="David"/>
                <w:sz w:val="26"/>
                <w:rtl/>
              </w:rPr>
              <w:t>2.</w:t>
            </w:r>
            <w:r w:rsidRPr="00047CA1">
              <w:rPr>
                <w:rFonts w:ascii="David" w:hAnsi="David"/>
                <w:sz w:val="26"/>
                <w:rtl/>
              </w:rPr>
              <w:tab/>
            </w:r>
          </w:p>
        </w:tc>
        <w:tc>
          <w:tcPr>
            <w:tcW w:w="7143" w:type="dxa"/>
            <w:shd w:val="clear" w:color="auto" w:fill="auto"/>
          </w:tcPr>
          <w:p w:rsidRPr="00047CA1" w:rsidR="00FA0A0A" w:rsidP="00047CA1" w:rsidRDefault="00FA0A0A" w14:paraId="61E356EE" w14:textId="3948B711">
            <w:pPr>
              <w:pStyle w:val="TableBlock"/>
              <w:rPr>
                <w:rFonts w:ascii="David" w:hAnsi="David"/>
                <w:sz w:val="26"/>
                <w:rtl/>
              </w:rPr>
            </w:pPr>
            <w:r w:rsidRPr="00047CA1">
              <w:rPr>
                <w:rFonts w:ascii="David" w:hAnsi="David"/>
                <w:sz w:val="26"/>
                <w:rtl/>
              </w:rPr>
              <w:t>בסעיף 238 לחוק העיקרי, בהגדרה "הכנסה", בסופה יבוא "ויראו הכנסה מדמי אבטלה כהגדרתם בסעיף 158 כהכנסה מעבודה או ממשלח יד"</w:t>
            </w:r>
            <w:r w:rsidR="00462B89">
              <w:rPr>
                <w:rFonts w:hint="cs" w:ascii="David" w:hAnsi="David"/>
                <w:sz w:val="26"/>
                <w:rtl/>
              </w:rPr>
              <w:t>.</w:t>
            </w:r>
            <w:bookmarkStart w:name="_GoBack" w:id="8"/>
            <w:bookmarkEnd w:id="8"/>
          </w:p>
        </w:tc>
      </w:tr>
      <w:tr w:rsidRPr="00047CA1" w:rsidR="00FA0A0A" w:rsidTr="00047CA1" w14:paraId="6932DC3E" w14:textId="77777777">
        <w:tc>
          <w:tcPr>
            <w:tcW w:w="1871" w:type="dxa"/>
            <w:shd w:val="clear" w:color="auto" w:fill="auto"/>
          </w:tcPr>
          <w:p w:rsidRPr="00047CA1" w:rsidR="00FA0A0A" w:rsidP="00F2315D" w:rsidRDefault="00FA0A0A" w14:paraId="0C440A87" w14:textId="77777777">
            <w:pPr>
              <w:pStyle w:val="TableSideHeading"/>
              <w:rPr>
                <w:rFonts w:ascii="David" w:hAnsi="David"/>
                <w:sz w:val="26"/>
                <w:rtl/>
              </w:rPr>
            </w:pPr>
            <w:r w:rsidRPr="00047CA1">
              <w:rPr>
                <w:rFonts w:ascii="David" w:hAnsi="David"/>
                <w:sz w:val="26"/>
                <w:rtl/>
              </w:rPr>
              <w:t>תיקון סעיף 320</w:t>
            </w:r>
          </w:p>
        </w:tc>
        <w:tc>
          <w:tcPr>
            <w:tcW w:w="624" w:type="dxa"/>
            <w:shd w:val="clear" w:color="auto" w:fill="auto"/>
          </w:tcPr>
          <w:p w:rsidRPr="00047CA1" w:rsidR="00FA0A0A" w:rsidP="00F2315D" w:rsidRDefault="00FA0A0A" w14:paraId="295486EE" w14:textId="77777777">
            <w:pPr>
              <w:pStyle w:val="TableText"/>
              <w:rPr>
                <w:rFonts w:ascii="David" w:hAnsi="David"/>
                <w:sz w:val="26"/>
                <w:rtl/>
              </w:rPr>
            </w:pPr>
            <w:r w:rsidRPr="00047CA1">
              <w:rPr>
                <w:rFonts w:ascii="David" w:hAnsi="David"/>
                <w:sz w:val="26"/>
                <w:rtl/>
              </w:rPr>
              <w:t>3.</w:t>
            </w:r>
            <w:r w:rsidRPr="00047CA1">
              <w:rPr>
                <w:rFonts w:ascii="David" w:hAnsi="David"/>
                <w:sz w:val="26"/>
                <w:rtl/>
              </w:rPr>
              <w:tab/>
            </w:r>
          </w:p>
        </w:tc>
        <w:tc>
          <w:tcPr>
            <w:tcW w:w="7143" w:type="dxa"/>
            <w:shd w:val="clear" w:color="auto" w:fill="auto"/>
          </w:tcPr>
          <w:p w:rsidRPr="00047CA1" w:rsidR="00FA0A0A" w:rsidP="00047CA1" w:rsidRDefault="00FA0A0A" w14:paraId="00F2444D" w14:textId="258AFC1F">
            <w:pPr>
              <w:pStyle w:val="TableBlock"/>
              <w:rPr>
                <w:rFonts w:ascii="David" w:hAnsi="David"/>
                <w:sz w:val="26"/>
                <w:rtl/>
              </w:rPr>
            </w:pPr>
            <w:r w:rsidRPr="00047CA1">
              <w:rPr>
                <w:rFonts w:ascii="David" w:hAnsi="David"/>
                <w:sz w:val="26"/>
                <w:rtl/>
              </w:rPr>
              <w:t>בסעיף 320(ח) לחוק העיקרי, המילים "לדמי אבטלה או" – יימחקו.</w:t>
            </w:r>
            <w:r w:rsidRPr="00047CA1" w:rsidR="00047CA1">
              <w:rPr>
                <w:rFonts w:ascii="David" w:hAnsi="David"/>
                <w:sz w:val="26"/>
                <w:rtl/>
              </w:rPr>
              <w:t xml:space="preserve">  </w:t>
            </w:r>
          </w:p>
        </w:tc>
      </w:tr>
      <w:tr w:rsidRPr="00047CA1" w:rsidR="00FA0A0A" w:rsidTr="00047CA1" w14:paraId="698FE90B" w14:textId="77777777">
        <w:tc>
          <w:tcPr>
            <w:tcW w:w="1871" w:type="dxa"/>
            <w:shd w:val="clear" w:color="auto" w:fill="auto"/>
          </w:tcPr>
          <w:p w:rsidRPr="00047CA1" w:rsidR="00FA0A0A" w:rsidP="00F2315D" w:rsidRDefault="00FA0A0A" w14:paraId="5F381F0C" w14:textId="77777777">
            <w:pPr>
              <w:pStyle w:val="TableSideHeading"/>
              <w:rPr>
                <w:rFonts w:ascii="David" w:hAnsi="David"/>
                <w:sz w:val="26"/>
                <w:rtl/>
              </w:rPr>
            </w:pPr>
            <w:r w:rsidRPr="00047CA1">
              <w:rPr>
                <w:rFonts w:ascii="David" w:hAnsi="David"/>
                <w:sz w:val="26"/>
                <w:rtl/>
              </w:rPr>
              <w:t xml:space="preserve">תיקון חוק הבטחת הכנסה </w:t>
            </w:r>
          </w:p>
        </w:tc>
        <w:tc>
          <w:tcPr>
            <w:tcW w:w="624" w:type="dxa"/>
            <w:shd w:val="clear" w:color="auto" w:fill="auto"/>
          </w:tcPr>
          <w:p w:rsidRPr="00047CA1" w:rsidR="00FA0A0A" w:rsidP="00F2315D" w:rsidRDefault="00FA0A0A" w14:paraId="070C0394" w14:textId="77777777">
            <w:pPr>
              <w:pStyle w:val="TableText"/>
              <w:rPr>
                <w:rFonts w:ascii="David" w:hAnsi="David"/>
                <w:sz w:val="26"/>
                <w:rtl/>
              </w:rPr>
            </w:pPr>
            <w:r w:rsidRPr="00047CA1">
              <w:rPr>
                <w:rFonts w:ascii="David" w:hAnsi="David"/>
                <w:sz w:val="26"/>
                <w:rtl/>
              </w:rPr>
              <w:t>4.</w:t>
            </w:r>
            <w:r w:rsidRPr="00047CA1">
              <w:rPr>
                <w:rFonts w:ascii="David" w:hAnsi="David"/>
                <w:sz w:val="26"/>
                <w:rtl/>
              </w:rPr>
              <w:tab/>
            </w:r>
          </w:p>
        </w:tc>
        <w:tc>
          <w:tcPr>
            <w:tcW w:w="7143" w:type="dxa"/>
            <w:shd w:val="clear" w:color="auto" w:fill="auto"/>
          </w:tcPr>
          <w:p w:rsidRPr="00047CA1" w:rsidR="00FA0A0A" w:rsidP="00047CA1" w:rsidRDefault="00FA0A0A" w14:paraId="4637E66E" w14:textId="72B1C2C3">
            <w:pPr>
              <w:pStyle w:val="TableBlock"/>
              <w:rPr>
                <w:rFonts w:ascii="David" w:hAnsi="David"/>
                <w:sz w:val="26"/>
                <w:rtl/>
              </w:rPr>
            </w:pPr>
            <w:r w:rsidRPr="00047CA1">
              <w:rPr>
                <w:rFonts w:ascii="David" w:hAnsi="David"/>
                <w:sz w:val="26"/>
                <w:rtl/>
              </w:rPr>
              <w:t xml:space="preserve">בחוק הבטחת הכנסה, </w:t>
            </w:r>
            <w:proofErr w:type="spellStart"/>
            <w:r w:rsidRPr="00047CA1">
              <w:rPr>
                <w:rFonts w:ascii="David" w:hAnsi="David"/>
                <w:sz w:val="26"/>
                <w:rtl/>
              </w:rPr>
              <w:t>התשמ"א</w:t>
            </w:r>
            <w:proofErr w:type="spellEnd"/>
            <w:r w:rsidRPr="00047CA1">
              <w:rPr>
                <w:rFonts w:ascii="David" w:hAnsi="David"/>
                <w:sz w:val="26"/>
                <w:rtl/>
              </w:rPr>
              <w:t>–1980‏</w:t>
            </w:r>
            <w:r w:rsidRPr="00047CA1">
              <w:rPr>
                <w:rStyle w:val="a6"/>
                <w:rFonts w:ascii="David" w:hAnsi="David"/>
                <w:sz w:val="26"/>
                <w:rtl/>
              </w:rPr>
              <w:footnoteReference w:id="3"/>
            </w:r>
            <w:r w:rsidRPr="00047CA1">
              <w:rPr>
                <w:rFonts w:ascii="David" w:hAnsi="David"/>
                <w:sz w:val="26"/>
                <w:rtl/>
              </w:rPr>
              <w:t xml:space="preserve"> (להלן – חוק הבטחת הכנסה), בסעיף 12(ג), בהגדרה "תגמול", אחרי פסקה (5) יבוא:</w:t>
            </w:r>
          </w:p>
        </w:tc>
      </w:tr>
      <w:tr w:rsidRPr="00047CA1" w:rsidR="00FA0A0A" w:rsidTr="00047CA1" w14:paraId="1B8FA7E5" w14:textId="77777777">
        <w:tc>
          <w:tcPr>
            <w:tcW w:w="1871" w:type="dxa"/>
            <w:shd w:val="clear" w:color="auto" w:fill="auto"/>
          </w:tcPr>
          <w:p w:rsidRPr="00047CA1" w:rsidR="00FA0A0A" w:rsidP="00F2315D" w:rsidRDefault="00FA0A0A" w14:paraId="50EC3817" w14:textId="77777777">
            <w:pPr>
              <w:pStyle w:val="TableSideHeading"/>
              <w:rPr>
                <w:rFonts w:ascii="David" w:hAnsi="David"/>
                <w:sz w:val="26"/>
                <w:rtl/>
              </w:rPr>
            </w:pPr>
          </w:p>
        </w:tc>
        <w:tc>
          <w:tcPr>
            <w:tcW w:w="624" w:type="dxa"/>
            <w:shd w:val="clear" w:color="auto" w:fill="auto"/>
          </w:tcPr>
          <w:p w:rsidRPr="00047CA1" w:rsidR="00FA0A0A" w:rsidP="00F2315D" w:rsidRDefault="00FA0A0A" w14:paraId="1130B62E" w14:textId="77777777">
            <w:pPr>
              <w:pStyle w:val="TableText"/>
              <w:rPr>
                <w:rFonts w:ascii="David" w:hAnsi="David"/>
                <w:sz w:val="26"/>
                <w:rtl/>
              </w:rPr>
            </w:pPr>
          </w:p>
        </w:tc>
        <w:tc>
          <w:tcPr>
            <w:tcW w:w="7143" w:type="dxa"/>
            <w:shd w:val="clear" w:color="auto" w:fill="auto"/>
          </w:tcPr>
          <w:p w:rsidRPr="00047CA1" w:rsidR="00FA0A0A" w:rsidP="00047CA1" w:rsidRDefault="00FA0A0A" w14:paraId="14C9C4CD" w14:textId="758FFACB">
            <w:pPr>
              <w:pStyle w:val="TableBlock"/>
              <w:rPr>
                <w:rFonts w:ascii="David" w:hAnsi="David"/>
                <w:sz w:val="26"/>
                <w:rtl/>
              </w:rPr>
            </w:pPr>
            <w:r w:rsidRPr="00047CA1">
              <w:rPr>
                <w:rFonts w:ascii="David" w:hAnsi="David"/>
                <w:sz w:val="26"/>
                <w:rtl/>
              </w:rPr>
              <w:t>"(6</w:t>
            </w:r>
            <w:r w:rsidRPr="00047CA1" w:rsidR="00180E88">
              <w:rPr>
                <w:rFonts w:ascii="David" w:hAnsi="David"/>
                <w:sz w:val="26"/>
                <w:rtl/>
              </w:rPr>
              <w:t>)</w:t>
            </w:r>
            <w:r w:rsidRPr="00047CA1">
              <w:rPr>
                <w:rFonts w:ascii="David" w:hAnsi="David"/>
                <w:sz w:val="26"/>
                <w:rtl/>
              </w:rPr>
              <w:tab/>
              <w:t>דמי אבטלה כהגדרתם בסעיף 158 לחוק הביטוח".</w:t>
            </w:r>
          </w:p>
        </w:tc>
      </w:tr>
      <w:tr w:rsidRPr="00047CA1" w:rsidR="00FA0A0A" w:rsidTr="00047CA1" w14:paraId="686CB611" w14:textId="77777777">
        <w:tc>
          <w:tcPr>
            <w:tcW w:w="1871" w:type="dxa"/>
            <w:shd w:val="clear" w:color="auto" w:fill="auto"/>
          </w:tcPr>
          <w:p w:rsidRPr="00047CA1" w:rsidR="00FA0A0A" w:rsidP="00F2315D" w:rsidRDefault="00FA0A0A" w14:paraId="7128B13D" w14:textId="77777777">
            <w:pPr>
              <w:pStyle w:val="TableSideHeading"/>
              <w:rPr>
                <w:rFonts w:ascii="David" w:hAnsi="David"/>
                <w:sz w:val="26"/>
                <w:rtl/>
              </w:rPr>
            </w:pPr>
            <w:r w:rsidRPr="00047CA1">
              <w:rPr>
                <w:rFonts w:ascii="David" w:hAnsi="David"/>
                <w:sz w:val="26"/>
                <w:rtl/>
              </w:rPr>
              <w:t>תחילה ותחולה</w:t>
            </w:r>
          </w:p>
        </w:tc>
        <w:tc>
          <w:tcPr>
            <w:tcW w:w="624" w:type="dxa"/>
            <w:shd w:val="clear" w:color="auto" w:fill="auto"/>
          </w:tcPr>
          <w:p w:rsidRPr="00047CA1" w:rsidR="00FA0A0A" w:rsidP="00F2315D" w:rsidRDefault="00FA0A0A" w14:paraId="41246214" w14:textId="77777777">
            <w:pPr>
              <w:pStyle w:val="TableText"/>
              <w:rPr>
                <w:rFonts w:ascii="David" w:hAnsi="David"/>
                <w:sz w:val="26"/>
                <w:rtl/>
              </w:rPr>
            </w:pPr>
            <w:r w:rsidRPr="00047CA1">
              <w:rPr>
                <w:rFonts w:ascii="David" w:hAnsi="David"/>
                <w:sz w:val="26"/>
                <w:rtl/>
              </w:rPr>
              <w:t>5.</w:t>
            </w:r>
            <w:r w:rsidRPr="00047CA1">
              <w:rPr>
                <w:rFonts w:ascii="David" w:hAnsi="David"/>
                <w:sz w:val="26"/>
                <w:rtl/>
              </w:rPr>
              <w:tab/>
            </w:r>
          </w:p>
        </w:tc>
        <w:tc>
          <w:tcPr>
            <w:tcW w:w="7143" w:type="dxa"/>
            <w:shd w:val="clear" w:color="auto" w:fill="auto"/>
          </w:tcPr>
          <w:p w:rsidRPr="00047CA1" w:rsidR="00FA0A0A" w:rsidP="00047CA1" w:rsidRDefault="00FA0A0A" w14:paraId="2BD368EA" w14:textId="77777777">
            <w:pPr>
              <w:pStyle w:val="TableBlock"/>
              <w:rPr>
                <w:rFonts w:ascii="David" w:hAnsi="David"/>
                <w:sz w:val="26"/>
                <w:rtl/>
              </w:rPr>
            </w:pPr>
            <w:r w:rsidRPr="00047CA1">
              <w:rPr>
                <w:rFonts w:ascii="David" w:hAnsi="David"/>
                <w:sz w:val="26"/>
                <w:rtl/>
              </w:rPr>
              <w:t>(א)</w:t>
            </w:r>
            <w:r w:rsidRPr="00047CA1">
              <w:rPr>
                <w:rFonts w:ascii="David" w:hAnsi="David"/>
                <w:sz w:val="26"/>
                <w:rtl/>
              </w:rPr>
              <w:tab/>
              <w:t xml:space="preserve">תחילתו של חוק זה ביום ח' בטבת </w:t>
            </w:r>
            <w:proofErr w:type="spellStart"/>
            <w:r w:rsidRPr="00047CA1">
              <w:rPr>
                <w:rFonts w:ascii="David" w:hAnsi="David"/>
                <w:sz w:val="26"/>
                <w:rtl/>
              </w:rPr>
              <w:t>התשפ"ג</w:t>
            </w:r>
            <w:proofErr w:type="spellEnd"/>
            <w:r w:rsidRPr="00047CA1">
              <w:rPr>
                <w:rFonts w:ascii="David" w:hAnsi="David"/>
                <w:sz w:val="26"/>
                <w:rtl/>
              </w:rPr>
              <w:t xml:space="preserve"> (1 בינואר 2023).</w:t>
            </w:r>
          </w:p>
        </w:tc>
      </w:tr>
      <w:tr w:rsidRPr="00047CA1" w:rsidR="00FA0A0A" w:rsidTr="00047CA1" w14:paraId="59ABCDB9" w14:textId="77777777">
        <w:tc>
          <w:tcPr>
            <w:tcW w:w="1871" w:type="dxa"/>
            <w:shd w:val="clear" w:color="auto" w:fill="auto"/>
          </w:tcPr>
          <w:p w:rsidRPr="00047CA1" w:rsidR="00FA0A0A" w:rsidP="00F2315D" w:rsidRDefault="00FA0A0A" w14:paraId="2D919AF2" w14:textId="77777777">
            <w:pPr>
              <w:pStyle w:val="TableSideHeading"/>
              <w:rPr>
                <w:rFonts w:ascii="David" w:hAnsi="David"/>
                <w:sz w:val="26"/>
                <w:rtl/>
              </w:rPr>
            </w:pPr>
          </w:p>
        </w:tc>
        <w:tc>
          <w:tcPr>
            <w:tcW w:w="624" w:type="dxa"/>
            <w:shd w:val="clear" w:color="auto" w:fill="auto"/>
          </w:tcPr>
          <w:p w:rsidRPr="00047CA1" w:rsidR="00FA0A0A" w:rsidP="00F2315D" w:rsidRDefault="00FA0A0A" w14:paraId="45F1F78D" w14:textId="77777777">
            <w:pPr>
              <w:pStyle w:val="TableText"/>
              <w:rPr>
                <w:rFonts w:ascii="David" w:hAnsi="David"/>
                <w:sz w:val="26"/>
                <w:rtl/>
              </w:rPr>
            </w:pPr>
          </w:p>
        </w:tc>
        <w:tc>
          <w:tcPr>
            <w:tcW w:w="7143" w:type="dxa"/>
            <w:shd w:val="clear" w:color="auto" w:fill="auto"/>
          </w:tcPr>
          <w:p w:rsidRPr="00047CA1" w:rsidR="00FA0A0A" w:rsidP="00047CA1" w:rsidRDefault="00FA0A0A" w14:paraId="6EB2BA8E" w14:textId="548E6DA6">
            <w:pPr>
              <w:pStyle w:val="TableBlock"/>
              <w:rPr>
                <w:rFonts w:ascii="David" w:hAnsi="David"/>
                <w:sz w:val="26"/>
                <w:rtl/>
              </w:rPr>
            </w:pPr>
            <w:r w:rsidRPr="00047CA1">
              <w:rPr>
                <w:rFonts w:ascii="David" w:hAnsi="David"/>
                <w:sz w:val="26"/>
                <w:rtl/>
              </w:rPr>
              <w:t>(ב)</w:t>
            </w:r>
            <w:r w:rsidRPr="00047CA1">
              <w:rPr>
                <w:rFonts w:ascii="David" w:hAnsi="David"/>
                <w:sz w:val="26"/>
                <w:rtl/>
              </w:rPr>
              <w:tab/>
              <w:t xml:space="preserve">סעיפים 195, 238 ו-320 </w:t>
            </w:r>
            <w:r w:rsidRPr="00047CA1" w:rsidR="00180E88">
              <w:rPr>
                <w:rFonts w:ascii="David" w:hAnsi="David"/>
                <w:sz w:val="26"/>
                <w:rtl/>
              </w:rPr>
              <w:t xml:space="preserve">לחוק העיקרי, </w:t>
            </w:r>
            <w:r w:rsidRPr="00047CA1">
              <w:rPr>
                <w:rFonts w:ascii="David" w:hAnsi="David"/>
                <w:sz w:val="26"/>
                <w:rtl/>
              </w:rPr>
              <w:t xml:space="preserve">כנוסחם </w:t>
            </w:r>
            <w:r w:rsidRPr="00047CA1" w:rsidR="00DC1E2B">
              <w:rPr>
                <w:rFonts w:ascii="David" w:hAnsi="David"/>
                <w:sz w:val="26"/>
                <w:rtl/>
              </w:rPr>
              <w:t>ב</w:t>
            </w:r>
            <w:r w:rsidRPr="00047CA1">
              <w:rPr>
                <w:rFonts w:ascii="David" w:hAnsi="David"/>
                <w:sz w:val="26"/>
                <w:rtl/>
              </w:rPr>
              <w:t>חוק זה, יחולו על גמלת אזרח ותיק, גמלת שאירים, קצבת נכות ודמי אבטלה המגיעים לפי החוק העיקרי בעד התקופה שמיום התחילה ואילך, אולם לא תופחת זכאותו של מבוטח לגמלה בשל הוראות הסעיפים האמורים כנוסחם בחוק זה.</w:t>
            </w:r>
          </w:p>
        </w:tc>
      </w:tr>
      <w:tr w:rsidRPr="00047CA1" w:rsidR="00FA0A0A" w:rsidTr="00047CA1" w14:paraId="63F2909B" w14:textId="77777777">
        <w:tc>
          <w:tcPr>
            <w:tcW w:w="1871" w:type="dxa"/>
            <w:shd w:val="clear" w:color="auto" w:fill="auto"/>
          </w:tcPr>
          <w:p w:rsidRPr="00047CA1" w:rsidR="00FA0A0A" w:rsidP="00F2315D" w:rsidRDefault="00FA0A0A" w14:paraId="2F002107" w14:textId="77777777">
            <w:pPr>
              <w:pStyle w:val="TableSideHeading"/>
              <w:rPr>
                <w:rFonts w:ascii="David" w:hAnsi="David"/>
                <w:sz w:val="26"/>
                <w:rtl/>
              </w:rPr>
            </w:pPr>
          </w:p>
        </w:tc>
        <w:tc>
          <w:tcPr>
            <w:tcW w:w="624" w:type="dxa"/>
            <w:shd w:val="clear" w:color="auto" w:fill="auto"/>
          </w:tcPr>
          <w:p w:rsidRPr="00047CA1" w:rsidR="00FA0A0A" w:rsidP="00F2315D" w:rsidRDefault="00FA0A0A" w14:paraId="32FFD5D2" w14:textId="77777777">
            <w:pPr>
              <w:pStyle w:val="TableText"/>
              <w:rPr>
                <w:rFonts w:ascii="David" w:hAnsi="David"/>
                <w:sz w:val="26"/>
                <w:rtl/>
              </w:rPr>
            </w:pPr>
          </w:p>
        </w:tc>
        <w:tc>
          <w:tcPr>
            <w:tcW w:w="7143" w:type="dxa"/>
            <w:shd w:val="clear" w:color="auto" w:fill="auto"/>
          </w:tcPr>
          <w:p w:rsidRPr="00047CA1" w:rsidR="00FA0A0A" w:rsidP="00047CA1" w:rsidRDefault="00FA0A0A" w14:paraId="1BBAAFAF" w14:textId="536794C4">
            <w:pPr>
              <w:pStyle w:val="TableBlock"/>
              <w:rPr>
                <w:rFonts w:ascii="David" w:hAnsi="David"/>
                <w:sz w:val="26"/>
                <w:rtl/>
              </w:rPr>
            </w:pPr>
            <w:r w:rsidRPr="00047CA1">
              <w:rPr>
                <w:rFonts w:ascii="David" w:hAnsi="David"/>
                <w:sz w:val="26"/>
                <w:rtl/>
              </w:rPr>
              <w:t>(ג)</w:t>
            </w:r>
            <w:r w:rsidRPr="00047CA1">
              <w:rPr>
                <w:rFonts w:ascii="David" w:hAnsi="David"/>
                <w:sz w:val="26"/>
                <w:rtl/>
              </w:rPr>
              <w:tab/>
              <w:t xml:space="preserve">חוק הבטחת הכנסה כנוסחו בסעיף </w:t>
            </w:r>
            <w:r w:rsidRPr="00047CA1" w:rsidR="00180E88">
              <w:rPr>
                <w:rFonts w:ascii="David" w:hAnsi="David"/>
                <w:sz w:val="26"/>
                <w:rtl/>
              </w:rPr>
              <w:t>4</w:t>
            </w:r>
            <w:r w:rsidRPr="00047CA1">
              <w:rPr>
                <w:rFonts w:ascii="David" w:hAnsi="David"/>
                <w:sz w:val="26"/>
                <w:rtl/>
              </w:rPr>
              <w:t xml:space="preserve"> לחוק זה, יחול על גמלה המגיעה </w:t>
            </w:r>
            <w:r w:rsidRPr="00047CA1">
              <w:rPr>
                <w:rFonts w:ascii="David" w:hAnsi="David"/>
                <w:sz w:val="26"/>
                <w:rtl/>
              </w:rPr>
              <w:lastRenderedPageBreak/>
              <w:t xml:space="preserve">לפי </w:t>
            </w:r>
            <w:r w:rsidRPr="00047CA1" w:rsidR="00180E88">
              <w:rPr>
                <w:rFonts w:ascii="David" w:hAnsi="David"/>
                <w:sz w:val="26"/>
                <w:rtl/>
              </w:rPr>
              <w:t xml:space="preserve">חוק הבטחת הכנסה </w:t>
            </w:r>
            <w:r w:rsidRPr="00047CA1">
              <w:rPr>
                <w:rFonts w:ascii="David" w:hAnsi="David"/>
                <w:sz w:val="26"/>
                <w:rtl/>
              </w:rPr>
              <w:t xml:space="preserve">או על תשלום המגיע לפי חוק המזונות (הבטחת תשלום), </w:t>
            </w:r>
            <w:proofErr w:type="spellStart"/>
            <w:r w:rsidRPr="00047CA1">
              <w:rPr>
                <w:rFonts w:ascii="David" w:hAnsi="David"/>
                <w:sz w:val="26"/>
                <w:rtl/>
              </w:rPr>
              <w:t>התשל"ב</w:t>
            </w:r>
            <w:proofErr w:type="spellEnd"/>
            <w:r w:rsidRPr="00047CA1">
              <w:rPr>
                <w:rFonts w:ascii="David" w:hAnsi="David"/>
                <w:sz w:val="26"/>
                <w:rtl/>
              </w:rPr>
              <w:t>–1972‏</w:t>
            </w:r>
            <w:r w:rsidRPr="00047CA1">
              <w:rPr>
                <w:rStyle w:val="a6"/>
                <w:rFonts w:ascii="David" w:hAnsi="David"/>
                <w:sz w:val="26"/>
                <w:rtl/>
              </w:rPr>
              <w:footnoteReference w:id="4"/>
            </w:r>
            <w:r w:rsidRPr="00047CA1">
              <w:rPr>
                <w:rFonts w:ascii="David" w:hAnsi="David"/>
                <w:sz w:val="26"/>
                <w:rtl/>
              </w:rPr>
              <w:t>, המשולמים בעד התקופה שמיום התחילה ואילך.</w:t>
            </w:r>
          </w:p>
        </w:tc>
      </w:tr>
    </w:tbl>
    <w:p w:rsidRPr="00FA0A0A" w:rsidR="00E13C27" w:rsidP="0021633A" w:rsidRDefault="00E13C27" w14:paraId="7F6961AE" w14:textId="77777777">
      <w:pPr>
        <w:pStyle w:val="HeadDivreiHesber"/>
        <w:spacing w:before="0" w:after="0"/>
        <w:rPr>
          <w:rtl/>
        </w:rPr>
      </w:pPr>
    </w:p>
    <w:p w:rsidR="002D1EE3" w:rsidP="002D1EE3" w:rsidRDefault="002D1EE3" w14:paraId="7F6961CA" w14:textId="77777777">
      <w:pPr>
        <w:pStyle w:val="HeadDivreiHesber"/>
        <w:rPr>
          <w:rtl/>
        </w:rPr>
      </w:pPr>
      <w:r w:rsidRPr="0027450A">
        <w:rPr>
          <w:rFonts w:hint="cs"/>
          <w:rtl/>
        </w:rPr>
        <w:t>דברי הסבר</w:t>
      </w:r>
    </w:p>
    <w:p w:rsidRPr="00A645C2" w:rsidR="00970F5D" w:rsidP="00180E88" w:rsidRDefault="00970F5D" w14:paraId="3D226E4E" w14:textId="37EFB31D">
      <w:pPr>
        <w:pStyle w:val="Hesber"/>
        <w:rPr>
          <w:rtl/>
        </w:rPr>
      </w:pPr>
      <w:r w:rsidRPr="00A645C2">
        <w:rPr>
          <w:rtl/>
        </w:rPr>
        <w:t>דמי אבט</w:t>
      </w:r>
      <w:r w:rsidR="00180E88">
        <w:rPr>
          <w:rtl/>
        </w:rPr>
        <w:t xml:space="preserve">לה אינם בהגדרתם קצבה אלא ביטוח </w:t>
      </w:r>
      <w:r w:rsidR="00180E88">
        <w:rPr>
          <w:rFonts w:hint="cs"/>
          <w:rtl/>
        </w:rPr>
        <w:t>מ</w:t>
      </w:r>
      <w:r w:rsidRPr="00A645C2">
        <w:rPr>
          <w:rtl/>
        </w:rPr>
        <w:t xml:space="preserve">פני אובדן הכנסה פתאומי, ומהווים חלופה זמנית לשכר לתקופה קצובה שמיועדת לתמוך </w:t>
      </w:r>
      <w:r w:rsidR="00180E88">
        <w:rPr>
          <w:rFonts w:hint="cs"/>
          <w:rtl/>
        </w:rPr>
        <w:t>במובטלים</w:t>
      </w:r>
      <w:r w:rsidR="00180E88">
        <w:rPr>
          <w:rtl/>
        </w:rPr>
        <w:t xml:space="preserve"> בחיפוש</w:t>
      </w:r>
      <w:r w:rsidR="00180E88">
        <w:rPr>
          <w:rFonts w:hint="cs"/>
          <w:rtl/>
        </w:rPr>
        <w:t>ם</w:t>
      </w:r>
      <w:r w:rsidRPr="00A645C2">
        <w:rPr>
          <w:rtl/>
        </w:rPr>
        <w:t xml:space="preserve"> </w:t>
      </w:r>
      <w:r w:rsidR="00A645C2">
        <w:rPr>
          <w:rFonts w:hint="cs"/>
          <w:rtl/>
        </w:rPr>
        <w:t xml:space="preserve">אחר </w:t>
      </w:r>
      <w:r w:rsidRPr="00A645C2">
        <w:rPr>
          <w:rtl/>
        </w:rPr>
        <w:t xml:space="preserve">משרה חדשה. הכלל של איסור כפל קצבאות לא מהווה תמריץ חיובי אלא מגביר את המצוקה הכלכלית של אוכלוסיות מוחלשות. יצוין כי עד </w:t>
      </w:r>
      <w:r w:rsidR="00A645C2">
        <w:rPr>
          <w:rFonts w:hint="cs"/>
          <w:rtl/>
        </w:rPr>
        <w:t xml:space="preserve">שנת </w:t>
      </w:r>
      <w:r w:rsidRPr="00A645C2">
        <w:rPr>
          <w:rtl/>
        </w:rPr>
        <w:t xml:space="preserve">2002 קצבת הבטחת הכנסה לא קוזזה מדמי האבטלה וההסדר הזה היה מקובל ומבורך.  </w:t>
      </w:r>
    </w:p>
    <w:p w:rsidRPr="00A645C2" w:rsidR="00970F5D" w:rsidP="0056651E" w:rsidRDefault="00970F5D" w14:paraId="6CEE71F0" w14:textId="15F621DA">
      <w:pPr>
        <w:pStyle w:val="Hesber"/>
        <w:rPr>
          <w:rtl/>
        </w:rPr>
      </w:pPr>
      <w:r w:rsidRPr="00A645C2">
        <w:rPr>
          <w:rtl/>
        </w:rPr>
        <w:t>ב</w:t>
      </w:r>
      <w:r w:rsidR="00A645C2">
        <w:rPr>
          <w:rFonts w:hint="cs"/>
          <w:rtl/>
        </w:rPr>
        <w:t xml:space="preserve">שנים </w:t>
      </w:r>
      <w:r w:rsidRPr="00A645C2">
        <w:rPr>
          <w:rtl/>
        </w:rPr>
        <w:t xml:space="preserve">2020 ו-2021, </w:t>
      </w:r>
      <w:r w:rsidR="00A645C2">
        <w:rPr>
          <w:rFonts w:hint="cs"/>
          <w:rtl/>
        </w:rPr>
        <w:t xml:space="preserve">בעקבות מגפת הקורונה, </w:t>
      </w:r>
      <w:r w:rsidRPr="00A645C2">
        <w:rPr>
          <w:rtl/>
        </w:rPr>
        <w:t>נעשו תיקונים לחוק הביטוח הלאומי</w:t>
      </w:r>
      <w:r w:rsidR="00A645C2">
        <w:rPr>
          <w:rFonts w:hint="cs"/>
          <w:rtl/>
        </w:rPr>
        <w:t xml:space="preserve"> [נוסח משולב]</w:t>
      </w:r>
      <w:r w:rsidRPr="00A645C2">
        <w:rPr>
          <w:rtl/>
        </w:rPr>
        <w:t xml:space="preserve">, התשנ"ה-1995 לשם מתן הקלות והטבות בעניין קבלת דמי אבטלה לעובדים בעקבות המספר הרב של עובדים </w:t>
      </w:r>
      <w:r w:rsidR="00A645C2">
        <w:rPr>
          <w:rFonts w:hint="cs"/>
          <w:rtl/>
        </w:rPr>
        <w:t>ש</w:t>
      </w:r>
      <w:r w:rsidRPr="00A645C2">
        <w:rPr>
          <w:rtl/>
        </w:rPr>
        <w:t xml:space="preserve">מצאו את עצמם בחל"ת כפוי, ומתוכן </w:t>
      </w:r>
      <w:r w:rsidR="00180E88">
        <w:rPr>
          <w:rFonts w:hint="cs"/>
          <w:rtl/>
        </w:rPr>
        <w:t xml:space="preserve">הוראות מקלות לעניין </w:t>
      </w:r>
      <w:r w:rsidRPr="00A645C2">
        <w:rPr>
          <w:rtl/>
        </w:rPr>
        <w:t xml:space="preserve">הקיזוז </w:t>
      </w:r>
      <w:r w:rsidR="00180E88">
        <w:rPr>
          <w:rFonts w:hint="cs"/>
          <w:rtl/>
        </w:rPr>
        <w:t xml:space="preserve">של </w:t>
      </w:r>
      <w:r w:rsidRPr="00A645C2">
        <w:rPr>
          <w:rtl/>
        </w:rPr>
        <w:t xml:space="preserve">דמי אבטלה </w:t>
      </w:r>
      <w:r w:rsidR="00180E88">
        <w:rPr>
          <w:rFonts w:hint="cs"/>
          <w:rtl/>
        </w:rPr>
        <w:t>מ</w:t>
      </w:r>
      <w:r w:rsidRPr="00A645C2">
        <w:rPr>
          <w:rtl/>
        </w:rPr>
        <w:t>קצבאות אזרח ותיק,</w:t>
      </w:r>
      <w:r w:rsidR="00180E88">
        <w:rPr>
          <w:rFonts w:hint="cs"/>
          <w:rtl/>
        </w:rPr>
        <w:t xml:space="preserve"> שאירים,</w:t>
      </w:r>
      <w:r w:rsidRPr="00A645C2">
        <w:rPr>
          <w:rtl/>
        </w:rPr>
        <w:t xml:space="preserve"> </w:t>
      </w:r>
      <w:r w:rsidR="00180E88">
        <w:rPr>
          <w:rFonts w:hint="cs"/>
          <w:rtl/>
        </w:rPr>
        <w:t xml:space="preserve">הבטחת </w:t>
      </w:r>
      <w:r w:rsidRPr="00A645C2">
        <w:rPr>
          <w:rtl/>
        </w:rPr>
        <w:t xml:space="preserve">הכנסה, מזונות </w:t>
      </w:r>
      <w:r w:rsidR="00180E88">
        <w:rPr>
          <w:rFonts w:hint="cs"/>
          <w:rtl/>
        </w:rPr>
        <w:t>ו</w:t>
      </w:r>
      <w:r w:rsidRPr="00A645C2">
        <w:rPr>
          <w:rtl/>
        </w:rPr>
        <w:t>קצבת נכות</w:t>
      </w:r>
      <w:r w:rsidRPr="00A645C2" w:rsidR="00A645C2">
        <w:rPr>
          <w:rtl/>
        </w:rPr>
        <w:t xml:space="preserve"> בהוראת שעה </w:t>
      </w:r>
      <w:r w:rsidR="0056651E">
        <w:rPr>
          <w:rFonts w:hint="cs"/>
          <w:rtl/>
        </w:rPr>
        <w:t>בעמדה בתוקף עד ליום</w:t>
      </w:r>
      <w:r w:rsidRPr="00A645C2" w:rsidR="00A645C2">
        <w:rPr>
          <w:rtl/>
        </w:rPr>
        <w:t xml:space="preserve"> 31.12.2021</w:t>
      </w:r>
      <w:r w:rsidRPr="00A645C2">
        <w:rPr>
          <w:rtl/>
        </w:rPr>
        <w:t>. הוראת שעה זו הוארכה לתקופה של שנה נוספת עד 31.12.2022. ב</w:t>
      </w:r>
      <w:r w:rsidR="00A645C2">
        <w:rPr>
          <w:rFonts w:hint="cs"/>
          <w:rtl/>
        </w:rPr>
        <w:t xml:space="preserve">שנת </w:t>
      </w:r>
      <w:r w:rsidRPr="00A645C2">
        <w:rPr>
          <w:rtl/>
        </w:rPr>
        <w:t xml:space="preserve">2022, שיעור האבטלה ירד לשפל היסטורי בעקבות התאוששות המשק וחזרתם של העובדים למקום עבודתם בתום משבר הקורונה והמגבלות. </w:t>
      </w:r>
    </w:p>
    <w:p w:rsidRPr="00A645C2" w:rsidR="00970F5D" w:rsidP="00F56F03" w:rsidRDefault="00970F5D" w14:paraId="1295E898" w14:textId="2975244E">
      <w:pPr>
        <w:pStyle w:val="Hesber"/>
        <w:rPr>
          <w:rtl/>
        </w:rPr>
      </w:pPr>
      <w:r w:rsidRPr="00A645C2">
        <w:rPr>
          <w:rtl/>
        </w:rPr>
        <w:t xml:space="preserve">מוצע לקבוע כי לעניין תשלום קצבאות </w:t>
      </w:r>
      <w:r w:rsidRPr="00A645C2" w:rsidR="00180E88">
        <w:rPr>
          <w:rtl/>
        </w:rPr>
        <w:t xml:space="preserve">אזרח ותיק, </w:t>
      </w:r>
      <w:r w:rsidR="00180E88">
        <w:rPr>
          <w:rFonts w:hint="cs"/>
          <w:rtl/>
        </w:rPr>
        <w:t xml:space="preserve">שאירים, </w:t>
      </w:r>
      <w:r w:rsidRPr="00A645C2" w:rsidR="00180E88">
        <w:rPr>
          <w:rtl/>
        </w:rPr>
        <w:t xml:space="preserve">מזונות </w:t>
      </w:r>
      <w:r w:rsidR="00180E88">
        <w:rPr>
          <w:rFonts w:hint="cs"/>
          <w:rtl/>
        </w:rPr>
        <w:t>והבטחת</w:t>
      </w:r>
      <w:r w:rsidRPr="00A645C2" w:rsidR="00180E88">
        <w:rPr>
          <w:rtl/>
        </w:rPr>
        <w:t xml:space="preserve"> הכנסה, </w:t>
      </w:r>
      <w:r w:rsidRPr="00A645C2">
        <w:rPr>
          <w:rtl/>
        </w:rPr>
        <w:t>יראו את דמי האבטלה כהכנסה מעבודה וממשלח יד. ככלל, הכנסות מעבודה וממשלח יד אינן מובאות בחשבון במלואן לעניין הזכאות לגמלאות האמורות כך שבהתאם לתיקון המוצע רק חלק מדמי האבטלה ינוכו מהקצבה. התיקון המוצע  יאפשר לחלק מהזכאים לקבל גם את דמי האבטלה, וגם את הקצבה בו זמנית, כפי שבזמן עבודתם הם היו זכאים לק</w:t>
      </w:r>
      <w:r w:rsidR="00180E88">
        <w:rPr>
          <w:rtl/>
        </w:rPr>
        <w:t>בל גם הכנסת עבודה וגם את הקצבה</w:t>
      </w:r>
      <w:r w:rsidR="00180E88">
        <w:rPr>
          <w:rFonts w:hint="cs"/>
          <w:rtl/>
        </w:rPr>
        <w:t>.</w:t>
      </w:r>
    </w:p>
    <w:p w:rsidRPr="00A645C2" w:rsidR="00970F5D" w:rsidP="005E6B9E" w:rsidRDefault="00970F5D" w14:paraId="196C5DF5" w14:textId="5D3F9BDE">
      <w:pPr>
        <w:pStyle w:val="Hesber"/>
        <w:rPr>
          <w:rtl/>
        </w:rPr>
      </w:pPr>
      <w:r w:rsidRPr="00A645C2">
        <w:rPr>
          <w:rtl/>
        </w:rPr>
        <w:t xml:space="preserve">לגבי  זכאים לקצבת נכות הזכאים לדמי אבטלה, דמי האבטלה אינם מובאים בחשבון כיום לצורך הקצבה הבסיסית, אך מנוכים במלואם מתוספת התלויים. לפי הצעת החוק, דמי האבטלה יחושבו כהכנסת עבודה ולכן לא יובאו בחשבון כלל לעניין תוספת התלויים, אך כן ינוכו מהקצבה הבסיסית. כדי לא לפגוע בחלק מהזכאים </w:t>
      </w:r>
      <w:r w:rsidR="00A645C2">
        <w:rPr>
          <w:rFonts w:hint="cs"/>
          <w:rtl/>
        </w:rPr>
        <w:t>שעלולים</w:t>
      </w:r>
      <w:r w:rsidRPr="00A645C2" w:rsidR="00A645C2">
        <w:rPr>
          <w:rtl/>
        </w:rPr>
        <w:t xml:space="preserve"> </w:t>
      </w:r>
      <w:r w:rsidRPr="00A645C2">
        <w:rPr>
          <w:rtl/>
        </w:rPr>
        <w:t>היו להיפגע מכך שדמי האבטלה ינוכו מהקצבה הבסיסית, נקבע שהזכאות של מבוטח לגמלה לא תופחת בכל מקרה.</w:t>
      </w:r>
    </w:p>
    <w:p w:rsidRPr="00970F5D" w:rsidR="00970F5D" w:rsidP="00180E88" w:rsidRDefault="00180E88" w14:paraId="6D5D3653" w14:textId="750E9692">
      <w:pPr>
        <w:pStyle w:val="Noparagraphstyle"/>
        <w:jc w:val="both"/>
        <w:rPr>
          <w:rFonts w:ascii="David" w:hAnsi="David"/>
          <w:sz w:val="26"/>
          <w:rtl/>
        </w:rPr>
      </w:pPr>
      <w:r>
        <w:rPr>
          <w:rFonts w:hint="cs" w:ascii="David" w:hAnsi="David"/>
          <w:sz w:val="26"/>
          <w:rtl/>
        </w:rPr>
        <w:t>כמו כן, מוצע לבטל את ההוראה בחוק שלפיה לא ניתן לקבל בעד אותה תקופה גם קצבת אזרח ותיק וגם דמי אבטלה</w:t>
      </w:r>
      <w:r w:rsidR="00462B89">
        <w:rPr>
          <w:rFonts w:hint="cs" w:ascii="David" w:hAnsi="David"/>
          <w:sz w:val="26"/>
          <w:rtl/>
        </w:rPr>
        <w:t>.</w:t>
      </w:r>
    </w:p>
    <w:p w:rsidR="00E13C27" w:rsidP="00E13C27" w:rsidRDefault="00E13C27" w14:paraId="7F6961CB" w14:textId="77777777">
      <w:pPr>
        <w:pStyle w:val="Hesber"/>
        <w:rPr>
          <w:rtl/>
        </w:rPr>
      </w:pPr>
    </w:p>
    <w:p w:rsidR="00C745C3" w:rsidRDefault="00047CA1" w14:paraId="4B52B916" w14:textId="77777777">
      <w:pPr>
        <w:jc w:val="left"/>
      </w:pPr>
      <w:bookmarkStart w:name="selectedDocDateB" w:id="9"/>
      <w:bookmarkEnd w:id="9"/>
      <w:r>
        <w:rPr>
          <w:rFonts w:hint="cs" w:eastAsia="David"/>
          <w:sz w:val="26"/>
          <w:szCs w:val="26"/>
          <w:rtl/>
        </w:rPr>
        <w:t>--------------------------------</w:t>
      </w:r>
    </w:p>
    <w:p w:rsidR="00C745C3" w:rsidRDefault="00047CA1" w14:paraId="3F935968" w14:textId="77777777">
      <w:pPr>
        <w:jc w:val="left"/>
      </w:pPr>
      <w:r>
        <w:rPr>
          <w:rFonts w:hint="cs" w:eastAsia="David"/>
          <w:sz w:val="26"/>
          <w:szCs w:val="26"/>
          <w:rtl/>
        </w:rPr>
        <w:t>הוגשה ליו"ר הכנסת והסגנים</w:t>
      </w:r>
    </w:p>
    <w:p w:rsidR="00C745C3" w:rsidRDefault="00047CA1" w14:paraId="12D9D183" w14:textId="77777777">
      <w:pPr>
        <w:jc w:val="left"/>
      </w:pPr>
      <w:r>
        <w:rPr>
          <w:rFonts w:hint="cs" w:eastAsia="David"/>
          <w:sz w:val="26"/>
          <w:szCs w:val="26"/>
          <w:rtl/>
        </w:rPr>
        <w:t>והונחה על שולחן הכנסת ביום</w:t>
      </w:r>
    </w:p>
    <w:p w:rsidR="00C745C3" w:rsidRDefault="00047CA1" w14:paraId="49474330" w14:textId="77777777">
      <w:pPr>
        <w:jc w:val="left"/>
      </w:pPr>
      <w:r>
        <w:rPr>
          <w:rFonts w:hint="cs" w:eastAsia="David"/>
          <w:sz w:val="26"/>
          <w:szCs w:val="26"/>
          <w:rtl/>
        </w:rPr>
        <w:t xml:space="preserve">כ"ט באייר </w:t>
      </w:r>
      <w:proofErr w:type="spellStart"/>
      <w:r>
        <w:rPr>
          <w:rFonts w:hint="cs" w:eastAsia="David"/>
          <w:sz w:val="26"/>
          <w:szCs w:val="26"/>
          <w:rtl/>
        </w:rPr>
        <w:t>התשפ"ב</w:t>
      </w:r>
      <w:proofErr w:type="spellEnd"/>
      <w:r>
        <w:rPr>
          <w:rFonts w:hint="cs" w:eastAsia="David"/>
          <w:sz w:val="26"/>
          <w:szCs w:val="26"/>
          <w:rtl/>
        </w:rPr>
        <w:t xml:space="preserve"> (30.05.2022) </w:t>
      </w:r>
    </w:p>
    <w:p w:rsidR="00C745C3" w:rsidRDefault="00C745C3" w14:paraId="04B5BE50" w14:textId="77777777">
      <w:pPr>
        <w:spacing w:line="276" w:lineRule="auto"/>
        <w:jc w:val="left"/>
      </w:pPr>
    </w:p>
    <w:sectPr w:rsidR="00C745C3" w:rsidSect="00047CA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0E8D6E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62B8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047CA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BA287D0" w14:textId="77777777" w:rsidR="00FA0A0A" w:rsidRDefault="00FA0A0A" w:rsidP="00FA0A0A">
      <w:pPr>
        <w:pStyle w:val="a4"/>
        <w:rPr>
          <w:rtl/>
        </w:rPr>
      </w:pPr>
      <w:r>
        <w:rPr>
          <w:rStyle w:val="a6"/>
        </w:rPr>
        <w:footnoteRef/>
      </w:r>
      <w:r>
        <w:rPr>
          <w:rtl/>
        </w:rPr>
        <w:t xml:space="preserve"> </w:t>
      </w:r>
      <w:r>
        <w:rPr>
          <w:rFonts w:hint="eastAsia"/>
          <w:rtl/>
        </w:rPr>
        <w:t>ס</w:t>
      </w:r>
      <w:r>
        <w:rPr>
          <w:rtl/>
        </w:rPr>
        <w:t xml:space="preserve">"ח </w:t>
      </w:r>
      <w:proofErr w:type="spellStart"/>
      <w:r>
        <w:rPr>
          <w:rtl/>
        </w:rPr>
        <w:t>התשנ"ה</w:t>
      </w:r>
      <w:proofErr w:type="spellEnd"/>
      <w:r>
        <w:rPr>
          <w:rtl/>
        </w:rPr>
        <w:t xml:space="preserve">, עמ' 210; </w:t>
      </w:r>
      <w:proofErr w:type="spellStart"/>
      <w:r>
        <w:rPr>
          <w:rtl/>
        </w:rPr>
        <w:t>התשפ"ב</w:t>
      </w:r>
      <w:proofErr w:type="spellEnd"/>
      <w:r>
        <w:rPr>
          <w:rtl/>
        </w:rPr>
        <w:t>, עמ' 253.</w:t>
      </w:r>
    </w:p>
  </w:footnote>
  <w:footnote w:id="3">
    <w:p w14:paraId="554119EB" w14:textId="77777777" w:rsidR="00FA0A0A" w:rsidRDefault="00FA0A0A" w:rsidP="00FA0A0A">
      <w:pPr>
        <w:pStyle w:val="a4"/>
        <w:rPr>
          <w:rtl/>
        </w:rPr>
      </w:pPr>
      <w:r>
        <w:rPr>
          <w:rStyle w:val="a6"/>
        </w:rPr>
        <w:footnoteRef/>
      </w:r>
      <w:r>
        <w:rPr>
          <w:rtl/>
        </w:rPr>
        <w:t xml:space="preserve"> </w:t>
      </w:r>
      <w:r>
        <w:rPr>
          <w:rFonts w:hint="eastAsia"/>
          <w:rtl/>
        </w:rPr>
        <w:t>ס</w:t>
      </w:r>
      <w:r>
        <w:rPr>
          <w:rtl/>
        </w:rPr>
        <w:t xml:space="preserve">"ח </w:t>
      </w:r>
      <w:proofErr w:type="spellStart"/>
      <w:r>
        <w:rPr>
          <w:rtl/>
        </w:rPr>
        <w:t>התשמ"א</w:t>
      </w:r>
      <w:proofErr w:type="spellEnd"/>
      <w:r>
        <w:rPr>
          <w:rtl/>
        </w:rPr>
        <w:t xml:space="preserve">, עמ' 30; </w:t>
      </w:r>
      <w:proofErr w:type="spellStart"/>
      <w:r>
        <w:rPr>
          <w:rtl/>
        </w:rPr>
        <w:t>התשפ"ב</w:t>
      </w:r>
      <w:proofErr w:type="spellEnd"/>
      <w:r>
        <w:rPr>
          <w:rtl/>
        </w:rPr>
        <w:t>, עמ' 256.</w:t>
      </w:r>
    </w:p>
  </w:footnote>
  <w:footnote w:id="4">
    <w:p w14:paraId="3D8C20D1" w14:textId="77777777" w:rsidR="00FA0A0A" w:rsidRDefault="00FA0A0A" w:rsidP="00FA0A0A">
      <w:pPr>
        <w:pStyle w:val="a4"/>
        <w:rPr>
          <w:rtl/>
        </w:rPr>
      </w:pPr>
      <w:r>
        <w:rPr>
          <w:rStyle w:val="a6"/>
        </w:rPr>
        <w:footnoteRef/>
      </w:r>
      <w:r>
        <w:rPr>
          <w:rtl/>
        </w:rPr>
        <w:t xml:space="preserve"> </w:t>
      </w:r>
      <w:r>
        <w:rPr>
          <w:rFonts w:hint="eastAsia"/>
          <w:rtl/>
        </w:rPr>
        <w:t>ס</w:t>
      </w:r>
      <w:r>
        <w:rPr>
          <w:rtl/>
        </w:rPr>
        <w:t xml:space="preserve">"ח </w:t>
      </w:r>
      <w:proofErr w:type="spellStart"/>
      <w:r>
        <w:rPr>
          <w:rtl/>
        </w:rPr>
        <w:t>התשל"ב</w:t>
      </w:r>
      <w:proofErr w:type="spellEnd"/>
      <w:r>
        <w:rPr>
          <w:rtl/>
        </w:rPr>
        <w:t>, עמ'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7CA1"/>
    <w:rsid w:val="00063A3E"/>
    <w:rsid w:val="00072CAC"/>
    <w:rsid w:val="0007681A"/>
    <w:rsid w:val="000A542E"/>
    <w:rsid w:val="00102B6B"/>
    <w:rsid w:val="001052D4"/>
    <w:rsid w:val="0010644B"/>
    <w:rsid w:val="001207F8"/>
    <w:rsid w:val="00121924"/>
    <w:rsid w:val="001279A8"/>
    <w:rsid w:val="0014195F"/>
    <w:rsid w:val="00152609"/>
    <w:rsid w:val="00153E1B"/>
    <w:rsid w:val="00180E88"/>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2B89"/>
    <w:rsid w:val="004A06DC"/>
    <w:rsid w:val="004B24ED"/>
    <w:rsid w:val="004B6625"/>
    <w:rsid w:val="004D2D82"/>
    <w:rsid w:val="004D3876"/>
    <w:rsid w:val="004E4552"/>
    <w:rsid w:val="004E6CDF"/>
    <w:rsid w:val="00553C9D"/>
    <w:rsid w:val="00562A66"/>
    <w:rsid w:val="0056651E"/>
    <w:rsid w:val="005B064E"/>
    <w:rsid w:val="005D51AE"/>
    <w:rsid w:val="005E6B9E"/>
    <w:rsid w:val="0062674B"/>
    <w:rsid w:val="006363B2"/>
    <w:rsid w:val="00644940"/>
    <w:rsid w:val="006818A9"/>
    <w:rsid w:val="006A2D81"/>
    <w:rsid w:val="006C1D0D"/>
    <w:rsid w:val="0070601E"/>
    <w:rsid w:val="00712C72"/>
    <w:rsid w:val="00735FE9"/>
    <w:rsid w:val="00763CAA"/>
    <w:rsid w:val="00765F66"/>
    <w:rsid w:val="0078664F"/>
    <w:rsid w:val="00786650"/>
    <w:rsid w:val="00792E45"/>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0F5D"/>
    <w:rsid w:val="00982412"/>
    <w:rsid w:val="00983A8D"/>
    <w:rsid w:val="009A0DB8"/>
    <w:rsid w:val="009A7257"/>
    <w:rsid w:val="009D6E0A"/>
    <w:rsid w:val="009E1E33"/>
    <w:rsid w:val="00A14672"/>
    <w:rsid w:val="00A26BD6"/>
    <w:rsid w:val="00A443CF"/>
    <w:rsid w:val="00A645C2"/>
    <w:rsid w:val="00A6611D"/>
    <w:rsid w:val="00A82CB7"/>
    <w:rsid w:val="00A942C1"/>
    <w:rsid w:val="00AA2F03"/>
    <w:rsid w:val="00AC36F7"/>
    <w:rsid w:val="00AC63A4"/>
    <w:rsid w:val="00AD239E"/>
    <w:rsid w:val="00B10265"/>
    <w:rsid w:val="00B16A99"/>
    <w:rsid w:val="00B21211"/>
    <w:rsid w:val="00B35784"/>
    <w:rsid w:val="00B733A7"/>
    <w:rsid w:val="00B75C91"/>
    <w:rsid w:val="00B8673F"/>
    <w:rsid w:val="00B975AD"/>
    <w:rsid w:val="00BC45FB"/>
    <w:rsid w:val="00BF148D"/>
    <w:rsid w:val="00C23B1A"/>
    <w:rsid w:val="00C310EB"/>
    <w:rsid w:val="00C745C3"/>
    <w:rsid w:val="00C9176A"/>
    <w:rsid w:val="00CF1AA2"/>
    <w:rsid w:val="00D142D3"/>
    <w:rsid w:val="00D17774"/>
    <w:rsid w:val="00D63620"/>
    <w:rsid w:val="00D8410D"/>
    <w:rsid w:val="00D867D7"/>
    <w:rsid w:val="00DB7060"/>
    <w:rsid w:val="00DC1E2B"/>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56F03"/>
    <w:rsid w:val="00F628D6"/>
    <w:rsid w:val="00F67051"/>
    <w:rsid w:val="00F86A1E"/>
    <w:rsid w:val="00FA0A0A"/>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BFD522E-A08B-4F32-834D-E682E4A1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CA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047CA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047CA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047CA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047CA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047CA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47CA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047CA1"/>
    <w:rPr>
      <w:sz w:val="36"/>
      <w:szCs w:val="52"/>
    </w:rPr>
  </w:style>
  <w:style w:type="paragraph" w:customStyle="1" w:styleId="Cover3-Haknesset">
    <w:name w:val="Cover 3-Haknesset"/>
    <w:basedOn w:val="Cover1-Reshumot"/>
    <w:rsid w:val="00047CA1"/>
    <w:rPr>
      <w:b/>
      <w:bCs/>
      <w:spacing w:val="60"/>
    </w:rPr>
  </w:style>
  <w:style w:type="paragraph" w:customStyle="1" w:styleId="Cover4-Date">
    <w:name w:val="Cover 4-Date"/>
    <w:basedOn w:val="a"/>
    <w:rsid w:val="00047CA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47CA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047CA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047CA1"/>
    <w:pPr>
      <w:spacing w:before="120" w:after="120"/>
    </w:pPr>
    <w:rPr>
      <w:color w:val="FF0000"/>
      <w:w w:val="80"/>
    </w:rPr>
  </w:style>
  <w:style w:type="paragraph" w:styleId="a3">
    <w:name w:val="endnote text"/>
    <w:basedOn w:val="a"/>
    <w:semiHidden/>
    <w:rsid w:val="00047CA1"/>
    <w:pPr>
      <w:ind w:left="227" w:hanging="227"/>
    </w:pPr>
    <w:rPr>
      <w:sz w:val="14"/>
      <w:szCs w:val="22"/>
    </w:rPr>
  </w:style>
  <w:style w:type="paragraph" w:customStyle="1" w:styleId="TableText">
    <w:name w:val="Table Text"/>
    <w:basedOn w:val="a"/>
    <w:rsid w:val="00047CA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047CA1"/>
    <w:pPr>
      <w:outlineLvl w:val="2"/>
    </w:pPr>
  </w:style>
  <w:style w:type="paragraph" w:customStyle="1" w:styleId="TableBlock">
    <w:name w:val="Table Block"/>
    <w:basedOn w:val="TableText"/>
    <w:rsid w:val="00047CA1"/>
    <w:pPr>
      <w:jc w:val="both"/>
    </w:pPr>
  </w:style>
  <w:style w:type="paragraph" w:customStyle="1" w:styleId="TableHead">
    <w:name w:val="Table Head"/>
    <w:basedOn w:val="TableText"/>
    <w:rsid w:val="00047CA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47CA1"/>
    <w:pPr>
      <w:outlineLvl w:val="9"/>
    </w:pPr>
  </w:style>
  <w:style w:type="paragraph" w:customStyle="1" w:styleId="Hesber">
    <w:name w:val="Hesber"/>
    <w:basedOn w:val="a"/>
    <w:rsid w:val="00047CA1"/>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047CA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047CA1"/>
    <w:rPr>
      <w:vertAlign w:val="superscript"/>
    </w:rPr>
  </w:style>
  <w:style w:type="paragraph" w:customStyle="1" w:styleId="HesberHeading">
    <w:name w:val="Hesber Heading"/>
    <w:basedOn w:val="Hesber"/>
    <w:rsid w:val="00047CA1"/>
    <w:pPr>
      <w:tabs>
        <w:tab w:val="left" w:pos="624"/>
        <w:tab w:val="left" w:pos="1247"/>
      </w:tabs>
    </w:pPr>
    <w:rPr>
      <w:b/>
      <w:bCs/>
    </w:rPr>
  </w:style>
  <w:style w:type="paragraph" w:customStyle="1" w:styleId="HesberWriters">
    <w:name w:val="Hesber Writers"/>
    <w:basedOn w:val="Hesber"/>
    <w:rsid w:val="00047CA1"/>
    <w:pPr>
      <w:spacing w:before="120" w:after="120"/>
      <w:ind w:left="1418"/>
      <w:jc w:val="right"/>
    </w:pPr>
    <w:rPr>
      <w:b/>
      <w:bCs/>
    </w:rPr>
  </w:style>
  <w:style w:type="paragraph" w:customStyle="1" w:styleId="Hesber1st">
    <w:name w:val="Hesber 1st"/>
    <w:basedOn w:val="Hesber"/>
    <w:rsid w:val="00047CA1"/>
    <w:pPr>
      <w:tabs>
        <w:tab w:val="left" w:pos="680"/>
        <w:tab w:val="left" w:pos="1020"/>
      </w:tabs>
      <w:ind w:firstLine="0"/>
    </w:pPr>
  </w:style>
  <w:style w:type="character" w:styleId="a7">
    <w:name w:val="endnote reference"/>
    <w:basedOn w:val="a0"/>
    <w:semiHidden/>
    <w:rsid w:val="00047CA1"/>
    <w:rPr>
      <w:vertAlign w:val="superscript"/>
    </w:rPr>
  </w:style>
  <w:style w:type="paragraph" w:customStyle="1" w:styleId="TableBlockOutdent">
    <w:name w:val="Table BlockOutdent"/>
    <w:basedOn w:val="TableBlock"/>
    <w:rsid w:val="00047CA1"/>
    <w:pPr>
      <w:ind w:left="624" w:hanging="624"/>
    </w:pPr>
  </w:style>
  <w:style w:type="paragraph" w:styleId="a8">
    <w:name w:val="header"/>
    <w:basedOn w:val="a"/>
    <w:rsid w:val="00047CA1"/>
    <w:pPr>
      <w:tabs>
        <w:tab w:val="center" w:pos="4153"/>
        <w:tab w:val="right" w:pos="8306"/>
      </w:tabs>
    </w:pPr>
  </w:style>
  <w:style w:type="paragraph" w:styleId="a9">
    <w:name w:val="footer"/>
    <w:basedOn w:val="a"/>
    <w:rsid w:val="00047CA1"/>
    <w:pPr>
      <w:tabs>
        <w:tab w:val="center" w:pos="4153"/>
        <w:tab w:val="right" w:pos="8306"/>
      </w:tabs>
    </w:pPr>
  </w:style>
  <w:style w:type="paragraph" w:customStyle="1" w:styleId="HeadDivreiHesber">
    <w:name w:val="Head DivreiHesber"/>
    <w:basedOn w:val="a"/>
    <w:rsid w:val="00047CA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047CA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047CA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970F5D"/>
    <w:rPr>
      <w:rFonts w:ascii="Arial" w:eastAsia="Arial Unicode MS" w:hAnsi="Arial" w:cs="David"/>
      <w:snapToGrid w:val="0"/>
      <w:sz w:val="14"/>
    </w:rPr>
  </w:style>
  <w:style w:type="paragraph" w:styleId="NormalWeb">
    <w:name w:val="Normal (Web)"/>
    <w:basedOn w:val="a"/>
    <w:uiPriority w:val="99"/>
    <w:unhideWhenUsed/>
    <w:rsid w:val="00970F5D"/>
    <w:pPr>
      <w:widowControl/>
      <w:bidi w:val="0"/>
      <w:spacing w:before="100" w:beforeAutospacing="1" w:after="100" w:afterAutospacing="1" w:line="240" w:lineRule="auto"/>
      <w:jc w:val="left"/>
    </w:pPr>
    <w:rPr>
      <w:rFonts w:ascii="Times New Roman" w:eastAsia="Times New Roman" w:hAnsi="Times New Roman" w:cs="Times New Roman"/>
    </w:rPr>
  </w:style>
  <w:style w:type="character" w:customStyle="1" w:styleId="10">
    <w:name w:val="כותרת 1 תו"/>
    <w:basedOn w:val="a0"/>
    <w:link w:val="1"/>
    <w:uiPriority w:val="9"/>
    <w:rsid w:val="00047CA1"/>
    <w:rPr>
      <w:rFonts w:asciiTheme="majorHAnsi" w:eastAsiaTheme="majorEastAsia" w:hAnsiTheme="majorHAnsi" w:cs="David"/>
      <w:bCs/>
      <w:sz w:val="32"/>
      <w:szCs w:val="36"/>
    </w:rPr>
  </w:style>
  <w:style w:type="character" w:customStyle="1" w:styleId="20">
    <w:name w:val="כותרת 2 תו"/>
    <w:basedOn w:val="a0"/>
    <w:link w:val="2"/>
    <w:rsid w:val="00047CA1"/>
    <w:rPr>
      <w:rFonts w:asciiTheme="majorHAnsi" w:eastAsiaTheme="majorEastAsia" w:hAnsiTheme="majorHAnsi" w:cs="David"/>
      <w:bCs/>
      <w:sz w:val="26"/>
      <w:szCs w:val="36"/>
      <w:u w:val="single"/>
    </w:rPr>
  </w:style>
  <w:style w:type="character" w:customStyle="1" w:styleId="30">
    <w:name w:val="כותרת 3 תו"/>
    <w:basedOn w:val="a0"/>
    <w:link w:val="3"/>
    <w:rsid w:val="00047CA1"/>
    <w:rPr>
      <w:rFonts w:asciiTheme="majorHAnsi" w:eastAsiaTheme="majorEastAsia" w:hAnsiTheme="majorHAnsi" w:cs="David"/>
      <w:sz w:val="24"/>
      <w:szCs w:val="28"/>
      <w:u w:val="double"/>
    </w:rPr>
  </w:style>
  <w:style w:type="character" w:customStyle="1" w:styleId="40">
    <w:name w:val="כותרת 4 תו"/>
    <w:basedOn w:val="a0"/>
    <w:link w:val="4"/>
    <w:uiPriority w:val="9"/>
    <w:rsid w:val="00047CA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047CA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047CA1"/>
    <w:pPr>
      <w:widowControl/>
      <w:spacing w:before="120" w:after="120"/>
      <w:outlineLvl w:val="9"/>
    </w:pPr>
    <w:rPr>
      <w:rtl/>
      <w:cs/>
    </w:rPr>
  </w:style>
  <w:style w:type="paragraph" w:styleId="TOC1">
    <w:name w:val="toc 1"/>
    <w:basedOn w:val="a"/>
    <w:next w:val="a"/>
    <w:autoRedefine/>
    <w:uiPriority w:val="39"/>
    <w:unhideWhenUsed/>
    <w:rsid w:val="00047CA1"/>
    <w:pPr>
      <w:tabs>
        <w:tab w:val="right" w:leader="dot" w:pos="9629"/>
      </w:tabs>
      <w:spacing w:after="100"/>
    </w:pPr>
    <w:rPr>
      <w:bCs/>
      <w:szCs w:val="22"/>
    </w:rPr>
  </w:style>
  <w:style w:type="paragraph" w:styleId="TOC2">
    <w:name w:val="toc 2"/>
    <w:basedOn w:val="a"/>
    <w:next w:val="a"/>
    <w:uiPriority w:val="39"/>
    <w:unhideWhenUsed/>
    <w:rsid w:val="00047CA1"/>
    <w:pPr>
      <w:tabs>
        <w:tab w:val="right" w:leader="dot" w:pos="9628"/>
      </w:tabs>
      <w:spacing w:after="100"/>
    </w:pPr>
    <w:rPr>
      <w:szCs w:val="22"/>
    </w:rPr>
  </w:style>
  <w:style w:type="character" w:styleId="Hyperlink">
    <w:name w:val="Hyperlink"/>
    <w:basedOn w:val="a0"/>
    <w:uiPriority w:val="99"/>
    <w:unhideWhenUsed/>
    <w:rsid w:val="00047CA1"/>
    <w:rPr>
      <w:color w:val="0000FF" w:themeColor="hyperlink"/>
      <w:u w:val="single"/>
    </w:rPr>
  </w:style>
  <w:style w:type="paragraph" w:styleId="TOC3">
    <w:name w:val="toc 3"/>
    <w:basedOn w:val="a"/>
    <w:next w:val="a"/>
    <w:uiPriority w:val="39"/>
    <w:unhideWhenUsed/>
    <w:rsid w:val="00047CA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047CA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047CA1"/>
    <w:pPr>
      <w:tabs>
        <w:tab w:val="right" w:leader="dot" w:pos="9628"/>
      </w:tabs>
      <w:spacing w:after="100"/>
      <w:ind w:left="567"/>
    </w:pPr>
    <w:rPr>
      <w:szCs w:val="22"/>
    </w:rPr>
  </w:style>
  <w:style w:type="paragraph" w:styleId="TOC6">
    <w:name w:val="toc 6"/>
    <w:basedOn w:val="a"/>
    <w:next w:val="a"/>
    <w:autoRedefine/>
    <w:semiHidden/>
    <w:unhideWhenUsed/>
    <w:rsid w:val="00047CA1"/>
    <w:pPr>
      <w:spacing w:after="100"/>
      <w:ind w:left="850"/>
    </w:pPr>
  </w:style>
  <w:style w:type="paragraph" w:styleId="TOC7">
    <w:name w:val="toc 7"/>
    <w:basedOn w:val="a"/>
    <w:next w:val="a"/>
    <w:autoRedefine/>
    <w:semiHidden/>
    <w:unhideWhenUsed/>
    <w:rsid w:val="00047CA1"/>
    <w:pPr>
      <w:spacing w:after="100"/>
      <w:ind w:left="1020"/>
    </w:pPr>
  </w:style>
  <w:style w:type="paragraph" w:styleId="TOC8">
    <w:name w:val="toc 8"/>
    <w:basedOn w:val="a"/>
    <w:next w:val="a"/>
    <w:autoRedefine/>
    <w:semiHidden/>
    <w:unhideWhenUsed/>
    <w:rsid w:val="00047CA1"/>
    <w:pPr>
      <w:spacing w:after="100"/>
      <w:ind w:left="1190"/>
    </w:pPr>
  </w:style>
  <w:style w:type="paragraph" w:styleId="TOC9">
    <w:name w:val="toc 9"/>
    <w:basedOn w:val="a"/>
    <w:next w:val="a"/>
    <w:autoRedefine/>
    <w:semiHidden/>
    <w:unhideWhenUsed/>
    <w:rsid w:val="00047CA1"/>
    <w:pPr>
      <w:spacing w:after="100"/>
      <w:ind w:left="1360"/>
    </w:pPr>
  </w:style>
  <w:style w:type="paragraph" w:customStyle="1" w:styleId="TableHead2">
    <w:name w:val="Table Head2"/>
    <w:basedOn w:val="TableHead"/>
    <w:qFormat/>
    <w:rsid w:val="00047CA1"/>
    <w:pPr>
      <w:outlineLvl w:val="9"/>
    </w:pPr>
  </w:style>
  <w:style w:type="paragraph" w:customStyle="1" w:styleId="TableSideHeading2">
    <w:name w:val="Table SideHeading2"/>
    <w:basedOn w:val="TableSideHeading"/>
    <w:autoRedefine/>
    <w:qFormat/>
    <w:rsid w:val="00047CA1"/>
    <w:pPr>
      <w:keepLines w:val="0"/>
      <w:outlineLvl w:val="9"/>
    </w:pPr>
  </w:style>
  <w:style w:type="paragraph" w:customStyle="1" w:styleId="0">
    <w:name w:val="סגנון שורה ראשונה:  0  ס''מ"/>
    <w:basedOn w:val="2"/>
    <w:rsid w:val="00047CA1"/>
    <w:rPr>
      <w:rFonts w:eastAsia="Times New Roman"/>
    </w:rPr>
  </w:style>
  <w:style w:type="paragraph" w:styleId="af">
    <w:name w:val="List Paragraph"/>
    <w:basedOn w:val="a"/>
    <w:uiPriority w:val="34"/>
    <w:qFormat/>
    <w:rsid w:val="00047CA1"/>
    <w:pPr>
      <w:widowControl/>
      <w:spacing w:line="259" w:lineRule="auto"/>
    </w:pPr>
    <w:rPr>
      <w:rFonts w:asciiTheme="minorHAnsi" w:hAnsiTheme="minorHAnsi"/>
      <w:sz w:val="22"/>
    </w:rPr>
  </w:style>
  <w:style w:type="table" w:styleId="af0">
    <w:name w:val="Table Grid"/>
    <w:basedOn w:val="a1"/>
    <w:rsid w:val="0004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47C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047C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047CA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047CA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5C6E-FE32-412E-B28A-2ACA53E0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290d5b49-c690-4c6f-bbb9-1e50dab33ee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70AC039-4F38-47EF-9B69-D6720C31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491</Words>
  <Characters>2802</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גל כהן</cp:lastModifiedBy>
  <cp:revision>14</cp:revision>
  <cp:lastPrinted>2013-07-04T08:25:00Z</cp:lastPrinted>
  <dcterms:created xsi:type="dcterms:W3CDTF">2015-04-20T09:58:00Z</dcterms:created>
  <dcterms:modified xsi:type="dcterms:W3CDTF">2022-05-26T08:23:00Z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2192707</vt:r8>
  </property>
</Properties>
</file>