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635A2" w:rsidR="000601AA" w:rsidP="000601AA" w:rsidRDefault="000601AA" w14:paraId="6B277AB2" w14:textId="77777777">
      <w:pPr>
        <w:jc w:val="right"/>
        <w:rPr>
          <w:b/>
          <w:bCs/>
          <w:sz w:val="20"/>
          <w:szCs w:val="20"/>
        </w:rPr>
      </w:pPr>
      <w:r w:rsidRPr="00E635A2">
        <w:rPr>
          <w:rFonts w:hint="cs"/>
          <w:sz w:val="20"/>
          <w:szCs w:val="20"/>
          <w:rtl/>
        </w:rPr>
        <w:t xml:space="preserve">מספר פנימי: </w:t>
      </w:r>
      <w:bookmarkStart w:name="LGS_Internal_ID" w:id="0"/>
      <w:r>
        <w:rPr>
          <w:rFonts w:hint="cs"/>
          <w:sz w:val="20"/>
          <w:szCs w:val="20"/>
          <w:rtl/>
        </w:rPr>
        <w:t>2192140</w:t>
      </w:r>
      <w:bookmarkEnd w:id="0"/>
    </w:p>
    <w:p w:rsidRPr="00DB7060" w:rsidR="000601AA" w:rsidP="000601AA" w:rsidRDefault="000601AA" w14:paraId="649AF0EE" w14:textId="77777777">
      <w:pPr>
        <w:pStyle w:val="HeadHatzaotHok"/>
        <w:rPr>
          <w:sz w:val="28"/>
          <w:szCs w:val="28"/>
          <w:rtl/>
        </w:rPr>
      </w:pPr>
      <w:r w:rsidRPr="00DB7060">
        <w:rPr>
          <w:rFonts w:hint="cs"/>
          <w:sz w:val="28"/>
          <w:szCs w:val="28"/>
          <w:rtl/>
        </w:rPr>
        <w:t xml:space="preserve">הכנסת </w:t>
      </w:r>
      <w:bookmarkStart w:name="LGS_Knesset_Num" w:id="1"/>
      <w:r>
        <w:rPr>
          <w:rFonts w:hint="cs"/>
          <w:sz w:val="28"/>
          <w:szCs w:val="28"/>
          <w:rtl/>
        </w:rPr>
        <w:t>העשרים וארבע</w:t>
      </w:r>
      <w:bookmarkEnd w:id="1"/>
    </w:p>
    <w:p w:rsidRPr="00F67051" w:rsidR="000601AA" w:rsidP="000601AA" w:rsidRDefault="000601AA" w14:paraId="2719B474" w14:textId="77777777">
      <w:pPr>
        <w:rPr>
          <w:b/>
          <w:bCs/>
          <w:sz w:val="26"/>
          <w:szCs w:val="26"/>
          <w:rtl/>
        </w:rPr>
      </w:pPr>
    </w:p>
    <w:p w:rsidRPr="00CF1AA2" w:rsidR="000601AA" w:rsidP="00050DAF" w:rsidRDefault="000601AA" w14:paraId="661FCA1C" w14:textId="134824C2">
      <w:pPr>
        <w:pStyle w:val="David"/>
        <w:spacing w:before="102"/>
        <w:ind w:left="3544"/>
        <w:rPr>
          <w:b/>
          <w:bCs/>
          <w:sz w:val="16"/>
          <w:szCs w:val="16"/>
          <w:rtl/>
        </w:rPr>
      </w:pPr>
      <w:bookmarkStart w:name="LGS_Initiators_List" w:id="2"/>
      <w:r>
        <w:rPr>
          <w:b/>
          <w:bCs/>
          <w:rtl/>
        </w:rPr>
        <w:t>יוזמות:      חברות הכנסת</w:t>
      </w:r>
      <w:bookmarkEnd w:id="2"/>
      <w:r w:rsidRPr="00F67051">
        <w:rPr>
          <w:b/>
          <w:bCs/>
        </w:rPr>
        <w:tab/>
      </w:r>
      <w:bookmarkStart w:name="LGS_PM_Names" w:id="3"/>
      <w:r>
        <w:rPr>
          <w:rFonts w:hint="cs"/>
          <w:b/>
          <w:bCs/>
          <w:rtl/>
        </w:rPr>
        <w:t>אפרת רייטן מרום</w:t>
      </w:r>
      <w:r>
        <w:br/>
      </w:r>
      <w:r>
        <w:rPr>
          <w:rFonts w:hint="cs"/>
          <w:b/>
          <w:bCs/>
          <w:rtl/>
        </w:rPr>
        <w:t xml:space="preserve"> </w:t>
      </w:r>
      <w:r>
        <w:tab/>
      </w:r>
      <w:r>
        <w:tab/>
      </w:r>
      <w:r>
        <w:tab/>
      </w:r>
      <w:r>
        <w:tab/>
      </w:r>
      <w:r>
        <w:rPr>
          <w:rFonts w:hint="cs"/>
          <w:b/>
          <w:bCs/>
          <w:rtl/>
        </w:rPr>
        <w:t>מיכל וולדיגר</w:t>
      </w:r>
      <w:bookmarkStart w:name="LGS_Join_List" w:id="4"/>
      <w:bookmarkEnd w:id="3"/>
      <w:r>
        <w:rPr>
          <w:rtl/>
        </w:rPr>
        <w:t xml:space="preserve"> </w:t>
      </w:r>
      <w:bookmarkEnd w:id="4"/>
      <w:r w:rsidRPr="00CF1AA2">
        <w:rPr>
          <w:rFonts w:hint="cs"/>
          <w:rtl/>
        </w:rPr>
        <w:tab/>
      </w:r>
      <w:bookmarkStart w:name="LGS_PM_NamesJoin" w:id="5"/>
      <w:r>
        <w:rPr>
          <w:rFonts w:hint="cs"/>
          <w:rtl/>
        </w:rPr>
        <w:t xml:space="preserve"> </w:t>
      </w:r>
      <w:bookmarkEnd w:id="5"/>
    </w:p>
    <w:p w:rsidRPr="00904591" w:rsidR="000601AA" w:rsidP="000601AA" w:rsidRDefault="000601AA" w14:paraId="6C998982" w14:textId="77777777">
      <w:pPr>
        <w:pStyle w:val="David"/>
        <w:ind w:left="3544"/>
        <w:rPr>
          <w:sz w:val="4"/>
          <w:szCs w:val="4"/>
          <w:rtl/>
        </w:rPr>
      </w:pPr>
      <w:r>
        <w:t>______________________________________________</w:t>
      </w:r>
      <w:r w:rsidRPr="00E06736">
        <w:tab/>
      </w:r>
      <w:r w:rsidRPr="00E06736">
        <w:rPr>
          <w:rFonts w:hint="cs"/>
          <w:rtl/>
        </w:rPr>
        <w:tab/>
      </w:r>
      <w:r w:rsidRPr="00E06736">
        <w:rPr>
          <w:rFonts w:hint="cs"/>
          <w:rtl/>
        </w:rPr>
        <w:tab/>
      </w:r>
      <w:r w:rsidRPr="00E06736">
        <w:rPr>
          <w:rFonts w:hint="cs"/>
          <w:rtl/>
        </w:rPr>
        <w:tab/>
      </w:r>
      <w:r>
        <w:t xml:space="preserve">           </w:t>
      </w:r>
    </w:p>
    <w:p w:rsidRPr="00E06736" w:rsidR="000601AA" w:rsidP="000601AA" w:rsidRDefault="000601AA" w14:paraId="593D2B4C" w14:textId="67CAC3A4">
      <w:pPr>
        <w:pStyle w:val="David"/>
        <w:spacing w:line="240" w:lineRule="auto"/>
        <w:ind w:left="3544"/>
        <w:rPr>
          <w:rtl/>
        </w:rPr>
      </w:pPr>
      <w:r>
        <w:t xml:space="preserve">                                             </w:t>
      </w:r>
      <w:bookmarkStart w:name="Private_Number" w:id="6"/>
      <w:r w:rsidR="00050DAF">
        <w:rPr>
          <w:rtl/>
        </w:rPr>
        <w:tab/>
      </w:r>
      <w:r>
        <w:rPr>
          <w:rFonts w:hint="cs"/>
          <w:rtl/>
        </w:rPr>
        <w:t>פ/3835/24</w:t>
      </w:r>
      <w:bookmarkEnd w:id="6"/>
    </w:p>
    <w:p w:rsidR="000601AA" w:rsidP="000601AA" w:rsidRDefault="000601AA" w14:paraId="1AB2F22E" w14:textId="77777777">
      <w:pPr>
        <w:ind w:left="2880" w:firstLine="720"/>
        <w:rPr>
          <w:sz w:val="26"/>
          <w:szCs w:val="26"/>
          <w:rtl/>
        </w:rPr>
      </w:pPr>
    </w:p>
    <w:p w:rsidR="000601AA" w:rsidP="000601AA" w:rsidRDefault="000601AA" w14:paraId="5E0193F1" w14:textId="39B6BBB8">
      <w:pPr>
        <w:pStyle w:val="HeadHatzaotHok"/>
        <w:rPr>
          <w:rtl/>
        </w:rPr>
      </w:pPr>
      <w:bookmarkStart w:name="LGS_Subject" w:id="7"/>
      <w:r xmlns:w="http://schemas.openxmlformats.org/wordprocessingml/2006/main">
        <w:rPr xmlns:w="http://schemas.openxmlformats.org/wordprocessingml/2006/main">
          <w:rFonts w:hint="cs"/>
          <w:rtl/>
        </w:rPr>
        <w:t xml:space="preserve">הצעת חוק הנוער (טיפול והשגחה) (תיקון – טיפול בבריחה ממשמורת), התשפ"ב-2022</w:t>
      </w:r>
      <w:bookmarkEnd w:id="7"/>
    </w:p>
    <w:p w:rsidR="00050DAF" w:rsidP="000601AA" w:rsidRDefault="00050DAF" w14:paraId="324C4C8C" w14:textId="77777777">
      <w:pPr>
        <w:pStyle w:val="HeadHatzaotHok"/>
        <w:rPr>
          <w:rtl/>
        </w:rPr>
      </w:pPr>
    </w:p>
    <w:tbl>
      <w:tblPr>
        <w:bidiVisual/>
        <w:tblW w:w="9638"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7143"/>
      </w:tblGrid>
      <w:tr w:rsidRPr="00FC7571" w:rsidR="000601AA" w:rsidTr="00050DAF" w14:paraId="7BDE0A26" w14:textId="77777777">
        <w:trPr>
          <w:cantSplit/>
        </w:trPr>
        <w:tc>
          <w:tcPr>
            <w:tcW w:w="1871" w:type="dxa"/>
            <w:shd w:val="clear" w:color="auto" w:fill="auto"/>
            <w:tcMar>
              <w:top w:w="91" w:type="dxa"/>
              <w:left w:w="0" w:type="dxa"/>
              <w:bottom w:w="91" w:type="dxa"/>
              <w:right w:w="0" w:type="dxa"/>
            </w:tcMar>
          </w:tcPr>
          <w:p w:rsidR="000601AA" w:rsidDel="000D0AB2" w:rsidP="006F7664" w:rsidRDefault="000601AA" w14:paraId="7D957E75" w14:textId="77777777">
            <w:pPr>
              <w:pStyle w:val="TableSideHeading"/>
              <w:rPr>
                <w:rtl/>
              </w:rPr>
            </w:pPr>
            <w:r>
              <w:rPr>
                <w:rFonts w:hint="cs"/>
                <w:rtl/>
              </w:rPr>
              <w:t>תיקון סעיף 19</w:t>
            </w:r>
          </w:p>
        </w:tc>
        <w:tc>
          <w:tcPr>
            <w:tcW w:w="624" w:type="dxa"/>
            <w:shd w:val="clear" w:color="auto" w:fill="auto"/>
            <w:tcMar>
              <w:top w:w="91" w:type="dxa"/>
              <w:left w:w="0" w:type="dxa"/>
              <w:bottom w:w="91" w:type="dxa"/>
              <w:right w:w="0" w:type="dxa"/>
            </w:tcMar>
          </w:tcPr>
          <w:p w:rsidR="000601AA" w:rsidP="006F7664" w:rsidRDefault="000601AA" w14:paraId="6B213CA5" w14:textId="77777777">
            <w:pPr>
              <w:pStyle w:val="TableText"/>
              <w:rPr>
                <w:rtl/>
              </w:rPr>
            </w:pPr>
            <w:r>
              <w:rPr>
                <w:rFonts w:hint="cs"/>
                <w:rtl/>
              </w:rPr>
              <w:t xml:space="preserve">1. </w:t>
            </w:r>
          </w:p>
        </w:tc>
        <w:tc>
          <w:tcPr>
            <w:tcW w:w="7143" w:type="dxa"/>
            <w:shd w:val="clear" w:color="auto" w:fill="auto"/>
            <w:tcMar>
              <w:top w:w="91" w:type="dxa"/>
              <w:left w:w="0" w:type="dxa"/>
              <w:bottom w:w="91" w:type="dxa"/>
              <w:right w:w="0" w:type="dxa"/>
            </w:tcMar>
          </w:tcPr>
          <w:p w:rsidR="000601AA" w:rsidP="00050DAF" w:rsidRDefault="000601AA" w14:paraId="752086BD" w14:textId="50992FCC">
            <w:pPr>
              <w:pStyle w:val="TableBlock"/>
              <w:rPr>
                <w:rtl/>
              </w:rPr>
            </w:pPr>
            <w:r>
              <w:rPr>
                <w:rFonts w:hint="cs"/>
                <w:rtl/>
              </w:rPr>
              <w:t>בחוק הנוער (טיפול והשגחה), התש"ך</w:t>
            </w:r>
            <w:r w:rsidR="00050DAF">
              <w:rPr>
                <w:rtl/>
              </w:rPr>
              <w:t>–</w:t>
            </w:r>
            <w:r>
              <w:rPr>
                <w:rFonts w:hint="cs"/>
                <w:rtl/>
              </w:rPr>
              <w:t>1960</w:t>
            </w:r>
            <w:r w:rsidRPr="00050DAF">
              <w:rPr>
                <w:rStyle w:val="a6"/>
                <w:rFonts w:ascii="David" w:hAnsi="David"/>
                <w:sz w:val="26"/>
                <w:rtl/>
              </w:rPr>
              <w:footnoteReference w:id="2"/>
            </w:r>
            <w:r>
              <w:rPr>
                <w:rFonts w:hint="cs"/>
                <w:rtl/>
              </w:rPr>
              <w:t xml:space="preserve"> (להלן </w:t>
            </w:r>
            <w:r>
              <w:rPr>
                <w:rtl/>
              </w:rPr>
              <w:t>–</w:t>
            </w:r>
            <w:r>
              <w:rPr>
                <w:rFonts w:hint="cs"/>
                <w:rtl/>
              </w:rPr>
              <w:t xml:space="preserve"> החוק העיקרי), בסעיף 19, האמור בו יסומן "(א)</w:t>
            </w:r>
            <w:r w:rsidR="00050DAF">
              <w:rPr>
                <w:rFonts w:hint="cs"/>
                <w:rtl/>
              </w:rPr>
              <w:t>"</w:t>
            </w:r>
            <w:r>
              <w:rPr>
                <w:rFonts w:hint="cs"/>
                <w:rtl/>
              </w:rPr>
              <w:t xml:space="preserve"> ואחריו יבוא:</w:t>
            </w:r>
          </w:p>
        </w:tc>
      </w:tr>
      <w:tr w:rsidR="00050DAF" w:rsidTr="00C333DB" w14:paraId="61309D92" w14:textId="77777777">
        <w:tblPrEx>
          <w:tblLook w:val="01E0" w:firstRow="1" w:lastRow="1" w:firstColumn="1" w:lastColumn="1" w:noHBand="0" w:noVBand="0"/>
        </w:tblPrEx>
        <w:trPr>
          <w:cantSplit/>
        </w:trPr>
        <w:tc>
          <w:tcPr>
            <w:tcW w:w="1871" w:type="dxa"/>
          </w:tcPr>
          <w:p w:rsidR="00050DAF" w:rsidP="006F7664" w:rsidRDefault="00050DAF" w14:paraId="10386000" w14:textId="77777777">
            <w:pPr>
              <w:pStyle w:val="TableSideHeading"/>
            </w:pPr>
          </w:p>
        </w:tc>
        <w:tc>
          <w:tcPr>
            <w:tcW w:w="624" w:type="dxa"/>
          </w:tcPr>
          <w:p w:rsidR="00050DAF" w:rsidP="006F7664" w:rsidRDefault="00050DAF" w14:paraId="5DC78DC8" w14:textId="77777777">
            <w:pPr>
              <w:pStyle w:val="TableText"/>
            </w:pPr>
          </w:p>
        </w:tc>
        <w:tc>
          <w:tcPr>
            <w:tcW w:w="7143" w:type="dxa"/>
          </w:tcPr>
          <w:p w:rsidR="00050DAF" w:rsidP="00050DAF" w:rsidRDefault="00050DAF" w14:paraId="7C86F9F8" w14:textId="5865217A">
            <w:pPr>
              <w:pStyle w:val="TableBlock"/>
              <w:tabs>
                <w:tab w:val="left" w:pos="624"/>
                <w:tab w:val="left" w:pos="1247"/>
              </w:tabs>
            </w:pPr>
            <w:r>
              <w:rPr>
                <w:rFonts w:hint="cs"/>
                <w:rtl/>
              </w:rPr>
              <w:t>"(ב)</w:t>
            </w:r>
            <w:r>
              <w:rPr>
                <w:rtl/>
              </w:rPr>
              <w:tab/>
            </w:r>
            <w:r>
              <w:rPr>
                <w:rFonts w:hint="cs"/>
                <w:rtl/>
              </w:rPr>
              <w:t>הושם קטין במשמורת לפי החלטת בית משפט כאמור בסעיף 3(4), ולא הגיע למקום המשמורת, לא חזר אליה, או עזב את מקום המשמורת, ללא רשות, ידווח מנהל מקום המשמורת לעובד סוציאלי לפי חוק הנוער (טיפול והשגחה), שיתאם עם משטרת ישראל את איתורו והבאתו למשמורת."</w:t>
            </w:r>
          </w:p>
        </w:tc>
      </w:tr>
      <w:tr w:rsidRPr="00FC7571" w:rsidR="000601AA" w:rsidTr="00050DAF" w14:paraId="202A9656" w14:textId="77777777">
        <w:trPr>
          <w:cantSplit/>
        </w:trPr>
        <w:tc>
          <w:tcPr>
            <w:tcW w:w="1871" w:type="dxa"/>
            <w:shd w:val="clear" w:color="auto" w:fill="auto"/>
            <w:tcMar>
              <w:top w:w="91" w:type="dxa"/>
              <w:left w:w="0" w:type="dxa"/>
              <w:bottom w:w="91" w:type="dxa"/>
              <w:right w:w="0" w:type="dxa"/>
            </w:tcMar>
          </w:tcPr>
          <w:p w:rsidRPr="00FC7571" w:rsidR="000601AA" w:rsidP="006F7664" w:rsidRDefault="000601AA" w14:paraId="2119DB42" w14:textId="77777777">
            <w:pPr>
              <w:pStyle w:val="TableSideHeading"/>
              <w:rPr>
                <w:rtl/>
              </w:rPr>
            </w:pPr>
            <w:r>
              <w:rPr>
                <w:rFonts w:hint="cs"/>
                <w:rtl/>
              </w:rPr>
              <w:t>תיקון סעיף 26</w:t>
            </w:r>
            <w:r>
              <w:rPr>
                <w:rtl/>
              </w:rPr>
              <w:t xml:space="preserve"> </w:t>
            </w:r>
          </w:p>
        </w:tc>
        <w:tc>
          <w:tcPr>
            <w:tcW w:w="624" w:type="dxa"/>
            <w:shd w:val="clear" w:color="auto" w:fill="auto"/>
            <w:tcMar>
              <w:top w:w="91" w:type="dxa"/>
              <w:left w:w="0" w:type="dxa"/>
              <w:bottom w:w="91" w:type="dxa"/>
              <w:right w:w="0" w:type="dxa"/>
            </w:tcMar>
          </w:tcPr>
          <w:p w:rsidRPr="00FC7571" w:rsidR="000601AA" w:rsidP="006F7664" w:rsidRDefault="00050DAF" w14:paraId="77FD380F" w14:textId="0A66FE9C">
            <w:pPr>
              <w:pStyle w:val="TableText"/>
              <w:rPr>
                <w:rtl/>
              </w:rPr>
            </w:pPr>
            <w:r>
              <w:rPr>
                <w:rFonts w:hint="cs"/>
                <w:rtl/>
              </w:rPr>
              <w:t>2.</w:t>
            </w:r>
          </w:p>
        </w:tc>
        <w:tc>
          <w:tcPr>
            <w:tcW w:w="7143" w:type="dxa"/>
            <w:shd w:val="clear" w:color="auto" w:fill="auto"/>
            <w:tcMar>
              <w:top w:w="91" w:type="dxa"/>
              <w:left w:w="0" w:type="dxa"/>
              <w:bottom w:w="91" w:type="dxa"/>
              <w:right w:w="0" w:type="dxa"/>
            </w:tcMar>
          </w:tcPr>
          <w:p w:rsidRPr="000D0AB2" w:rsidR="000601AA" w:rsidP="00050DAF" w:rsidRDefault="000601AA" w14:paraId="485C836C" w14:textId="68B7216B">
            <w:pPr>
              <w:pStyle w:val="TableBlock"/>
              <w:tabs>
                <w:tab w:val="left" w:pos="624"/>
                <w:tab w:val="left" w:pos="1247"/>
              </w:tabs>
              <w:rPr>
                <w:rtl/>
              </w:rPr>
            </w:pPr>
            <w:r>
              <w:rPr>
                <w:rFonts w:hint="cs"/>
                <w:rtl/>
              </w:rPr>
              <w:t>ב</w:t>
            </w:r>
            <w:r w:rsidRPr="000D0AB2">
              <w:rPr>
                <w:rtl/>
              </w:rPr>
              <w:t xml:space="preserve">סעיף 26 </w:t>
            </w:r>
            <w:r w:rsidR="00B02538">
              <w:rPr>
                <w:rFonts w:hint="cs"/>
                <w:rtl/>
              </w:rPr>
              <w:t xml:space="preserve">לחוק העיקרי, </w:t>
            </w:r>
            <w:r>
              <w:rPr>
                <w:rFonts w:hint="cs"/>
                <w:rtl/>
              </w:rPr>
              <w:t xml:space="preserve">האמור בו יסומן </w:t>
            </w:r>
            <w:r w:rsidR="00050DAF">
              <w:rPr>
                <w:rFonts w:hint="cs"/>
                <w:rtl/>
              </w:rPr>
              <w:t>"</w:t>
            </w:r>
            <w:r>
              <w:rPr>
                <w:rFonts w:hint="cs"/>
                <w:rtl/>
              </w:rPr>
              <w:t>(א)</w:t>
            </w:r>
            <w:r w:rsidR="00050DAF">
              <w:rPr>
                <w:rFonts w:hint="cs"/>
                <w:rtl/>
              </w:rPr>
              <w:t>"</w:t>
            </w:r>
            <w:r>
              <w:rPr>
                <w:rFonts w:hint="cs"/>
                <w:rtl/>
              </w:rPr>
              <w:t xml:space="preserve"> ואחריו </w:t>
            </w:r>
            <w:r w:rsidRPr="000D0AB2">
              <w:rPr>
                <w:rtl/>
              </w:rPr>
              <w:t>יבוא:</w:t>
            </w:r>
          </w:p>
        </w:tc>
      </w:tr>
      <w:tr w:rsidRPr="00FC7571" w:rsidR="000601AA" w:rsidTr="00050DAF" w14:paraId="7FBB453D" w14:textId="77777777">
        <w:trPr>
          <w:cantSplit/>
        </w:trPr>
        <w:tc>
          <w:tcPr>
            <w:tcW w:w="1871" w:type="dxa"/>
            <w:shd w:val="clear" w:color="auto" w:fill="auto"/>
            <w:tcMar>
              <w:top w:w="91" w:type="dxa"/>
              <w:left w:w="0" w:type="dxa"/>
              <w:bottom w:w="91" w:type="dxa"/>
              <w:right w:w="0" w:type="dxa"/>
            </w:tcMar>
          </w:tcPr>
          <w:p w:rsidRPr="00FC7571" w:rsidR="000601AA" w:rsidP="006F7664" w:rsidRDefault="000601AA" w14:paraId="1CD61B64" w14:textId="77777777">
            <w:pPr>
              <w:pStyle w:val="TableSideHeading"/>
              <w:rPr>
                <w:rtl/>
              </w:rPr>
            </w:pPr>
          </w:p>
        </w:tc>
        <w:tc>
          <w:tcPr>
            <w:tcW w:w="624" w:type="dxa"/>
            <w:shd w:val="clear" w:color="auto" w:fill="auto"/>
            <w:tcMar>
              <w:top w:w="91" w:type="dxa"/>
              <w:left w:w="0" w:type="dxa"/>
              <w:bottom w:w="91" w:type="dxa"/>
              <w:right w:w="0" w:type="dxa"/>
            </w:tcMar>
          </w:tcPr>
          <w:p w:rsidRPr="00FC7571" w:rsidR="000601AA" w:rsidP="006F7664" w:rsidRDefault="000601AA" w14:paraId="5CE57D01" w14:textId="77777777">
            <w:pPr>
              <w:pStyle w:val="TableText"/>
              <w:rPr>
                <w:rtl/>
              </w:rPr>
            </w:pPr>
          </w:p>
        </w:tc>
        <w:tc>
          <w:tcPr>
            <w:tcW w:w="7143" w:type="dxa"/>
            <w:shd w:val="clear" w:color="auto" w:fill="auto"/>
            <w:tcMar>
              <w:top w:w="91" w:type="dxa"/>
              <w:left w:w="0" w:type="dxa"/>
              <w:bottom w:w="91" w:type="dxa"/>
              <w:right w:w="0" w:type="dxa"/>
            </w:tcMar>
          </w:tcPr>
          <w:p w:rsidRPr="00FC7571" w:rsidR="000601AA" w:rsidP="00050DAF" w:rsidRDefault="000601AA" w14:paraId="6AF9799C" w14:textId="48A95EAF">
            <w:pPr>
              <w:pStyle w:val="TableBlock"/>
              <w:tabs>
                <w:tab w:val="left" w:pos="624"/>
                <w:tab w:val="left" w:pos="1247"/>
              </w:tabs>
              <w:rPr>
                <w:rtl/>
              </w:rPr>
            </w:pPr>
            <w:r>
              <w:rPr>
                <w:rFonts w:hint="cs"/>
                <w:rtl/>
              </w:rPr>
              <w:t>"</w:t>
            </w:r>
            <w:r w:rsidRPr="000D0AB2">
              <w:rPr>
                <w:rtl/>
              </w:rPr>
              <w:t>(</w:t>
            </w:r>
            <w:r>
              <w:rPr>
                <w:rFonts w:hint="cs"/>
                <w:rtl/>
              </w:rPr>
              <w:t>ב</w:t>
            </w:r>
            <w:r w:rsidR="00050DAF">
              <w:rPr>
                <w:rtl/>
              </w:rPr>
              <w:t>)</w:t>
            </w:r>
            <w:r w:rsidR="00050DAF">
              <w:rPr>
                <w:rtl/>
              </w:rPr>
              <w:tab/>
            </w:r>
            <w:r>
              <w:rPr>
                <w:rFonts w:hint="cs"/>
                <w:rtl/>
              </w:rPr>
              <w:t xml:space="preserve">הוראות </w:t>
            </w:r>
            <w:r w:rsidRPr="000D0AB2">
              <w:rPr>
                <w:rtl/>
              </w:rPr>
              <w:t xml:space="preserve">סעיף </w:t>
            </w:r>
            <w:r w:rsidR="00B02538">
              <w:rPr>
                <w:rFonts w:hint="cs"/>
                <w:rtl/>
              </w:rPr>
              <w:t>קטן (א)</w:t>
            </w:r>
            <w:r w:rsidRPr="000D0AB2">
              <w:rPr>
                <w:rtl/>
              </w:rPr>
              <w:t xml:space="preserve"> לא יחול</w:t>
            </w:r>
            <w:r>
              <w:rPr>
                <w:rFonts w:hint="cs"/>
                <w:rtl/>
              </w:rPr>
              <w:t>ו</w:t>
            </w:r>
            <w:r w:rsidRPr="000D0AB2">
              <w:rPr>
                <w:rtl/>
              </w:rPr>
              <w:t xml:space="preserve"> על קטין שלא מילא החלטת בית משפט שניתנה מתוקף הוראות סעיף 3(4)</w:t>
            </w:r>
            <w:r w:rsidR="00050DAF">
              <w:rPr>
                <w:rFonts w:hint="cs"/>
                <w:rtl/>
              </w:rPr>
              <w:t>.</w:t>
            </w:r>
            <w:r>
              <w:rPr>
                <w:rFonts w:hint="cs"/>
                <w:rtl/>
              </w:rPr>
              <w:t>"</w:t>
            </w:r>
            <w:r w:rsidR="00050DAF">
              <w:rPr>
                <w:rFonts w:hint="cs"/>
                <w:rtl/>
              </w:rPr>
              <w:t>.</w:t>
            </w:r>
          </w:p>
        </w:tc>
      </w:tr>
    </w:tbl>
    <w:p w:rsidR="000601AA" w:rsidP="000601AA" w:rsidRDefault="000601AA" w14:paraId="4E5C20D5" w14:textId="77777777">
      <w:pPr>
        <w:pStyle w:val="HeadDivreiHesber"/>
        <w:rPr>
          <w:rtl/>
        </w:rPr>
      </w:pPr>
      <w:r w:rsidRPr="0027450A">
        <w:rPr>
          <w:rFonts w:hint="cs"/>
          <w:rtl/>
        </w:rPr>
        <w:t>דברי הסבר</w:t>
      </w:r>
    </w:p>
    <w:p w:rsidRPr="0090448B" w:rsidR="000601AA" w:rsidP="00050DAF" w:rsidRDefault="000601AA" w14:paraId="3F6465F8" w14:textId="553EC035">
      <w:pPr>
        <w:pStyle w:val="Hesber"/>
      </w:pPr>
      <w:r w:rsidRPr="0090448B">
        <w:rPr>
          <w:rtl/>
        </w:rPr>
        <w:t xml:space="preserve">סעיף 3 לחוק הנוער (טיפול והשגחה), </w:t>
      </w:r>
      <w:r w:rsidR="00B02538">
        <w:rPr>
          <w:rFonts w:hint="cs"/>
          <w:rtl/>
        </w:rPr>
        <w:t>ה</w:t>
      </w:r>
      <w:r w:rsidRPr="0090448B">
        <w:rPr>
          <w:rtl/>
        </w:rPr>
        <w:t>תש"ך</w:t>
      </w:r>
      <w:r w:rsidR="00050DAF">
        <w:rPr>
          <w:rtl/>
        </w:rPr>
        <w:t>–</w:t>
      </w:r>
      <w:r w:rsidRPr="0090448B">
        <w:rPr>
          <w:rtl/>
        </w:rPr>
        <w:t>1960 (להלן</w:t>
      </w:r>
      <w:r w:rsidR="00B02538">
        <w:rPr>
          <w:rFonts w:hint="cs"/>
          <w:rtl/>
        </w:rPr>
        <w:t xml:space="preserve"> </w:t>
      </w:r>
      <w:r w:rsidR="00B02538">
        <w:rPr>
          <w:rtl/>
        </w:rPr>
        <w:t>–</w:t>
      </w:r>
      <w:r w:rsidR="00B02538">
        <w:rPr>
          <w:rFonts w:hint="cs"/>
          <w:rtl/>
        </w:rPr>
        <w:t xml:space="preserve"> חוק הנוער</w:t>
      </w:r>
      <w:r w:rsidRPr="0090448B">
        <w:rPr>
          <w:rtl/>
        </w:rPr>
        <w:t>), מונה את דרכי הטיפול בקטינים שנקבע כי הם נזקקים לפי סעיף 2 לחוק</w:t>
      </w:r>
      <w:r w:rsidR="00B02538">
        <w:rPr>
          <w:rFonts w:hint="cs"/>
          <w:rtl/>
        </w:rPr>
        <w:t xml:space="preserve"> הנוער</w:t>
      </w:r>
      <w:r w:rsidRPr="0090448B">
        <w:rPr>
          <w:rtl/>
        </w:rPr>
        <w:t>. אחת מדרכי הטיפול, המנויה בסעיף 3(4) לחוק</w:t>
      </w:r>
      <w:r w:rsidR="00B02538">
        <w:rPr>
          <w:rFonts w:hint="cs"/>
          <w:rtl/>
        </w:rPr>
        <w:t xml:space="preserve"> הנוער</w:t>
      </w:r>
      <w:r w:rsidRPr="0090448B">
        <w:rPr>
          <w:rtl/>
        </w:rPr>
        <w:t>, היא הוצאת הקטין ממשמורת הוריו למשמרות רשות הסעד, אשר תקבע את מקום חסותו, או מתן הוראה על השמתו במעון או במעון נעול</w:t>
      </w:r>
      <w:r w:rsidRPr="0090448B">
        <w:t>.</w:t>
      </w:r>
    </w:p>
    <w:p w:rsidRPr="0090448B" w:rsidR="000601AA" w:rsidP="00B02538" w:rsidRDefault="000601AA" w14:paraId="09A8A5BA" w14:textId="46F151B9">
      <w:pPr>
        <w:pStyle w:val="Hesber"/>
        <w:rPr>
          <w:rtl/>
        </w:rPr>
      </w:pPr>
      <w:r w:rsidRPr="0090448B">
        <w:rPr>
          <w:rtl/>
        </w:rPr>
        <w:t xml:space="preserve">קטינים שהוצאו ממשמורת הוריהם בהליכי נזקקות כאמור, שוהים, בין היתר, בהשמה חוץ ביתית בפנימיות, הוסטלים ומעונות נעולים. השמתם </w:t>
      </w:r>
      <w:r w:rsidR="00B02538">
        <w:rPr>
          <w:rFonts w:hint="cs"/>
          <w:rtl/>
        </w:rPr>
        <w:t xml:space="preserve">בהם </w:t>
      </w:r>
      <w:r w:rsidRPr="0090448B">
        <w:rPr>
          <w:rtl/>
        </w:rPr>
        <w:t xml:space="preserve">אינה מפאת מעשה שעשו, </w:t>
      </w:r>
      <w:r w:rsidR="00B02538">
        <w:rPr>
          <w:rFonts w:hint="cs"/>
          <w:rtl/>
        </w:rPr>
        <w:t>ואינה</w:t>
      </w:r>
      <w:r w:rsidRPr="0090448B">
        <w:rPr>
          <w:rtl/>
        </w:rPr>
        <w:t xml:space="preserve"> ענישה, אלא אך ורק כלי טיפולי על מנת להיטיב עמם. </w:t>
      </w:r>
      <w:r w:rsidR="00B02538">
        <w:rPr>
          <w:rFonts w:hint="cs"/>
          <w:rtl/>
        </w:rPr>
        <w:t xml:space="preserve">לעיתים </w:t>
      </w:r>
      <w:r w:rsidRPr="0090448B">
        <w:rPr>
          <w:rtl/>
        </w:rPr>
        <w:t xml:space="preserve">הקטינים מושמים במסגרות לאחר </w:t>
      </w:r>
      <w:r w:rsidR="00B02538">
        <w:rPr>
          <w:rFonts w:hint="cs"/>
          <w:rtl/>
        </w:rPr>
        <w:t>ש</w:t>
      </w:r>
      <w:r w:rsidRPr="0090448B">
        <w:rPr>
          <w:rtl/>
        </w:rPr>
        <w:t>חוו התעללות פיזית, פגיעה מינית, הזנחה ואירועים טראומתיים וקשיים אחרים. חלקם שוהים במסגרות אלו בניגוד לרצונם</w:t>
      </w:r>
      <w:r w:rsidRPr="0090448B">
        <w:t>.</w:t>
      </w:r>
      <w:r w:rsidRPr="0090448B">
        <w:rPr>
          <w:rtl/>
        </w:rPr>
        <w:t xml:space="preserve"> </w:t>
      </w:r>
    </w:p>
    <w:p w:rsidRPr="00725B65" w:rsidR="000601AA" w:rsidP="00B02538" w:rsidRDefault="000601AA" w14:paraId="25EA80C0" w14:textId="06EFC84E">
      <w:pPr>
        <w:pStyle w:val="Hesber"/>
        <w:rPr>
          <w:rtl/>
        </w:rPr>
      </w:pPr>
      <w:r w:rsidRPr="000C3041">
        <w:rPr>
          <w:rtl/>
        </w:rPr>
        <w:t>במספר לא מבוטל של מקרים, קטינים השוהים במסגרות ההשמה החוץ-ביתית בורחים מהמסגרת</w:t>
      </w:r>
      <w:r w:rsidRPr="000C3041">
        <w:t>.</w:t>
      </w:r>
      <w:r w:rsidRPr="000C3041">
        <w:rPr>
          <w:rtl/>
        </w:rPr>
        <w:t xml:space="preserve"> </w:t>
      </w:r>
      <w:r w:rsidRPr="000C3041">
        <w:rPr>
          <w:rtl/>
        </w:rPr>
        <w:lastRenderedPageBreak/>
        <w:t>לעיתים מדובר בבריחה יזומה במהלך השהיה במסגרת, אך במקרים רבים מדובר באי-חזרה למסגרת לאחר יציאה מתוכננת כ</w:t>
      </w:r>
      <w:r w:rsidR="00B02538">
        <w:rPr>
          <w:rFonts w:hint="cs"/>
          <w:rtl/>
        </w:rPr>
        <w:t>דוגמת</w:t>
      </w:r>
      <w:r w:rsidRPr="000C3041">
        <w:rPr>
          <w:rtl/>
        </w:rPr>
        <w:t xml:space="preserve"> חופשה. כמו כן, במקרים מסוימים מתבצעת הב</w:t>
      </w:r>
      <w:r w:rsidRPr="00725B65">
        <w:rPr>
          <w:rtl/>
        </w:rPr>
        <w:t xml:space="preserve">ריחה בעת פעילות מחוץ למסגרת או בעת יציאה לצורך </w:t>
      </w:r>
      <w:r w:rsidR="00B02538">
        <w:rPr>
          <w:rFonts w:hint="cs"/>
          <w:rtl/>
        </w:rPr>
        <w:t>מסוים כגון</w:t>
      </w:r>
      <w:r w:rsidRPr="00725B65">
        <w:rPr>
          <w:rtl/>
        </w:rPr>
        <w:t xml:space="preserve"> ביקור אצל רופא. במקרים רבים</w:t>
      </w:r>
      <w:r w:rsidR="00B02538">
        <w:rPr>
          <w:rFonts w:hint="cs"/>
          <w:rtl/>
        </w:rPr>
        <w:t>,</w:t>
      </w:r>
      <w:r w:rsidRPr="00725B65">
        <w:rPr>
          <w:rtl/>
        </w:rPr>
        <w:t xml:space="preserve"> במהלך הבריחה שבים הקטינים לסביבה מסכנת ולעיתים הם מנוצלים באופן מיני או נפשי על ידי גורמים שונים.</w:t>
      </w:r>
    </w:p>
    <w:p w:rsidRPr="0090448B" w:rsidR="000601AA" w:rsidP="00B02538" w:rsidRDefault="000601AA" w14:paraId="305A17B9" w14:textId="1787D8D7">
      <w:pPr>
        <w:pStyle w:val="Hesber"/>
      </w:pPr>
      <w:r w:rsidRPr="00725B65">
        <w:rPr>
          <w:rtl/>
        </w:rPr>
        <w:t xml:space="preserve">בריחתם של קטינים ממסגרות השמה חוץ ביתיות אינה </w:t>
      </w:r>
      <w:r w:rsidR="00B02538">
        <w:rPr>
          <w:rFonts w:hint="cs"/>
          <w:rtl/>
        </w:rPr>
        <w:t>נדירה</w:t>
      </w:r>
      <w:r w:rsidRPr="00725B65">
        <w:rPr>
          <w:rtl/>
        </w:rPr>
        <w:t xml:space="preserve">. מנתונים </w:t>
      </w:r>
      <w:r>
        <w:rPr>
          <w:rFonts w:hint="cs"/>
          <w:rtl/>
        </w:rPr>
        <w:t xml:space="preserve">של </w:t>
      </w:r>
      <w:r w:rsidRPr="0090448B">
        <w:rPr>
          <w:rtl/>
        </w:rPr>
        <w:t xml:space="preserve">משטרת ישראל ניתן להעריך, כי לפחות אחת ליום קטין בורח ממסגרת השמה כלשהי של חסות הנוער. </w:t>
      </w:r>
      <w:r w:rsidR="00B02538">
        <w:rPr>
          <w:rFonts w:hint="cs"/>
          <w:rtl/>
        </w:rPr>
        <w:t>כמ</w:t>
      </w:r>
      <w:r w:rsidRPr="0090448B">
        <w:rPr>
          <w:rtl/>
        </w:rPr>
        <w:t>ו כן ניתן להעריך כי רוב מקרי הבריחה ממסגרות ההשמה ה</w:t>
      </w:r>
      <w:r w:rsidR="00B02538">
        <w:rPr>
          <w:rFonts w:hint="cs"/>
          <w:rtl/>
        </w:rPr>
        <w:t>ם</w:t>
      </w:r>
      <w:r w:rsidRPr="0090448B">
        <w:rPr>
          <w:rtl/>
        </w:rPr>
        <w:t xml:space="preserve"> של קטינות: בשנת 2004, עת נבחן נושא הבריחות בדיון בוועדה לזכויות הילד בכנסת, נמסר כי ארבע מתוך חמש בריחות של קטינים ממסגרות השמה חוץ ביתית, הן של נערות.</w:t>
      </w:r>
    </w:p>
    <w:p w:rsidRPr="0090448B" w:rsidR="000601AA" w:rsidP="00B02538" w:rsidRDefault="00B02538" w14:paraId="0B4CE31C" w14:textId="001DE67A">
      <w:pPr>
        <w:pStyle w:val="Hesber"/>
        <w:rPr>
          <w:rtl/>
        </w:rPr>
      </w:pPr>
      <w:r>
        <w:rPr>
          <w:rFonts w:hint="cs"/>
          <w:rtl/>
        </w:rPr>
        <w:t>אף</w:t>
      </w:r>
      <w:r w:rsidRPr="0090448B" w:rsidR="000601AA">
        <w:rPr>
          <w:rtl/>
        </w:rPr>
        <w:t xml:space="preserve"> שבריחת קטינים מהמסגרת </w:t>
      </w:r>
      <w:r>
        <w:rPr>
          <w:rFonts w:hint="cs"/>
          <w:rtl/>
        </w:rPr>
        <w:t xml:space="preserve">החוץ-ביתית היא </w:t>
      </w:r>
      <w:r w:rsidRPr="0090448B" w:rsidR="000601AA">
        <w:rPr>
          <w:rtl/>
        </w:rPr>
        <w:t xml:space="preserve">תופעה נפוצה ומוכרת, קטינים </w:t>
      </w:r>
      <w:r>
        <w:rPr>
          <w:rFonts w:hint="cs"/>
          <w:rtl/>
        </w:rPr>
        <w:t>ש</w:t>
      </w:r>
      <w:r w:rsidRPr="0090448B" w:rsidR="000601AA">
        <w:rPr>
          <w:rtl/>
        </w:rPr>
        <w:t xml:space="preserve">בורחים ממסגרות </w:t>
      </w:r>
      <w:r>
        <w:rPr>
          <w:rFonts w:hint="cs"/>
          <w:rtl/>
        </w:rPr>
        <w:t>ש</w:t>
      </w:r>
      <w:r w:rsidRPr="0090448B" w:rsidR="000601AA">
        <w:rPr>
          <w:rtl/>
        </w:rPr>
        <w:t>בהן הושמו במסגרת הליך נזקקות נחשבים למפ</w:t>
      </w:r>
      <w:r>
        <w:rPr>
          <w:rFonts w:hint="cs"/>
          <w:rtl/>
        </w:rPr>
        <w:t>י</w:t>
      </w:r>
      <w:r w:rsidRPr="0090448B" w:rsidR="000601AA">
        <w:rPr>
          <w:rtl/>
        </w:rPr>
        <w:t xml:space="preserve">רי צו שיפוטי. במקרים אלו, ללא קשר לשאלת אופי הצו - צו במסגרת הליך פלילי לפי חוק הנוער (שפיטה, ענישה ודרכי טיפול), </w:t>
      </w:r>
      <w:r>
        <w:rPr>
          <w:rFonts w:hint="cs"/>
          <w:rtl/>
        </w:rPr>
        <w:t>ה</w:t>
      </w:r>
      <w:r w:rsidRPr="0090448B" w:rsidR="000601AA">
        <w:rPr>
          <w:rtl/>
        </w:rPr>
        <w:t>תשל"א-1971  (להלן</w:t>
      </w:r>
      <w:r>
        <w:rPr>
          <w:rFonts w:hint="cs"/>
          <w:rtl/>
        </w:rPr>
        <w:t xml:space="preserve">  - </w:t>
      </w:r>
      <w:r w:rsidRPr="00725B65" w:rsidR="000601AA">
        <w:rPr>
          <w:rtl/>
        </w:rPr>
        <w:t>חוק הנוער הפלילי</w:t>
      </w:r>
      <w:r w:rsidRPr="0090448B" w:rsidR="000601AA">
        <w:rPr>
          <w:rtl/>
        </w:rPr>
        <w:t>) או צו במסגרת הליך נזקקות לפי חוק הנוער</w:t>
      </w:r>
      <w:r>
        <w:rPr>
          <w:rFonts w:hint="cs"/>
          <w:rtl/>
        </w:rPr>
        <w:t>,</w:t>
      </w:r>
      <w:r w:rsidRPr="0090448B" w:rsidR="000601AA">
        <w:rPr>
          <w:rtl/>
        </w:rPr>
        <w:t xml:space="preserve"> הנושא מועבר לטיפול המשטרה. זאת משום שהמשטרה לא יכולה להתחיל לחפש אחר הקטינים אם לא מוגשת תלונה. </w:t>
      </w:r>
    </w:p>
    <w:p w:rsidRPr="0090448B" w:rsidR="000601AA" w:rsidP="000601AA" w:rsidRDefault="000601AA" w14:paraId="1FB166EA" w14:textId="77777777">
      <w:pPr>
        <w:pStyle w:val="Hesber"/>
        <w:rPr>
          <w:rtl/>
        </w:rPr>
      </w:pPr>
      <w:r w:rsidRPr="0090448B">
        <w:rPr>
          <w:rtl/>
        </w:rPr>
        <w:t>מכך נובע, כי עצם השימוש בפתיחת תיק פלילי כחלק מהמעורבות המשטרתית באיתור הקטינים הבורחים</w:t>
      </w:r>
      <w:r w:rsidRPr="0090448B">
        <w:t>,</w:t>
      </w:r>
      <w:r w:rsidRPr="0090448B">
        <w:rPr>
          <w:rtl/>
        </w:rPr>
        <w:t xml:space="preserve"> מביאה להתייחסות אליהם כאל חשודים לכל דבר ועניין. התייחסות לקטינים כחשודים והעובדה כי מדובר בשוטרים שלא תמיד מודעים למורכבות של הקטינים, עלולה להוביל לפגיעה באותם קטינים.  </w:t>
      </w:r>
    </w:p>
    <w:p w:rsidRPr="00725B65" w:rsidR="000601AA" w:rsidP="00B02538" w:rsidRDefault="000601AA" w14:paraId="73C5EC42" w14:textId="6FE50F8B">
      <w:pPr>
        <w:pStyle w:val="Hesber"/>
        <w:rPr>
          <w:rtl/>
        </w:rPr>
      </w:pPr>
      <w:r w:rsidRPr="000C3041">
        <w:rPr>
          <w:rtl/>
        </w:rPr>
        <w:t>כ</w:t>
      </w:r>
      <w:r w:rsidR="00B02538">
        <w:rPr>
          <w:rFonts w:hint="cs"/>
          <w:rtl/>
        </w:rPr>
        <w:t>אמור</w:t>
      </w:r>
      <w:r w:rsidRPr="000C3041">
        <w:rPr>
          <w:rtl/>
        </w:rPr>
        <w:t xml:space="preserve">, </w:t>
      </w:r>
      <w:r w:rsidR="00B02538">
        <w:rPr>
          <w:rFonts w:hint="cs"/>
          <w:rtl/>
        </w:rPr>
        <w:t>חלק מ</w:t>
      </w:r>
      <w:r w:rsidRPr="000C3041">
        <w:rPr>
          <w:rtl/>
        </w:rPr>
        <w:t>הקטינים המטופלים ב</w:t>
      </w:r>
      <w:r w:rsidR="00B02538">
        <w:rPr>
          <w:rFonts w:hint="cs"/>
          <w:rtl/>
        </w:rPr>
        <w:t xml:space="preserve">מסגרות של </w:t>
      </w:r>
      <w:r w:rsidRPr="000C3041">
        <w:rPr>
          <w:rtl/>
        </w:rPr>
        <w:t xml:space="preserve">חסות הנוער הם קטינים שעברו טראומה כלשהי. לעיתים עצם החיפוש אחריהם ותפיסתם על ידי המשטרה </w:t>
      </w:r>
      <w:r w:rsidR="00B02538">
        <w:rPr>
          <w:rFonts w:hint="cs"/>
          <w:rtl/>
        </w:rPr>
        <w:t>מהווים</w:t>
      </w:r>
      <w:r w:rsidRPr="000C3041">
        <w:rPr>
          <w:rtl/>
        </w:rPr>
        <w:t xml:space="preserve"> ש</w:t>
      </w:r>
      <w:r w:rsidRPr="00725B65">
        <w:rPr>
          <w:rtl/>
        </w:rPr>
        <w:t xml:space="preserve">חזור של הטראומה, הגברת המצוקה, או מצב נפשי מורכב אחר. מהצד השני, אותם שוטרים שמבצעים את עבודתם אינם מודעים </w:t>
      </w:r>
      <w:r w:rsidR="00B02538">
        <w:rPr>
          <w:rFonts w:hint="cs"/>
          <w:rtl/>
        </w:rPr>
        <w:t xml:space="preserve">לרגישות ואינם </w:t>
      </w:r>
      <w:r w:rsidRPr="00725B65">
        <w:rPr>
          <w:rtl/>
        </w:rPr>
        <w:t>מוכשרים להתמודדות עם אוכלוסייה בפוסט טראומה</w:t>
      </w:r>
      <w:r w:rsidR="00B02538">
        <w:rPr>
          <w:rFonts w:hint="cs"/>
          <w:rtl/>
        </w:rPr>
        <w:t>, וכך אף אם</w:t>
      </w:r>
      <w:r w:rsidRPr="00725B65">
        <w:rPr>
          <w:rtl/>
        </w:rPr>
        <w:t xml:space="preserve"> אינם מתכוונים לכך, חלק מהפעולות אותן הם מבצעים </w:t>
      </w:r>
      <w:r w:rsidR="00B02538">
        <w:rPr>
          <w:rFonts w:hint="cs"/>
          <w:rtl/>
        </w:rPr>
        <w:t xml:space="preserve">להשבת </w:t>
      </w:r>
      <w:r w:rsidRPr="00725B65">
        <w:rPr>
          <w:rtl/>
        </w:rPr>
        <w:t>הקטין למסגרת יכול</w:t>
      </w:r>
      <w:r w:rsidR="00B02538">
        <w:rPr>
          <w:rFonts w:hint="cs"/>
          <w:rtl/>
        </w:rPr>
        <w:t>ות</w:t>
      </w:r>
      <w:r w:rsidRPr="00725B65">
        <w:rPr>
          <w:rtl/>
        </w:rPr>
        <w:t xml:space="preserve"> לעורר בו את הטראומה. </w:t>
      </w:r>
    </w:p>
    <w:p w:rsidRPr="00725B65" w:rsidR="000601AA" w:rsidP="000601AA" w:rsidRDefault="000601AA" w14:paraId="0B05843C" w14:textId="77777777">
      <w:pPr>
        <w:pStyle w:val="Hesber"/>
        <w:rPr>
          <w:rtl/>
        </w:rPr>
      </w:pPr>
      <w:r w:rsidRPr="00725B65">
        <w:rPr>
          <w:rtl/>
        </w:rPr>
        <w:t>כך, מספרת אחת הקטינות ששהתה במעון נעול:</w:t>
      </w:r>
    </w:p>
    <w:p w:rsidRPr="0090448B" w:rsidR="000601AA" w:rsidP="000601AA" w:rsidRDefault="000601AA" w14:paraId="6DAEA6C5" w14:textId="77777777">
      <w:pPr>
        <w:pStyle w:val="Hesber"/>
        <w:rPr>
          <w:rtl/>
        </w:rPr>
      </w:pPr>
      <w:r w:rsidRPr="00725B65">
        <w:rPr>
          <w:rtl/>
        </w:rPr>
        <w:t>"</w:t>
      </w:r>
      <w:r w:rsidRPr="0090448B">
        <w:rPr>
          <w:rtl/>
        </w:rPr>
        <w:t>אני,</w:t>
      </w:r>
      <w:r w:rsidRPr="00725B65">
        <w:rPr>
          <w:rtl/>
        </w:rPr>
        <w:t xml:space="preserve"> </w:t>
      </w:r>
      <w:r w:rsidRPr="0090448B">
        <w:rPr>
          <w:rtl/>
        </w:rPr>
        <w:t>השוטרים התנהגו אליי כאילו אני חיה. בפעמיים האלה, התנהגו אליי כאילו אני חיה. התנהגו אלינו כאילו אנחנו כלום...אותנו שמו בחוץ, וירד גשם והיה קפוא, ולא היה להם איכפת פשוט, לא היה להם איכפת. זה פשוט, כאילו אנחנו היינו חיות. ואף אחד אין לי, אני לא יודעת מה לעשות עם זה, כאילו, אמרו לי גם בכלל לא להתעסק עם זה, כי השוטרים יכולים גם להתנקם בי על זה"</w:t>
      </w:r>
      <w:r>
        <w:rPr>
          <w:rFonts w:hint="cs"/>
          <w:rtl/>
        </w:rPr>
        <w:t xml:space="preserve"> (</w:t>
      </w:r>
      <w:r w:rsidRPr="003126F2">
        <w:rPr>
          <w:rFonts w:hint="cs" w:ascii="David" w:hAnsi="David"/>
          <w:rtl/>
        </w:rPr>
        <w:t xml:space="preserve">שירן רייכנברג </w:t>
      </w:r>
      <w:r w:rsidRPr="00A775EF">
        <w:rPr>
          <w:rFonts w:hint="eastAsia" w:ascii="David" w:hAnsi="David"/>
          <w:b/>
          <w:bCs/>
          <w:rtl/>
        </w:rPr>
        <w:t>הזכות</w:t>
      </w:r>
      <w:r w:rsidRPr="00A775EF">
        <w:rPr>
          <w:rFonts w:ascii="David" w:hAnsi="David"/>
          <w:b/>
          <w:bCs/>
          <w:rtl/>
        </w:rPr>
        <w:t xml:space="preserve"> </w:t>
      </w:r>
      <w:r w:rsidRPr="00A775EF">
        <w:rPr>
          <w:rFonts w:hint="eastAsia" w:ascii="David" w:hAnsi="David"/>
          <w:b/>
          <w:bCs/>
          <w:rtl/>
        </w:rPr>
        <w:t>להשתתפות</w:t>
      </w:r>
      <w:r w:rsidRPr="00A775EF">
        <w:rPr>
          <w:rFonts w:ascii="David" w:hAnsi="David"/>
          <w:b/>
          <w:bCs/>
          <w:rtl/>
        </w:rPr>
        <w:t xml:space="preserve"> </w:t>
      </w:r>
      <w:r w:rsidRPr="00A775EF">
        <w:rPr>
          <w:rFonts w:hint="eastAsia" w:ascii="David" w:hAnsi="David"/>
          <w:b/>
          <w:bCs/>
          <w:rtl/>
        </w:rPr>
        <w:t>והליכי</w:t>
      </w:r>
      <w:r w:rsidRPr="00A775EF">
        <w:rPr>
          <w:rFonts w:ascii="David" w:hAnsi="David"/>
          <w:b/>
          <w:bCs/>
          <w:rtl/>
        </w:rPr>
        <w:t xml:space="preserve"> </w:t>
      </w:r>
      <w:r w:rsidRPr="00A775EF">
        <w:rPr>
          <w:rFonts w:hint="eastAsia" w:ascii="David" w:hAnsi="David"/>
          <w:b/>
          <w:bCs/>
          <w:rtl/>
        </w:rPr>
        <w:t>טיפול</w:t>
      </w:r>
      <w:r w:rsidRPr="00A775EF">
        <w:rPr>
          <w:rFonts w:ascii="David" w:hAnsi="David"/>
          <w:b/>
          <w:bCs/>
          <w:rtl/>
        </w:rPr>
        <w:t xml:space="preserve"> </w:t>
      </w:r>
      <w:r w:rsidRPr="00A775EF">
        <w:rPr>
          <w:rFonts w:hint="eastAsia" w:ascii="David" w:hAnsi="David"/>
          <w:b/>
          <w:bCs/>
          <w:rtl/>
        </w:rPr>
        <w:t>והשגחה</w:t>
      </w:r>
      <w:r w:rsidRPr="00A775EF">
        <w:rPr>
          <w:rFonts w:ascii="David" w:hAnsi="David"/>
          <w:b/>
          <w:bCs/>
          <w:rtl/>
        </w:rPr>
        <w:t xml:space="preserve"> </w:t>
      </w:r>
      <w:r w:rsidRPr="00A775EF">
        <w:rPr>
          <w:rFonts w:hint="eastAsia" w:ascii="David" w:hAnsi="David"/>
          <w:b/>
          <w:bCs/>
          <w:rtl/>
        </w:rPr>
        <w:t>בבית</w:t>
      </w:r>
      <w:r w:rsidRPr="00A775EF">
        <w:rPr>
          <w:rFonts w:ascii="David" w:hAnsi="David"/>
          <w:b/>
          <w:bCs/>
          <w:rtl/>
        </w:rPr>
        <w:t xml:space="preserve"> </w:t>
      </w:r>
      <w:r w:rsidRPr="00A775EF">
        <w:rPr>
          <w:rFonts w:hint="eastAsia" w:ascii="David" w:hAnsi="David"/>
          <w:b/>
          <w:bCs/>
          <w:rtl/>
        </w:rPr>
        <w:t>משפט</w:t>
      </w:r>
      <w:r w:rsidRPr="00A775EF">
        <w:rPr>
          <w:rFonts w:ascii="David" w:hAnsi="David"/>
          <w:b/>
          <w:bCs/>
          <w:rtl/>
        </w:rPr>
        <w:t xml:space="preserve"> </w:t>
      </w:r>
      <w:r w:rsidRPr="00A775EF">
        <w:rPr>
          <w:rFonts w:hint="eastAsia" w:ascii="David" w:hAnsi="David"/>
          <w:b/>
          <w:bCs/>
          <w:rtl/>
        </w:rPr>
        <w:t>לנוער</w:t>
      </w:r>
      <w:r w:rsidRPr="00A775EF">
        <w:rPr>
          <w:rFonts w:ascii="David" w:hAnsi="David"/>
          <w:rtl/>
        </w:rPr>
        <w:t xml:space="preserve"> (חיבור לשם קבלת </w:t>
      </w:r>
      <w:r w:rsidRPr="00A775EF">
        <w:rPr>
          <w:rFonts w:hint="eastAsia" w:ascii="David" w:hAnsi="David"/>
          <w:rtl/>
        </w:rPr>
        <w:t>תואר</w:t>
      </w:r>
      <w:r w:rsidRPr="00A775EF">
        <w:rPr>
          <w:rFonts w:ascii="David" w:hAnsi="David"/>
          <w:rtl/>
        </w:rPr>
        <w:t xml:space="preserve"> </w:t>
      </w:r>
      <w:r w:rsidRPr="00A775EF">
        <w:rPr>
          <w:rFonts w:hint="eastAsia" w:ascii="David" w:hAnsi="David"/>
          <w:rtl/>
        </w:rPr>
        <w:t>״דוקטור</w:t>
      </w:r>
      <w:r w:rsidRPr="00A775EF">
        <w:rPr>
          <w:rFonts w:ascii="David" w:hAnsi="David"/>
          <w:rtl/>
        </w:rPr>
        <w:t xml:space="preserve"> </w:t>
      </w:r>
      <w:r w:rsidRPr="00A775EF">
        <w:rPr>
          <w:rFonts w:hint="eastAsia" w:ascii="David" w:hAnsi="David"/>
          <w:rtl/>
        </w:rPr>
        <w:t>למשפטים״</w:t>
      </w:r>
      <w:r w:rsidRPr="00A775EF">
        <w:rPr>
          <w:rFonts w:ascii="David" w:hAnsi="David"/>
          <w:rtl/>
        </w:rPr>
        <w:t>, האוניברסיטה העברית 2018)</w:t>
      </w:r>
      <w:r w:rsidRPr="0090448B">
        <w:rPr>
          <w:rtl/>
        </w:rPr>
        <w:t>.</w:t>
      </w:r>
    </w:p>
    <w:p w:rsidRPr="0090448B" w:rsidR="000601AA" w:rsidP="00B02538" w:rsidRDefault="00B02538" w14:paraId="6040BD83" w14:textId="1F4F12BE">
      <w:pPr>
        <w:pStyle w:val="Hesber"/>
        <w:rPr>
          <w:rtl/>
        </w:rPr>
      </w:pPr>
      <w:r>
        <w:rPr>
          <w:rFonts w:hint="cs"/>
          <w:rtl/>
        </w:rPr>
        <w:t xml:space="preserve">כאמור, </w:t>
      </w:r>
      <w:r w:rsidRPr="0090448B" w:rsidR="000601AA">
        <w:rPr>
          <w:rtl/>
        </w:rPr>
        <w:t xml:space="preserve">השמתם של קטינים נזקקים במסגרות חוץ ביתיות נועדה לספק להם הגנה ולהוציאם ממצבי מצוקה, משבר וסכנה. פתיחת תיק פלילי כנגדם בשל בריחה מהמסגרת, חוטאת למטרת ההליך, </w:t>
      </w:r>
      <w:r>
        <w:rPr>
          <w:rFonts w:hint="cs"/>
          <w:rtl/>
        </w:rPr>
        <w:t>ומתייגת אותם, ל</w:t>
      </w:r>
      <w:r w:rsidRPr="0090448B" w:rsidR="000601AA">
        <w:rPr>
          <w:rtl/>
        </w:rPr>
        <w:t xml:space="preserve">לא כל הצדקה, </w:t>
      </w:r>
      <w:r>
        <w:rPr>
          <w:rFonts w:hint="cs"/>
          <w:rtl/>
        </w:rPr>
        <w:t>ב</w:t>
      </w:r>
      <w:r w:rsidRPr="0090448B" w:rsidR="000601AA">
        <w:rPr>
          <w:rtl/>
        </w:rPr>
        <w:t>תיוג עברייני, במקום לשמור על טובתם ולסייע בטיפול בהם</w:t>
      </w:r>
      <w:r w:rsidRPr="0090448B" w:rsidR="000601AA">
        <w:t>.</w:t>
      </w:r>
      <w:r w:rsidRPr="0090448B" w:rsidR="000601AA">
        <w:rPr>
          <w:rtl/>
        </w:rPr>
        <w:t xml:space="preserve"> פתיחת תיק פלילי כנגד קטין נזקק הבורח ממסגרת השמה חוץ ביתית, מביאה לרישום ותיעוד של הדברים כפי שנעשה ביחס לכל מידע פלילי אחר. הגם שמרבית התיקים בעניינם של הקטינים נסגרים משום שנסיבות העניין אינן מצדיקות העמדה לדין (חוסר עניין לציבור), מקרים אלו מתועדים כיום במסגרת רישום משטרתי </w:t>
      </w:r>
      <w:r w:rsidRPr="0090448B" w:rsidR="000601AA">
        <w:rPr>
          <w:rtl/>
        </w:rPr>
        <w:lastRenderedPageBreak/>
        <w:t xml:space="preserve">של תיקים סגורים. הרישום המשטרתי עשוי לפגוע בעתידם של הקטינים, למשל </w:t>
      </w:r>
      <w:r w:rsidR="000601AA">
        <w:rPr>
          <w:rFonts w:hint="cs"/>
          <w:rtl/>
        </w:rPr>
        <w:t xml:space="preserve">בעת </w:t>
      </w:r>
      <w:r w:rsidRPr="0090448B" w:rsidR="000601AA">
        <w:rPr>
          <w:rtl/>
        </w:rPr>
        <w:t>גיוסם לצה"ל, או בכל התנהלות אחרת מול רשויות המדינה. במקרים אחרים, בהם מוגש כתב אישום וניתן פסק דין, מקרה הבריחה יתועד אף במסגרת רישום פלילי, והקטין יעמוד בפני הליך פלילי, על כל משמעויותיו. מכאן, שקטינים אלו "נכנסים</w:t>
      </w:r>
      <w:r w:rsidRPr="0090448B" w:rsidR="000601AA">
        <w:t>"</w:t>
      </w:r>
      <w:r w:rsidRPr="0090448B" w:rsidR="000601AA">
        <w:rPr>
          <w:rtl/>
        </w:rPr>
        <w:t xml:space="preserve"> לטיפול מערכת הרווחה ללא רישום פלילי או משטרתי, לאחר שנפגעו על ידי סביבתם, ו"יוצאים" ממנה עם רישום כאמור, כבעלי תיוג עברייני</w:t>
      </w:r>
      <w:r w:rsidRPr="0090448B" w:rsidR="000601AA">
        <w:t>.</w:t>
      </w:r>
    </w:p>
    <w:p w:rsidRPr="00725B65" w:rsidR="000601AA" w:rsidP="00DD0582" w:rsidRDefault="00DD0582" w14:paraId="2EB344CD" w14:textId="38EAE58A">
      <w:pPr>
        <w:pStyle w:val="Hesber"/>
        <w:rPr>
          <w:rtl/>
        </w:rPr>
      </w:pPr>
      <w:r>
        <w:rPr>
          <w:rFonts w:hint="cs"/>
          <w:rtl/>
        </w:rPr>
        <w:t>נוסף על כך,</w:t>
      </w:r>
      <w:r w:rsidRPr="0090448B" w:rsidR="000601AA">
        <w:rPr>
          <w:rtl/>
        </w:rPr>
        <w:t xml:space="preserve"> לא ראוי כי עבירה של אי מילוי החלטת בית משפט לפי סעיף 26 לחוק הנוער תשמש ככלי אכיפה וענישה כלפי הקטינים עצמם, נוכח העובדה כי הצדדים להליך המשפטי לפי חוק הנוער הם לשכת הרווחה וההורים, ואילו הקטין כלל אינ</w:t>
      </w:r>
      <w:r w:rsidRPr="000C3041" w:rsidR="000601AA">
        <w:rPr>
          <w:rtl/>
        </w:rPr>
        <w:t xml:space="preserve">ו צד פורמלי להליך. לעיתים, הצו ניתן בהעדרם של הקטינים מהדיון, ובמקרים רבים, בניגוד לרצונם ולדעתם, </w:t>
      </w:r>
      <w:r w:rsidRPr="00725B65" w:rsidR="000601AA">
        <w:rPr>
          <w:rtl/>
        </w:rPr>
        <w:t>ולעיתים אף ללא שהם מיוצגים על ידי עורך דין או אפוטרופוס לדין. גם במקרים אחרים, בהם הקטינים נשמעים ועמדתם נלקחת בחשבון, ברור שהם אינם בעל מעמד זהה לצדדים במסגרת ההליך</w:t>
      </w:r>
      <w:r w:rsidRPr="00725B65" w:rsidR="000601AA">
        <w:t>.</w:t>
      </w:r>
    </w:p>
    <w:p w:rsidRPr="0090448B" w:rsidR="000601AA" w:rsidP="000601AA" w:rsidRDefault="000601AA" w14:paraId="2E6329C4" w14:textId="77777777">
      <w:pPr>
        <w:pStyle w:val="Hesber"/>
        <w:rPr>
          <w:rtl/>
        </w:rPr>
      </w:pPr>
      <w:r w:rsidRPr="00725B65">
        <w:rPr>
          <w:rtl/>
        </w:rPr>
        <w:t>על כן, ראוי כי עבירה של אי מילוי החלטת בית משפט לפי חוק הנוער (טיפול והשגחה) תהייה מכוונת להתנהגות של הצדדים להליך, ובעניין זה ההורים, כלפיהם ניתן הצו, או כל גורם אשר עשוי להפריע להם בכך. ממידע שמסר לידינו ממשטרת ישראל עולה כי מתוך למעלה מ-1,300 תיקים שנפתחו בעניינם של קטינים נזקקים בין השנים 2011-2015, הוגשו כ-45 כתבי אישום כנגד קטינים אלו, בעבירה של אי מילוי החלטת בית משפט לפי חוק הנוער.  לעומת זאת, בין השנים 2011-2015 נפתחו 1,324 תיקים כנגר בגירים בגין עבירה זו, הוריהם של הקטינים,</w:t>
      </w:r>
      <w:r w:rsidRPr="0090448B">
        <w:rPr>
          <w:rtl/>
        </w:rPr>
        <w:t xml:space="preserve"> אך  לא הוגש ולו כתב אישום אחד כנגד ההורים. נשאלת השאלה אם כן, מה מדיניות התביעה אשר בה מבקשת המדינה לנקוט.</w:t>
      </w:r>
    </w:p>
    <w:p w:rsidRPr="0090448B" w:rsidR="000601AA" w:rsidP="00DD0582" w:rsidRDefault="000601AA" w14:paraId="2D460E02" w14:textId="3D36579B">
      <w:pPr>
        <w:pStyle w:val="Hesber"/>
      </w:pPr>
      <w:r w:rsidRPr="0090448B">
        <w:rPr>
          <w:rtl/>
        </w:rPr>
        <w:t xml:space="preserve">הרציונליים של חוק הנוער הם של טיפול ושיקום. </w:t>
      </w:r>
      <w:r w:rsidR="00DD0582">
        <w:rPr>
          <w:rFonts w:hint="cs"/>
          <w:rtl/>
        </w:rPr>
        <w:t>בפתח דבריו של</w:t>
      </w:r>
      <w:r w:rsidRPr="0090448B">
        <w:rPr>
          <w:rtl/>
        </w:rPr>
        <w:t xml:space="preserve"> שר הסעד דאז, יוסף בורג</w:t>
      </w:r>
      <w:r w:rsidR="00DD0582">
        <w:rPr>
          <w:rFonts w:hint="cs"/>
          <w:rtl/>
        </w:rPr>
        <w:t xml:space="preserve">, </w:t>
      </w:r>
      <w:r w:rsidRPr="0090448B">
        <w:rPr>
          <w:rtl/>
        </w:rPr>
        <w:t>במליאת הכנסת</w:t>
      </w:r>
      <w:r w:rsidR="00DD0582">
        <w:rPr>
          <w:rFonts w:hint="cs"/>
          <w:rtl/>
        </w:rPr>
        <w:t xml:space="preserve"> בעת הצגת חוק הנוער </w:t>
      </w:r>
      <w:r w:rsidRPr="0090448B">
        <w:rPr>
          <w:rtl/>
        </w:rPr>
        <w:t>הוא אמר שמדובר "בשלב חדש בביסוס העבודה הסוציאלית וחוליה נוספת בזכויות האזרח".</w:t>
      </w:r>
    </w:p>
    <w:p w:rsidR="000601AA" w:rsidP="00DD0582" w:rsidRDefault="000601AA" w14:paraId="73943957" w14:textId="08250587">
      <w:pPr>
        <w:pStyle w:val="Hesber"/>
        <w:rPr>
          <w:rtl/>
        </w:rPr>
      </w:pPr>
      <w:r w:rsidRPr="0090448B">
        <w:rPr>
          <w:rtl/>
        </w:rPr>
        <w:t xml:space="preserve">נוכח כל האמור לעיל, </w:t>
      </w:r>
      <w:r>
        <w:rPr>
          <w:rFonts w:hint="cs"/>
          <w:rtl/>
        </w:rPr>
        <w:t>מוצע</w:t>
      </w:r>
      <w:r w:rsidRPr="0090448B">
        <w:rPr>
          <w:rtl/>
        </w:rPr>
        <w:t xml:space="preserve"> לתקן את </w:t>
      </w:r>
      <w:r w:rsidR="00DD0582">
        <w:rPr>
          <w:rFonts w:hint="cs"/>
          <w:rtl/>
        </w:rPr>
        <w:t>חוק הנוער</w:t>
      </w:r>
      <w:r w:rsidRPr="0090448B">
        <w:rPr>
          <w:rtl/>
        </w:rPr>
        <w:t xml:space="preserve"> כך שעל מנת לאתר את הקטינים</w:t>
      </w:r>
      <w:r>
        <w:rPr>
          <w:rFonts w:hint="cs"/>
          <w:rtl/>
        </w:rPr>
        <w:t xml:space="preserve"> הנזקקים</w:t>
      </w:r>
      <w:r w:rsidRPr="0090448B">
        <w:rPr>
          <w:rtl/>
        </w:rPr>
        <w:t xml:space="preserve"> השוהים תחת צו לפי חוק הנוער במסגרת השמה חוץ ביתית ובורחים מהמסגרת, </w:t>
      </w:r>
      <w:r w:rsidR="00DD0582">
        <w:rPr>
          <w:rFonts w:hint="cs"/>
          <w:rtl/>
        </w:rPr>
        <w:t>יופעלו גורמי הרווחה בתיאום ובסיוע של המשטרה, אך בלא שתוגש תלונה כנגד הקטין על עבירה בשל אי מילוי החלטת בית המשפט</w:t>
      </w:r>
      <w:r w:rsidRPr="0090448B">
        <w:rPr>
          <w:rtl/>
        </w:rPr>
        <w:t xml:space="preserve">. </w:t>
      </w:r>
    </w:p>
    <w:p w:rsidRPr="0090448B" w:rsidR="000601AA" w:rsidP="00050DAF" w:rsidRDefault="000601AA" w14:paraId="1868BDE9" w14:textId="107CC310">
      <w:pPr>
        <w:pStyle w:val="Hesber"/>
        <w:rPr>
          <w:rtl/>
        </w:rPr>
      </w:pPr>
      <w:r>
        <w:rPr>
          <w:rFonts w:hint="cs"/>
          <w:rtl/>
        </w:rPr>
        <w:t>ביטול ההוראה הפלילית, כמוצע, לא תפגע ביכולת האכיפה של צו בית המשפט</w:t>
      </w:r>
      <w:r w:rsidR="00DD0582">
        <w:rPr>
          <w:rFonts w:hint="cs"/>
          <w:rtl/>
        </w:rPr>
        <w:t xml:space="preserve"> במקרים שבהם יש אכן צורך בכך, בשל נסיבות ההתנהגות של הקטין, וזאת לנוכח העבירות הכלליות של </w:t>
      </w:r>
      <w:r w:rsidRPr="0090448B">
        <w:rPr>
          <w:rtl/>
        </w:rPr>
        <w:t>הפרת הוראה חוקית לפי סעיף 287(א) לחוק העונשין, התשל"ז</w:t>
      </w:r>
      <w:r w:rsidR="00050DAF">
        <w:rPr>
          <w:rtl/>
        </w:rPr>
        <w:t>–</w:t>
      </w:r>
      <w:r w:rsidRPr="0090448B">
        <w:rPr>
          <w:rtl/>
        </w:rPr>
        <w:t>1</w:t>
      </w:r>
      <w:r w:rsidR="00DD0582">
        <w:rPr>
          <w:rFonts w:hint="cs"/>
          <w:rtl/>
        </w:rPr>
        <w:t xml:space="preserve">977 ושל </w:t>
      </w:r>
      <w:r w:rsidRPr="0090448B">
        <w:rPr>
          <w:rtl/>
        </w:rPr>
        <w:t xml:space="preserve">בריחה ממשמורת חוקית לפי סעיף 257 לחוק </w:t>
      </w:r>
      <w:r w:rsidR="00DD0582">
        <w:rPr>
          <w:rFonts w:hint="cs"/>
          <w:rtl/>
        </w:rPr>
        <w:t>האמור</w:t>
      </w:r>
      <w:r w:rsidRPr="0090448B">
        <w:rPr>
          <w:rtl/>
        </w:rPr>
        <w:t xml:space="preserve">. </w:t>
      </w:r>
    </w:p>
    <w:p w:rsidR="000601AA" w:rsidP="000601AA" w:rsidRDefault="000601AA" w14:paraId="054A5E80" w14:textId="77777777">
      <w:pPr>
        <w:pStyle w:val="Hesber"/>
        <w:spacing w:before="120"/>
        <w:ind w:firstLine="9"/>
        <w:rPr>
          <w:rtl/>
        </w:rPr>
      </w:pPr>
    </w:p>
    <w:p w:rsidR="00F263F6" w:rsidRDefault="00FC0E57" w14:paraId="72769E67" w14:textId="77777777">
      <w:pPr>
        <w:jc w:val="left"/>
      </w:pPr>
      <w:bookmarkStart w:name="selectedDocDateB" w:id="8"/>
      <w:bookmarkStart w:name="_GoBack" w:id="9"/>
      <w:bookmarkEnd w:id="8"/>
      <w:bookmarkEnd w:id="9"/>
      <w:r>
        <w:rPr>
          <w:rFonts w:hint="cs" w:eastAsia="David"/>
          <w:sz w:val="26"/>
          <w:szCs w:val="26"/>
          <w:rtl/>
        </w:rPr>
        <w:t>--------------------------------</w:t>
      </w:r>
    </w:p>
    <w:p w:rsidR="00F263F6" w:rsidRDefault="00FC0E57" w14:paraId="4BA7C609" w14:textId="77777777">
      <w:pPr>
        <w:jc w:val="left"/>
      </w:pPr>
      <w:r>
        <w:rPr>
          <w:rFonts w:hint="cs" w:eastAsia="David"/>
          <w:sz w:val="26"/>
          <w:szCs w:val="26"/>
          <w:rtl/>
        </w:rPr>
        <w:t>הוגשה ליו"ר הכנסת והסגנים</w:t>
      </w:r>
    </w:p>
    <w:p w:rsidR="00F263F6" w:rsidRDefault="00FC0E57" w14:paraId="7E652168" w14:textId="77777777">
      <w:pPr>
        <w:jc w:val="left"/>
      </w:pPr>
      <w:r>
        <w:rPr>
          <w:rFonts w:hint="cs" w:eastAsia="David"/>
          <w:sz w:val="26"/>
          <w:szCs w:val="26"/>
          <w:rtl/>
        </w:rPr>
        <w:t>והונחה על שולחן הכנסת ביום</w:t>
      </w:r>
    </w:p>
    <w:p w:rsidR="00F263F6" w:rsidRDefault="00FC0E57" w14:paraId="08BF8055" w14:textId="77777777">
      <w:pPr>
        <w:jc w:val="left"/>
      </w:pPr>
      <w:r>
        <w:rPr>
          <w:rFonts w:hint="cs" w:eastAsia="David"/>
          <w:sz w:val="26"/>
          <w:szCs w:val="26"/>
          <w:rtl/>
        </w:rPr>
        <w:t xml:space="preserve">כ"ב באייר התשפ"ב (23.05.2022) </w:t>
      </w:r>
    </w:p>
    <w:p w:rsidR="00F263F6" w:rsidRDefault="00F263F6" w14:paraId="24231F5B" w14:textId="77777777">
      <w:pPr>
        <w:spacing w:line="276" w:lineRule="auto"/>
        <w:jc w:val="left"/>
      </w:pPr>
    </w:p>
    <w:sectPr w:rsidR="00F263F6" w:rsidSect="00050DAF">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78AB7523"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FC0E57">
      <w:rPr>
        <w:rStyle w:val="ab"/>
        <w:noProof/>
        <w:rtl/>
      </w:rPr>
      <w:t>3</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050DAF">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3FC5322" w14:textId="77777777" w:rsidR="000601AA" w:rsidRDefault="000601AA" w:rsidP="000601AA">
      <w:pPr>
        <w:pStyle w:val="a4"/>
      </w:pPr>
      <w:r>
        <w:rPr>
          <w:rStyle w:val="a6"/>
        </w:rPr>
        <w:footnoteRef/>
      </w:r>
      <w:r>
        <w:rPr>
          <w:rtl/>
        </w:rPr>
        <w:t xml:space="preserve"> </w:t>
      </w:r>
      <w:r>
        <w:rPr>
          <w:rFonts w:hint="cs"/>
          <w:rtl/>
        </w:rPr>
        <w:t>ס"ח השת"ך, עמ' 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A2654D8"/>
    <w:multiLevelType w:val="hybridMultilevel"/>
    <w:tmpl w:val="6298F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2"/>
  </w:num>
  <w:num w:numId="14">
    <w:abstractNumId w:val="17"/>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lvlOverride w:ilvl="0">
      <w:startOverride w:val="1"/>
    </w:lvlOverride>
  </w:num>
  <w:num w:numId="18">
    <w:abstractNumId w:val="1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50DAF"/>
    <w:rsid w:val="000601AA"/>
    <w:rsid w:val="00063A3E"/>
    <w:rsid w:val="00072CAC"/>
    <w:rsid w:val="0007681A"/>
    <w:rsid w:val="000A542E"/>
    <w:rsid w:val="000D0AB2"/>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4280"/>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02538"/>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D0582"/>
    <w:rsid w:val="00DE3153"/>
    <w:rsid w:val="00E06736"/>
    <w:rsid w:val="00E13C27"/>
    <w:rsid w:val="00E33BBD"/>
    <w:rsid w:val="00E374F2"/>
    <w:rsid w:val="00E45103"/>
    <w:rsid w:val="00E55A60"/>
    <w:rsid w:val="00E623E0"/>
    <w:rsid w:val="00E62778"/>
    <w:rsid w:val="00E635A2"/>
    <w:rsid w:val="00E63D38"/>
    <w:rsid w:val="00E665B9"/>
    <w:rsid w:val="00EA01E6"/>
    <w:rsid w:val="00EA3DE8"/>
    <w:rsid w:val="00EA758F"/>
    <w:rsid w:val="00ED4A6F"/>
    <w:rsid w:val="00EF3A3A"/>
    <w:rsid w:val="00F263F6"/>
    <w:rsid w:val="00F628D6"/>
    <w:rsid w:val="00F67051"/>
    <w:rsid w:val="00F86A1E"/>
    <w:rsid w:val="00FA5E88"/>
    <w:rsid w:val="00FC0E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2D842137-F7C2-4FB2-B323-728BE61E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DAF"/>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050DAF"/>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050DAF"/>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050DAF"/>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050DAF"/>
    <w:pPr>
      <w:numPr>
        <w:numId w:val="19"/>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050DAF"/>
    <w:pPr>
      <w:spacing w:line="259" w:lineRule="auto"/>
      <w:outlineLvl w:val="4"/>
    </w:pPr>
    <w:rPr>
      <w:color w:val="000000" w:themeColor="text1"/>
    </w:rPr>
  </w:style>
  <w:style w:type="character" w:default="1" w:styleId="a0">
    <w:name w:val="Default Paragraph Font"/>
    <w:uiPriority w:val="1"/>
    <w:semiHidden/>
    <w:unhideWhenUsed/>
    <w:rsid w:val="00050DAF"/>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050DAF"/>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050DAF"/>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050DAF"/>
    <w:rPr>
      <w:sz w:val="36"/>
      <w:szCs w:val="52"/>
    </w:rPr>
  </w:style>
  <w:style w:type="paragraph" w:customStyle="1" w:styleId="Cover3-Haknesset">
    <w:name w:val="Cover 3-Haknesset"/>
    <w:basedOn w:val="Cover1-Reshumot"/>
    <w:rsid w:val="00050DAF"/>
    <w:rPr>
      <w:b/>
      <w:bCs/>
      <w:spacing w:val="60"/>
    </w:rPr>
  </w:style>
  <w:style w:type="paragraph" w:customStyle="1" w:styleId="Cover4-Date">
    <w:name w:val="Cover 4-Date"/>
    <w:basedOn w:val="a"/>
    <w:rsid w:val="00050DAF"/>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050DAF"/>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050DAF"/>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050DAF"/>
    <w:pPr>
      <w:spacing w:before="120" w:after="120"/>
    </w:pPr>
    <w:rPr>
      <w:color w:val="FF0000"/>
      <w:w w:val="80"/>
    </w:rPr>
  </w:style>
  <w:style w:type="paragraph" w:styleId="a3">
    <w:name w:val="endnote text"/>
    <w:basedOn w:val="a"/>
    <w:semiHidden/>
    <w:rsid w:val="00050DAF"/>
    <w:pPr>
      <w:ind w:left="227" w:hanging="227"/>
    </w:pPr>
    <w:rPr>
      <w:sz w:val="14"/>
      <w:szCs w:val="22"/>
    </w:rPr>
  </w:style>
  <w:style w:type="paragraph" w:customStyle="1" w:styleId="TableText">
    <w:name w:val="Table Text"/>
    <w:basedOn w:val="a"/>
    <w:rsid w:val="00050DAF"/>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050DAF"/>
    <w:pPr>
      <w:outlineLvl w:val="2"/>
    </w:pPr>
  </w:style>
  <w:style w:type="paragraph" w:customStyle="1" w:styleId="TableBlock">
    <w:name w:val="Table Block"/>
    <w:basedOn w:val="TableText"/>
    <w:rsid w:val="00050DAF"/>
    <w:pPr>
      <w:jc w:val="both"/>
    </w:pPr>
  </w:style>
  <w:style w:type="paragraph" w:customStyle="1" w:styleId="TableHead">
    <w:name w:val="Table Head"/>
    <w:basedOn w:val="TableText"/>
    <w:rsid w:val="00050DAF"/>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050DAF"/>
    <w:pPr>
      <w:outlineLvl w:val="9"/>
    </w:pPr>
  </w:style>
  <w:style w:type="paragraph" w:customStyle="1" w:styleId="Hesber">
    <w:name w:val="Hesber"/>
    <w:basedOn w:val="a"/>
    <w:rsid w:val="00050DAF"/>
    <w:pPr>
      <w:snapToGrid w:val="0"/>
      <w:ind w:left="0" w:firstLine="340"/>
    </w:pPr>
    <w:rPr>
      <w:rFonts w:ascii="Arial" w:eastAsia="Arial Unicode MS" w:hAnsi="Arial"/>
      <w:snapToGrid w:val="0"/>
      <w:sz w:val="20"/>
      <w:szCs w:val="26"/>
    </w:rPr>
  </w:style>
  <w:style w:type="paragraph" w:styleId="a4">
    <w:name w:val="footnote text"/>
    <w:basedOn w:val="a"/>
    <w:link w:val="a5"/>
    <w:autoRedefine/>
    <w:rsid w:val="00050DAF"/>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rsid w:val="00050DAF"/>
    <w:rPr>
      <w:vertAlign w:val="superscript"/>
    </w:rPr>
  </w:style>
  <w:style w:type="paragraph" w:customStyle="1" w:styleId="HesberHeading">
    <w:name w:val="Hesber Heading"/>
    <w:basedOn w:val="Hesber"/>
    <w:rsid w:val="00050DAF"/>
    <w:pPr>
      <w:tabs>
        <w:tab w:val="left" w:pos="624"/>
        <w:tab w:val="left" w:pos="1247"/>
      </w:tabs>
    </w:pPr>
    <w:rPr>
      <w:b/>
      <w:bCs/>
    </w:rPr>
  </w:style>
  <w:style w:type="paragraph" w:customStyle="1" w:styleId="HesberWriters">
    <w:name w:val="Hesber Writers"/>
    <w:basedOn w:val="Hesber"/>
    <w:rsid w:val="00050DAF"/>
    <w:pPr>
      <w:spacing w:before="120" w:after="120"/>
      <w:ind w:left="1418"/>
      <w:jc w:val="right"/>
    </w:pPr>
    <w:rPr>
      <w:b/>
      <w:bCs/>
    </w:rPr>
  </w:style>
  <w:style w:type="paragraph" w:customStyle="1" w:styleId="Hesber1st">
    <w:name w:val="Hesber 1st"/>
    <w:basedOn w:val="Hesber"/>
    <w:rsid w:val="00050DAF"/>
    <w:pPr>
      <w:tabs>
        <w:tab w:val="left" w:pos="680"/>
        <w:tab w:val="left" w:pos="1020"/>
      </w:tabs>
      <w:ind w:firstLine="0"/>
    </w:pPr>
  </w:style>
  <w:style w:type="character" w:styleId="a7">
    <w:name w:val="endnote reference"/>
    <w:basedOn w:val="a0"/>
    <w:semiHidden/>
    <w:rsid w:val="00050DAF"/>
    <w:rPr>
      <w:vertAlign w:val="superscript"/>
    </w:rPr>
  </w:style>
  <w:style w:type="paragraph" w:customStyle="1" w:styleId="TableBlockOutdent">
    <w:name w:val="Table BlockOutdent"/>
    <w:basedOn w:val="TableBlock"/>
    <w:rsid w:val="00050DAF"/>
    <w:pPr>
      <w:ind w:left="624" w:hanging="624"/>
    </w:pPr>
  </w:style>
  <w:style w:type="paragraph" w:styleId="a8">
    <w:name w:val="header"/>
    <w:basedOn w:val="a"/>
    <w:rsid w:val="00050DAF"/>
    <w:pPr>
      <w:tabs>
        <w:tab w:val="center" w:pos="4153"/>
        <w:tab w:val="right" w:pos="8306"/>
      </w:tabs>
    </w:pPr>
  </w:style>
  <w:style w:type="paragraph" w:styleId="a9">
    <w:name w:val="footer"/>
    <w:basedOn w:val="a"/>
    <w:rsid w:val="00050DAF"/>
    <w:pPr>
      <w:tabs>
        <w:tab w:val="center" w:pos="4153"/>
        <w:tab w:val="right" w:pos="8306"/>
      </w:tabs>
    </w:pPr>
  </w:style>
  <w:style w:type="paragraph" w:customStyle="1" w:styleId="HeadDivreiHesber">
    <w:name w:val="Head DivreiHesber"/>
    <w:basedOn w:val="a"/>
    <w:rsid w:val="00050DAF"/>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050DAF"/>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050DAF"/>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default">
    <w:name w:val="default"/>
    <w:basedOn w:val="a0"/>
    <w:rsid w:val="00274280"/>
  </w:style>
  <w:style w:type="table" w:styleId="ae">
    <w:name w:val="Table Grid"/>
    <w:basedOn w:val="a1"/>
    <w:rsid w:val="00050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טקסט הערת שוליים תו"/>
    <w:basedOn w:val="a0"/>
    <w:link w:val="a4"/>
    <w:rsid w:val="00274280"/>
    <w:rPr>
      <w:rFonts w:ascii="Arial" w:eastAsia="Arial Unicode MS" w:hAnsi="Arial" w:cs="David"/>
      <w:snapToGrid w:val="0"/>
      <w:sz w:val="14"/>
    </w:rPr>
  </w:style>
  <w:style w:type="character" w:customStyle="1" w:styleId="10">
    <w:name w:val="כותרת 1 תו"/>
    <w:basedOn w:val="a0"/>
    <w:link w:val="1"/>
    <w:uiPriority w:val="9"/>
    <w:rsid w:val="00050DAF"/>
    <w:rPr>
      <w:rFonts w:asciiTheme="majorHAnsi" w:eastAsiaTheme="majorEastAsia" w:hAnsiTheme="majorHAnsi" w:cs="David"/>
      <w:bCs/>
      <w:sz w:val="32"/>
      <w:szCs w:val="36"/>
    </w:rPr>
  </w:style>
  <w:style w:type="character" w:customStyle="1" w:styleId="20">
    <w:name w:val="כותרת 2 תו"/>
    <w:basedOn w:val="a0"/>
    <w:link w:val="2"/>
    <w:rsid w:val="00050DAF"/>
    <w:rPr>
      <w:rFonts w:asciiTheme="majorHAnsi" w:eastAsiaTheme="majorEastAsia" w:hAnsiTheme="majorHAnsi" w:cs="David"/>
      <w:bCs/>
      <w:sz w:val="26"/>
      <w:szCs w:val="36"/>
      <w:u w:val="single"/>
    </w:rPr>
  </w:style>
  <w:style w:type="character" w:customStyle="1" w:styleId="30">
    <w:name w:val="כותרת 3 תו"/>
    <w:basedOn w:val="a0"/>
    <w:link w:val="3"/>
    <w:rsid w:val="00050DAF"/>
    <w:rPr>
      <w:rFonts w:asciiTheme="majorHAnsi" w:eastAsiaTheme="majorEastAsia" w:hAnsiTheme="majorHAnsi" w:cs="David"/>
      <w:sz w:val="24"/>
      <w:szCs w:val="28"/>
      <w:u w:val="double"/>
    </w:rPr>
  </w:style>
  <w:style w:type="character" w:customStyle="1" w:styleId="40">
    <w:name w:val="כותרת 4 תו"/>
    <w:basedOn w:val="a0"/>
    <w:link w:val="4"/>
    <w:uiPriority w:val="9"/>
    <w:rsid w:val="00050DAF"/>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050DAF"/>
    <w:rPr>
      <w:rFonts w:ascii="David" w:eastAsiaTheme="minorHAnsi" w:hAnsi="David" w:cs="David"/>
      <w:color w:val="000000" w:themeColor="text1"/>
      <w:sz w:val="24"/>
      <w:szCs w:val="24"/>
    </w:rPr>
  </w:style>
  <w:style w:type="paragraph" w:styleId="af">
    <w:name w:val="TOC Heading"/>
    <w:basedOn w:val="1"/>
    <w:next w:val="a"/>
    <w:uiPriority w:val="39"/>
    <w:unhideWhenUsed/>
    <w:qFormat/>
    <w:rsid w:val="00050DAF"/>
    <w:pPr>
      <w:widowControl/>
      <w:spacing w:before="120" w:after="120"/>
      <w:outlineLvl w:val="9"/>
    </w:pPr>
    <w:rPr>
      <w:rtl/>
      <w:cs/>
    </w:rPr>
  </w:style>
  <w:style w:type="paragraph" w:styleId="TOC1">
    <w:name w:val="toc 1"/>
    <w:basedOn w:val="a"/>
    <w:next w:val="a"/>
    <w:autoRedefine/>
    <w:uiPriority w:val="39"/>
    <w:unhideWhenUsed/>
    <w:rsid w:val="00050DAF"/>
    <w:pPr>
      <w:tabs>
        <w:tab w:val="right" w:leader="dot" w:pos="9629"/>
      </w:tabs>
      <w:spacing w:after="100"/>
    </w:pPr>
    <w:rPr>
      <w:bCs/>
      <w:szCs w:val="22"/>
    </w:rPr>
  </w:style>
  <w:style w:type="paragraph" w:styleId="TOC2">
    <w:name w:val="toc 2"/>
    <w:basedOn w:val="a"/>
    <w:next w:val="a"/>
    <w:uiPriority w:val="39"/>
    <w:unhideWhenUsed/>
    <w:rsid w:val="00050DAF"/>
    <w:pPr>
      <w:tabs>
        <w:tab w:val="right" w:leader="dot" w:pos="9628"/>
      </w:tabs>
      <w:spacing w:after="100"/>
    </w:pPr>
    <w:rPr>
      <w:szCs w:val="22"/>
    </w:rPr>
  </w:style>
  <w:style w:type="character" w:styleId="Hyperlink">
    <w:name w:val="Hyperlink"/>
    <w:basedOn w:val="a0"/>
    <w:uiPriority w:val="99"/>
    <w:unhideWhenUsed/>
    <w:rsid w:val="00050DAF"/>
    <w:rPr>
      <w:color w:val="0000FF" w:themeColor="hyperlink"/>
      <w:u w:val="single"/>
    </w:rPr>
  </w:style>
  <w:style w:type="paragraph" w:styleId="TOC3">
    <w:name w:val="toc 3"/>
    <w:basedOn w:val="a"/>
    <w:next w:val="a"/>
    <w:uiPriority w:val="39"/>
    <w:unhideWhenUsed/>
    <w:rsid w:val="00050DAF"/>
    <w:pPr>
      <w:numPr>
        <w:numId w:val="22"/>
      </w:numPr>
      <w:tabs>
        <w:tab w:val="right" w:leader="dot" w:pos="9629"/>
      </w:tabs>
      <w:spacing w:after="100"/>
      <w:ind w:left="811" w:hanging="357"/>
    </w:pPr>
    <w:rPr>
      <w:szCs w:val="22"/>
    </w:rPr>
  </w:style>
  <w:style w:type="paragraph" w:styleId="TOC4">
    <w:name w:val="toc 4"/>
    <w:basedOn w:val="a"/>
    <w:next w:val="a"/>
    <w:autoRedefine/>
    <w:unhideWhenUsed/>
    <w:qFormat/>
    <w:rsid w:val="00050DAF"/>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050DAF"/>
    <w:pPr>
      <w:tabs>
        <w:tab w:val="right" w:leader="dot" w:pos="9628"/>
      </w:tabs>
      <w:spacing w:after="100"/>
      <w:ind w:left="567"/>
    </w:pPr>
    <w:rPr>
      <w:szCs w:val="22"/>
    </w:rPr>
  </w:style>
  <w:style w:type="paragraph" w:styleId="TOC6">
    <w:name w:val="toc 6"/>
    <w:basedOn w:val="a"/>
    <w:next w:val="a"/>
    <w:autoRedefine/>
    <w:semiHidden/>
    <w:unhideWhenUsed/>
    <w:rsid w:val="00050DAF"/>
    <w:pPr>
      <w:spacing w:after="100"/>
      <w:ind w:left="850"/>
    </w:pPr>
  </w:style>
  <w:style w:type="paragraph" w:styleId="TOC7">
    <w:name w:val="toc 7"/>
    <w:basedOn w:val="a"/>
    <w:next w:val="a"/>
    <w:autoRedefine/>
    <w:semiHidden/>
    <w:unhideWhenUsed/>
    <w:rsid w:val="00050DAF"/>
    <w:pPr>
      <w:spacing w:after="100"/>
      <w:ind w:left="1020"/>
    </w:pPr>
  </w:style>
  <w:style w:type="paragraph" w:styleId="TOC8">
    <w:name w:val="toc 8"/>
    <w:basedOn w:val="a"/>
    <w:next w:val="a"/>
    <w:autoRedefine/>
    <w:semiHidden/>
    <w:unhideWhenUsed/>
    <w:rsid w:val="00050DAF"/>
    <w:pPr>
      <w:spacing w:after="100"/>
      <w:ind w:left="1190"/>
    </w:pPr>
  </w:style>
  <w:style w:type="paragraph" w:styleId="TOC9">
    <w:name w:val="toc 9"/>
    <w:basedOn w:val="a"/>
    <w:next w:val="a"/>
    <w:autoRedefine/>
    <w:semiHidden/>
    <w:unhideWhenUsed/>
    <w:rsid w:val="00050DAF"/>
    <w:pPr>
      <w:spacing w:after="100"/>
      <w:ind w:left="1360"/>
    </w:pPr>
  </w:style>
  <w:style w:type="paragraph" w:customStyle="1" w:styleId="TableHead2">
    <w:name w:val="Table Head2"/>
    <w:basedOn w:val="TableHead"/>
    <w:qFormat/>
    <w:rsid w:val="00050DAF"/>
    <w:pPr>
      <w:outlineLvl w:val="9"/>
    </w:pPr>
  </w:style>
  <w:style w:type="paragraph" w:customStyle="1" w:styleId="TableSideHeading2">
    <w:name w:val="Table SideHeading2"/>
    <w:basedOn w:val="TableSideHeading"/>
    <w:autoRedefine/>
    <w:qFormat/>
    <w:rsid w:val="00050DAF"/>
    <w:pPr>
      <w:keepLines w:val="0"/>
      <w:outlineLvl w:val="9"/>
    </w:pPr>
  </w:style>
  <w:style w:type="paragraph" w:customStyle="1" w:styleId="0">
    <w:name w:val="סגנון שורה ראשונה:  0  ס''מ"/>
    <w:basedOn w:val="2"/>
    <w:rsid w:val="00050DAF"/>
    <w:rPr>
      <w:rFonts w:eastAsia="Times New Roman"/>
    </w:rPr>
  </w:style>
  <w:style w:type="paragraph" w:styleId="af0">
    <w:name w:val="List Paragraph"/>
    <w:basedOn w:val="a"/>
    <w:uiPriority w:val="34"/>
    <w:qFormat/>
    <w:rsid w:val="00050DAF"/>
    <w:pPr>
      <w:widowControl/>
      <w:spacing w:line="259" w:lineRule="auto"/>
    </w:pPr>
    <w:rPr>
      <w:rFonts w:asciiTheme="minorHAnsi" w:hAnsiTheme="minorHAnsi"/>
      <w:sz w:val="22"/>
    </w:rPr>
  </w:style>
  <w:style w:type="table" w:styleId="11">
    <w:name w:val="Plain Table 1"/>
    <w:basedOn w:val="a1"/>
    <w:uiPriority w:val="41"/>
    <w:rsid w:val="00050D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050DA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050DAF"/>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050DAF"/>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1BF3B-9A90-42BD-ABA4-B8C4CBDA6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AFE3-9455-419C-8851-785A55F44517}">
  <ds:schemaRef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54EDEA57-E6B9-4E65-94B6-89CC86A59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1120</Words>
  <Characters>5601</Characters>
  <Application>Microsoft Office Word</Application>
  <DocSecurity>0</DocSecurity>
  <Lines>46</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8</cp:revision>
  <cp:lastPrinted>2013-07-04T08:25:00Z</cp:lastPrinted>
  <dcterms:created xsi:type="dcterms:W3CDTF">2015-04-20T09:58:00Z</dcterms:created>
  <dcterms:modified xsi:type="dcterms:W3CDTF">2022-05-19T05:27:00Z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2192140</vt:r8>
  </property>
</Properties>
</file>