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2191016</w:t>
      </w:r>
      <w:bookmarkEnd w:id="0"/>
    </w:p>
    <w:p w14:paraId="7F6961A2" w14:textId="53D639AE" w:rsidR="00E13C27" w:rsidRPr="00DB7060" w:rsidRDefault="00E13C27" w:rsidP="00A443CF">
      <w:pPr>
        <w:pStyle w:val="HeadHatzaotHok"/>
        <w:rPr>
          <w:sz w:val="28"/>
          <w:szCs w:val="28"/>
          <w:rtl/>
        </w:rPr>
      </w:pPr>
      <w:bookmarkStart w:id="1" w:name="_Toc102480775"/>
      <w:bookmarkStart w:id="2" w:name="_Toc102480781"/>
      <w:r w:rsidRPr="00DB7060">
        <w:rPr>
          <w:rFonts w:hint="cs"/>
          <w:sz w:val="28"/>
          <w:szCs w:val="28"/>
          <w:rtl/>
        </w:rPr>
        <w:t xml:space="preserve">הכנסת </w:t>
      </w:r>
      <w:bookmarkStart w:id="3" w:name="LGS_Knesset_Num"/>
      <w:r>
        <w:rPr>
          <w:rFonts w:hint="cs"/>
          <w:sz w:val="28"/>
          <w:szCs w:val="28"/>
          <w:rtl/>
        </w:rPr>
        <w:t>העשרים וארבע</w:t>
      </w:r>
      <w:bookmarkEnd w:id="1"/>
      <w:bookmarkEnd w:id="2"/>
      <w:bookmarkEnd w:id="3"/>
    </w:p>
    <w:p w14:paraId="7F6961A3" w14:textId="77777777" w:rsidR="00E13C27" w:rsidRPr="00F67051" w:rsidRDefault="00E13C27" w:rsidP="00E13C27">
      <w:pPr>
        <w:rPr>
          <w:b/>
          <w:bCs/>
          <w:sz w:val="26"/>
          <w:szCs w:val="26"/>
          <w:rtl/>
        </w:rPr>
      </w:pPr>
    </w:p>
    <w:p w14:paraId="7F6961AA" w14:textId="599F41E4" w:rsidR="00E13C27" w:rsidRPr="00CF1AA2" w:rsidRDefault="008F6665" w:rsidP="001E3C22">
      <w:pPr>
        <w:pStyle w:val="David"/>
        <w:ind w:left="3544"/>
        <w:rPr>
          <w:b/>
          <w:bCs/>
          <w:sz w:val="16"/>
          <w:szCs w:val="16"/>
          <w:rtl/>
        </w:rPr>
      </w:pPr>
      <w:bookmarkStart w:id="4" w:name="LGS_Initiators_List"/>
      <w:r>
        <w:rPr>
          <w:b/>
          <w:bCs/>
          <w:rtl/>
        </w:rPr>
        <w:t>יוזם:</w:t>
      </w:r>
      <w:r>
        <w:tab/>
      </w:r>
      <w:r>
        <w:rPr>
          <w:b/>
          <w:bCs/>
          <w:rtl/>
        </w:rPr>
        <w:t xml:space="preserve">      חבר הכנסת</w:t>
      </w:r>
      <w:bookmarkEnd w:id="4"/>
      <w:r w:rsidR="00B35784" w:rsidRPr="00F67051">
        <w:rPr>
          <w:b/>
          <w:bCs/>
        </w:rPr>
        <w:tab/>
      </w:r>
      <w:bookmarkStart w:id="5" w:name="LGS_PM_Names"/>
      <w:r>
        <w:rPr>
          <w:rFonts w:hint="cs"/>
          <w:b/>
          <w:bCs/>
          <w:rtl/>
        </w:rPr>
        <w:t>אלון טל</w:t>
      </w:r>
      <w:bookmarkStart w:id="6" w:name="LGS_Join_List"/>
      <w:bookmarkEnd w:id="5"/>
      <w:r w:rsidR="007D585A">
        <w:rPr>
          <w:rtl/>
        </w:rPr>
        <w:t xml:space="preserve"> </w:t>
      </w:r>
      <w:bookmarkEnd w:id="6"/>
      <w:r w:rsidR="002200A1" w:rsidRPr="00CF1AA2">
        <w:rPr>
          <w:rFonts w:hint="cs"/>
          <w:rtl/>
        </w:rPr>
        <w:tab/>
      </w:r>
      <w:bookmarkStart w:id="7" w:name="LGS_PM_NamesJoin"/>
      <w:r w:rsidR="007D585A">
        <w:rPr>
          <w:rFonts w:hint="cs"/>
          <w:rtl/>
        </w:rPr>
        <w:t xml:space="preserve"> </w:t>
      </w:r>
      <w:bookmarkEnd w:id="7"/>
    </w:p>
    <w:p w14:paraId="34DB4103" w14:textId="77777777" w:rsidR="00904591" w:rsidRPr="00904591" w:rsidRDefault="00266D86" w:rsidP="0036422C">
      <w:pPr>
        <w:pStyle w:val="David"/>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61EB5382" w:rsidR="00E13C27" w:rsidRPr="00E06736" w:rsidRDefault="00904591" w:rsidP="001E3C22">
      <w:pPr>
        <w:pStyle w:val="David"/>
        <w:spacing w:line="240" w:lineRule="auto"/>
        <w:ind w:left="6424" w:firstLine="56"/>
        <w:rPr>
          <w:rtl/>
        </w:rPr>
      </w:pPr>
      <w:bookmarkStart w:id="8" w:name="Private_Number"/>
      <w:r>
        <w:rPr>
          <w:rFonts w:hint="cs"/>
          <w:rtl/>
        </w:rPr>
        <w:t>פ/3754/24</w:t>
      </w:r>
      <w:bookmarkEnd w:id="8"/>
    </w:p>
    <w:p w14:paraId="7F6961AD" w14:textId="77777777" w:rsidR="00E13C27" w:rsidRPr="00F67051" w:rsidRDefault="00A443CF" w:rsidP="0021633A">
      <w:pPr>
        <w:pStyle w:val="HeadHatzaotHok"/>
        <w:rPr>
          <w:rtl/>
        </w:rPr>
      </w:pPr>
      <w:bookmarkStart w:id="9" w:name="LGS_Subject"/>
      <w:bookmarkStart w:id="10" w:name="_Toc102480776"/>
      <w:bookmarkStart w:id="11" w:name="_Toc102480782"/>
      <w:r>
        <w:rPr>
          <w:rFonts w:hint="cs"/>
          <w:rtl/>
        </w:rPr>
        <w:t>הצעת חוק המקרקעין (תיקון – עישון בבית משותף הפוגע בשכנים), התשפ״ב–2022</w:t>
      </w:r>
      <w:bookmarkEnd w:id="9"/>
      <w:bookmarkEnd w:id="10"/>
      <w:bookmarkEnd w:id="11"/>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47"/>
      </w:tblGrid>
      <w:tr w:rsidR="00C23F46" w:rsidRPr="007504FE" w14:paraId="2E0856A2" w14:textId="77777777" w:rsidTr="001E3C22">
        <w:trPr>
          <w:cantSplit/>
        </w:trPr>
        <w:tc>
          <w:tcPr>
            <w:tcW w:w="1871" w:type="dxa"/>
          </w:tcPr>
          <w:p w14:paraId="6C993374" w14:textId="7749A5B3" w:rsidR="00C23F46" w:rsidRPr="007504FE" w:rsidRDefault="00C23F46" w:rsidP="00054256">
            <w:pPr>
              <w:pStyle w:val="TableSideHeading"/>
              <w:keepLines w:val="0"/>
              <w:rPr>
                <w:rFonts w:ascii="David" w:hAnsi="David"/>
                <w:sz w:val="26"/>
              </w:rPr>
            </w:pPr>
            <w:bookmarkStart w:id="12" w:name="_Toc102480777"/>
            <w:bookmarkStart w:id="13" w:name="_Toc102480783"/>
            <w:r w:rsidRPr="007504FE">
              <w:rPr>
                <w:rFonts w:ascii="David" w:hAnsi="David"/>
                <w:sz w:val="26"/>
                <w:rtl/>
              </w:rPr>
              <w:t>הוספת סעיף 59</w:t>
            </w:r>
            <w:r w:rsidR="00054256" w:rsidRPr="007504FE">
              <w:rPr>
                <w:rFonts w:ascii="David" w:hAnsi="David"/>
                <w:sz w:val="26"/>
                <w:rtl/>
              </w:rPr>
              <w:t>כ</w:t>
            </w:r>
            <w:bookmarkEnd w:id="12"/>
            <w:bookmarkEnd w:id="13"/>
          </w:p>
        </w:tc>
        <w:tc>
          <w:tcPr>
            <w:tcW w:w="624" w:type="dxa"/>
          </w:tcPr>
          <w:p w14:paraId="4C57EAC4" w14:textId="77777777" w:rsidR="00C23F46" w:rsidRPr="007504FE" w:rsidRDefault="00C23F46" w:rsidP="00C23F46">
            <w:pPr>
              <w:pStyle w:val="TableText"/>
              <w:keepLines w:val="0"/>
              <w:rPr>
                <w:rFonts w:ascii="David" w:hAnsi="David"/>
                <w:sz w:val="26"/>
              </w:rPr>
            </w:pPr>
            <w:r w:rsidRPr="007504FE">
              <w:rPr>
                <w:rFonts w:ascii="David" w:hAnsi="David"/>
                <w:sz w:val="26"/>
                <w:rtl/>
              </w:rPr>
              <w:t>1.</w:t>
            </w:r>
          </w:p>
        </w:tc>
        <w:tc>
          <w:tcPr>
            <w:tcW w:w="7143" w:type="dxa"/>
            <w:gridSpan w:val="5"/>
          </w:tcPr>
          <w:p w14:paraId="63D64455" w14:textId="4E813164" w:rsidR="00C23F46" w:rsidRPr="007504FE" w:rsidRDefault="00C23F46" w:rsidP="001E3C22">
            <w:pPr>
              <w:pStyle w:val="TableBlock"/>
              <w:rPr>
                <w:b/>
                <w:bCs/>
                <w:rtl/>
              </w:rPr>
            </w:pPr>
            <w:bookmarkStart w:id="14" w:name="_Toc102480778"/>
            <w:bookmarkStart w:id="15" w:name="_Toc102480784"/>
            <w:r w:rsidRPr="007504FE">
              <w:rPr>
                <w:rtl/>
              </w:rPr>
              <w:t>בחוק</w:t>
            </w:r>
            <w:r w:rsidRPr="007504FE">
              <w:t xml:space="preserve"> </w:t>
            </w:r>
            <w:r w:rsidRPr="007504FE">
              <w:rPr>
                <w:rtl/>
              </w:rPr>
              <w:t>המקרקעין,</w:t>
            </w:r>
            <w:r w:rsidRPr="007504FE">
              <w:t xml:space="preserve"> </w:t>
            </w:r>
            <w:r w:rsidRPr="007504FE">
              <w:rPr>
                <w:rtl/>
              </w:rPr>
              <w:t>התשכ</w:t>
            </w:r>
            <w:r w:rsidRPr="007504FE">
              <w:t>"</w:t>
            </w:r>
            <w:r w:rsidRPr="007504FE">
              <w:rPr>
                <w:rtl/>
              </w:rPr>
              <w:t>ט–1969</w:t>
            </w:r>
            <w:r w:rsidRPr="001E3C22">
              <w:rPr>
                <w:vertAlign w:val="superscript"/>
                <w:rtl/>
              </w:rPr>
              <w:footnoteReference w:id="2"/>
            </w:r>
            <w:r w:rsidRPr="00E338D0">
              <w:rPr>
                <w:vertAlign w:val="superscript"/>
                <w:rtl/>
              </w:rPr>
              <w:t xml:space="preserve"> </w:t>
            </w:r>
            <w:r w:rsidRPr="007504FE">
              <w:rPr>
                <w:rtl/>
              </w:rPr>
              <w:t>(להלן – החוק העיקרי), אחרי</w:t>
            </w:r>
            <w:r w:rsidRPr="007504FE">
              <w:t xml:space="preserve"> </w:t>
            </w:r>
            <w:r w:rsidRPr="007504FE">
              <w:rPr>
                <w:rtl/>
              </w:rPr>
              <w:t>סעיף</w:t>
            </w:r>
            <w:r w:rsidRPr="007504FE">
              <w:t xml:space="preserve"> </w:t>
            </w:r>
            <w:r w:rsidRPr="007504FE">
              <w:rPr>
                <w:rtl/>
              </w:rPr>
              <w:t>59</w:t>
            </w:r>
            <w:r w:rsidR="00054256" w:rsidRPr="007504FE">
              <w:rPr>
                <w:rtl/>
              </w:rPr>
              <w:t>י</w:t>
            </w:r>
            <w:r w:rsidRPr="007504FE">
              <w:rPr>
                <w:rtl/>
              </w:rPr>
              <w:t xml:space="preserve"> יבוא:</w:t>
            </w:r>
            <w:bookmarkEnd w:id="14"/>
            <w:bookmarkEnd w:id="15"/>
          </w:p>
        </w:tc>
      </w:tr>
      <w:tr w:rsidR="00C23F46" w:rsidRPr="007504FE" w14:paraId="391C7689" w14:textId="77777777" w:rsidTr="001E3C22">
        <w:trPr>
          <w:cantSplit/>
        </w:trPr>
        <w:tc>
          <w:tcPr>
            <w:tcW w:w="1871" w:type="dxa"/>
          </w:tcPr>
          <w:p w14:paraId="10F051F5" w14:textId="77777777" w:rsidR="00C23F46" w:rsidRPr="007504FE" w:rsidRDefault="00C23F46" w:rsidP="00431C6A">
            <w:pPr>
              <w:pStyle w:val="TableSideHeading"/>
              <w:keepLines w:val="0"/>
              <w:rPr>
                <w:rFonts w:ascii="David" w:hAnsi="David"/>
                <w:sz w:val="26"/>
              </w:rPr>
            </w:pPr>
          </w:p>
        </w:tc>
        <w:tc>
          <w:tcPr>
            <w:tcW w:w="624" w:type="dxa"/>
          </w:tcPr>
          <w:p w14:paraId="6E84D3F5" w14:textId="77777777" w:rsidR="00C23F46" w:rsidRPr="007504FE" w:rsidRDefault="00C23F46" w:rsidP="00431C6A">
            <w:pPr>
              <w:pStyle w:val="TableText"/>
              <w:keepLines w:val="0"/>
              <w:rPr>
                <w:rFonts w:ascii="David" w:hAnsi="David"/>
                <w:sz w:val="26"/>
              </w:rPr>
            </w:pPr>
          </w:p>
        </w:tc>
        <w:tc>
          <w:tcPr>
            <w:tcW w:w="1872" w:type="dxa"/>
            <w:gridSpan w:val="3"/>
          </w:tcPr>
          <w:p w14:paraId="78C4416E" w14:textId="77777777" w:rsidR="00C23F46" w:rsidRPr="007504FE" w:rsidRDefault="00C23F46" w:rsidP="00431C6A">
            <w:pPr>
              <w:pStyle w:val="TableInnerSideHeading"/>
              <w:rPr>
                <w:rFonts w:ascii="David" w:hAnsi="David"/>
                <w:sz w:val="26"/>
              </w:rPr>
            </w:pPr>
            <w:r w:rsidRPr="007504FE">
              <w:rPr>
                <w:rFonts w:ascii="David" w:hAnsi="David"/>
                <w:sz w:val="26"/>
                <w:rtl/>
              </w:rPr>
              <w:t>"עישון בבית משותף</w:t>
            </w:r>
          </w:p>
        </w:tc>
        <w:tc>
          <w:tcPr>
            <w:tcW w:w="624" w:type="dxa"/>
          </w:tcPr>
          <w:p w14:paraId="1C0F1AAA" w14:textId="02AB7265" w:rsidR="00C23F46" w:rsidRPr="007504FE" w:rsidRDefault="00C23F46" w:rsidP="00054256">
            <w:pPr>
              <w:pStyle w:val="TableText"/>
              <w:rPr>
                <w:rFonts w:ascii="David" w:hAnsi="David"/>
                <w:sz w:val="26"/>
              </w:rPr>
            </w:pPr>
            <w:r w:rsidRPr="007504FE">
              <w:rPr>
                <w:rFonts w:ascii="David" w:hAnsi="David"/>
                <w:sz w:val="26"/>
                <w:rtl/>
              </w:rPr>
              <w:t>59</w:t>
            </w:r>
            <w:r w:rsidR="00054256" w:rsidRPr="007504FE">
              <w:rPr>
                <w:rFonts w:ascii="David" w:hAnsi="David"/>
                <w:sz w:val="26"/>
                <w:rtl/>
              </w:rPr>
              <w:t>כ</w:t>
            </w:r>
            <w:r w:rsidRPr="007504FE">
              <w:rPr>
                <w:rFonts w:ascii="David" w:hAnsi="David"/>
                <w:sz w:val="26"/>
                <w:rtl/>
              </w:rPr>
              <w:t>.</w:t>
            </w:r>
          </w:p>
        </w:tc>
        <w:tc>
          <w:tcPr>
            <w:tcW w:w="4647" w:type="dxa"/>
          </w:tcPr>
          <w:p w14:paraId="0A7EAF6C" w14:textId="157744DC" w:rsidR="00C23F46" w:rsidRPr="007504FE" w:rsidRDefault="00C23F46" w:rsidP="001E3C22">
            <w:pPr>
              <w:pStyle w:val="TableBlock"/>
              <w:tabs>
                <w:tab w:val="left" w:pos="624"/>
                <w:tab w:val="left" w:pos="1247"/>
              </w:tabs>
              <w:rPr>
                <w:rFonts w:ascii="David" w:hAnsi="David"/>
                <w:sz w:val="26"/>
                <w:rtl/>
              </w:rPr>
            </w:pPr>
            <w:r w:rsidRPr="007504FE">
              <w:rPr>
                <w:rFonts w:ascii="David" w:hAnsi="David"/>
                <w:sz w:val="26"/>
                <w:rtl/>
              </w:rPr>
              <w:t>(א)</w:t>
            </w:r>
            <w:r w:rsidRPr="007504FE">
              <w:rPr>
                <w:rFonts w:ascii="David" w:hAnsi="David"/>
                <w:sz w:val="26"/>
                <w:rtl/>
              </w:rPr>
              <w:tab/>
            </w:r>
            <w:r w:rsidR="006E3FCB">
              <w:rPr>
                <w:rFonts w:ascii="David" w:hAnsi="David" w:hint="cs"/>
                <w:sz w:val="26"/>
                <w:rtl/>
              </w:rPr>
              <w:t>המ</w:t>
            </w:r>
            <w:r w:rsidR="006E3FCB">
              <w:rPr>
                <w:rFonts w:hint="cs"/>
                <w:rtl/>
              </w:rPr>
              <w:t>ע</w:t>
            </w:r>
            <w:r w:rsidR="00C20B3E">
              <w:rPr>
                <w:rFonts w:hint="cs"/>
                <w:rtl/>
              </w:rPr>
              <w:t>שן או ה</w:t>
            </w:r>
            <w:r w:rsidR="006E3FCB">
              <w:rPr>
                <w:rFonts w:hint="cs"/>
                <w:rtl/>
              </w:rPr>
              <w:t>מ</w:t>
            </w:r>
            <w:r w:rsidR="00C20B3E">
              <w:rPr>
                <w:rFonts w:hint="cs"/>
                <w:rtl/>
              </w:rPr>
              <w:t>חזיק כל מוצר טבק או כלי לעישונו כשהם דלוקים בחלל משותף שהוא חלל סגור בבניין שהוא בית משותף באופן שיש בו כדי לגרום נזק או אי נוחות לאדם אחר המצוי בדירה אחרת באותו הבניין או ברכוש המשותף</w:t>
            </w:r>
            <w:r w:rsidR="00C20B3E">
              <w:rPr>
                <w:rFonts w:ascii="David" w:hAnsi="David" w:hint="cs"/>
                <w:sz w:val="26"/>
                <w:rtl/>
              </w:rPr>
              <w:t xml:space="preserve">, דינו </w:t>
            </w:r>
            <w:r w:rsidR="00C20B3E">
              <w:rPr>
                <w:rFonts w:ascii="David" w:hAnsi="David"/>
                <w:sz w:val="26"/>
                <w:rtl/>
              </w:rPr>
              <w:t>–</w:t>
            </w:r>
            <w:r w:rsidR="00C20B3E">
              <w:rPr>
                <w:rFonts w:ascii="David" w:hAnsi="David" w:hint="cs"/>
                <w:sz w:val="26"/>
                <w:rtl/>
              </w:rPr>
              <w:t xml:space="preserve"> קנס כאמור בסעיף 61(א)(1) לחוק העונשין, </w:t>
            </w:r>
            <w:r w:rsidR="00C20B3E" w:rsidRPr="007504FE">
              <w:rPr>
                <w:rFonts w:ascii="David" w:hAnsi="David"/>
                <w:sz w:val="26"/>
                <w:rtl/>
              </w:rPr>
              <w:t>התשל"ז–1977</w:t>
            </w:r>
            <w:r w:rsidR="00C20B3E" w:rsidRPr="001E3C22">
              <w:rPr>
                <w:rFonts w:ascii="David" w:hAnsi="David"/>
                <w:sz w:val="26"/>
                <w:vertAlign w:val="superscript"/>
                <w:rtl/>
              </w:rPr>
              <w:footnoteReference w:id="3"/>
            </w:r>
            <w:r w:rsidR="00E3719A">
              <w:rPr>
                <w:rFonts w:ascii="David" w:hAnsi="David" w:hint="cs"/>
                <w:sz w:val="26"/>
                <w:rtl/>
              </w:rPr>
              <w:t>.</w:t>
            </w:r>
          </w:p>
        </w:tc>
      </w:tr>
      <w:tr w:rsidR="00C23F46" w:rsidRPr="007504FE" w14:paraId="52F26812" w14:textId="77777777" w:rsidTr="001E3C22">
        <w:trPr>
          <w:cantSplit/>
        </w:trPr>
        <w:tc>
          <w:tcPr>
            <w:tcW w:w="1871" w:type="dxa"/>
          </w:tcPr>
          <w:p w14:paraId="13FC375F" w14:textId="7B1833AA" w:rsidR="00C23F46" w:rsidRPr="007504FE" w:rsidRDefault="00C23F46" w:rsidP="00431C6A">
            <w:pPr>
              <w:pStyle w:val="TableSideHeading"/>
              <w:rPr>
                <w:rFonts w:ascii="David" w:hAnsi="David"/>
                <w:sz w:val="26"/>
              </w:rPr>
            </w:pPr>
          </w:p>
        </w:tc>
        <w:tc>
          <w:tcPr>
            <w:tcW w:w="624" w:type="dxa"/>
          </w:tcPr>
          <w:p w14:paraId="4DE4E392" w14:textId="77777777" w:rsidR="00C23F46" w:rsidRPr="007504FE" w:rsidRDefault="00C23F46" w:rsidP="00431C6A">
            <w:pPr>
              <w:pStyle w:val="TableText"/>
              <w:rPr>
                <w:rFonts w:ascii="David" w:hAnsi="David"/>
                <w:sz w:val="26"/>
              </w:rPr>
            </w:pPr>
          </w:p>
        </w:tc>
        <w:tc>
          <w:tcPr>
            <w:tcW w:w="624" w:type="dxa"/>
          </w:tcPr>
          <w:p w14:paraId="60FB2A62" w14:textId="77777777" w:rsidR="00C23F46" w:rsidRPr="007504FE" w:rsidRDefault="00C23F46" w:rsidP="00431C6A">
            <w:pPr>
              <w:pStyle w:val="TableText"/>
              <w:rPr>
                <w:rFonts w:ascii="David" w:hAnsi="David"/>
                <w:sz w:val="26"/>
              </w:rPr>
            </w:pPr>
          </w:p>
        </w:tc>
        <w:tc>
          <w:tcPr>
            <w:tcW w:w="624" w:type="dxa"/>
          </w:tcPr>
          <w:p w14:paraId="1E95E358" w14:textId="77777777" w:rsidR="00C23F46" w:rsidRPr="007504FE" w:rsidRDefault="00C23F46" w:rsidP="00431C6A">
            <w:pPr>
              <w:pStyle w:val="TableText"/>
              <w:rPr>
                <w:rFonts w:ascii="David" w:hAnsi="David"/>
                <w:sz w:val="26"/>
              </w:rPr>
            </w:pPr>
          </w:p>
        </w:tc>
        <w:tc>
          <w:tcPr>
            <w:tcW w:w="624" w:type="dxa"/>
          </w:tcPr>
          <w:p w14:paraId="773F7677" w14:textId="77777777" w:rsidR="00C23F46" w:rsidRPr="007504FE" w:rsidRDefault="00C23F46" w:rsidP="00431C6A">
            <w:pPr>
              <w:pStyle w:val="TableText"/>
              <w:rPr>
                <w:rFonts w:ascii="David" w:hAnsi="David"/>
                <w:sz w:val="26"/>
              </w:rPr>
            </w:pPr>
          </w:p>
        </w:tc>
        <w:tc>
          <w:tcPr>
            <w:tcW w:w="624" w:type="dxa"/>
          </w:tcPr>
          <w:p w14:paraId="58B0A8B8" w14:textId="77777777" w:rsidR="00C23F46" w:rsidRPr="007504FE" w:rsidRDefault="00C23F46" w:rsidP="00431C6A">
            <w:pPr>
              <w:pStyle w:val="TableText"/>
              <w:rPr>
                <w:rFonts w:ascii="David" w:hAnsi="David"/>
                <w:sz w:val="26"/>
              </w:rPr>
            </w:pPr>
          </w:p>
        </w:tc>
        <w:tc>
          <w:tcPr>
            <w:tcW w:w="4647" w:type="dxa"/>
          </w:tcPr>
          <w:p w14:paraId="700A3725" w14:textId="29A7AA49" w:rsidR="00C23F46" w:rsidRPr="007504FE" w:rsidRDefault="007504FE" w:rsidP="001E3C22">
            <w:pPr>
              <w:pStyle w:val="TableBlock"/>
              <w:tabs>
                <w:tab w:val="left" w:pos="624"/>
                <w:tab w:val="left" w:pos="1247"/>
              </w:tabs>
              <w:rPr>
                <w:rFonts w:ascii="David" w:hAnsi="David"/>
                <w:sz w:val="26"/>
                <w:rtl/>
              </w:rPr>
            </w:pPr>
            <w:r w:rsidRPr="007504FE">
              <w:rPr>
                <w:rFonts w:ascii="David" w:hAnsi="David"/>
                <w:sz w:val="26"/>
                <w:rtl/>
              </w:rPr>
              <w:t>(ב)</w:t>
            </w:r>
            <w:r w:rsidRPr="007504FE">
              <w:rPr>
                <w:rFonts w:ascii="David" w:hAnsi="David"/>
                <w:sz w:val="26"/>
                <w:rtl/>
              </w:rPr>
              <w:tab/>
            </w:r>
            <w:r w:rsidR="00C20B3E">
              <w:rPr>
                <w:rFonts w:ascii="David" w:hAnsi="David"/>
                <w:sz w:val="26"/>
                <w:rtl/>
              </w:rPr>
              <w:t xml:space="preserve">עבירה כאמור בסעיף </w:t>
            </w:r>
            <w:r w:rsidR="00C20B3E">
              <w:rPr>
                <w:rFonts w:ascii="David" w:hAnsi="David" w:hint="cs"/>
                <w:sz w:val="26"/>
                <w:rtl/>
              </w:rPr>
              <w:t>קטן (א)</w:t>
            </w:r>
            <w:r w:rsidR="00C20B3E" w:rsidRPr="00C20B3E">
              <w:rPr>
                <w:rFonts w:ascii="David" w:hAnsi="David"/>
                <w:sz w:val="26"/>
                <w:rtl/>
              </w:rPr>
              <w:t xml:space="preserve"> היא עבירה מינהלית כמשמעותה בחוק העבירות המינהליות, והוראות החוק האמור יחולו עליה בשינויים המחויבים.</w:t>
            </w:r>
          </w:p>
        </w:tc>
      </w:tr>
      <w:tr w:rsidR="00C20B3E" w:rsidRPr="007504FE" w14:paraId="09C722CA" w14:textId="77777777" w:rsidTr="001E3C22">
        <w:trPr>
          <w:cantSplit/>
        </w:trPr>
        <w:tc>
          <w:tcPr>
            <w:tcW w:w="1871" w:type="dxa"/>
          </w:tcPr>
          <w:p w14:paraId="5DD9A27C" w14:textId="77777777" w:rsidR="00C20B3E" w:rsidRPr="007504FE" w:rsidRDefault="00C20B3E" w:rsidP="00431C6A">
            <w:pPr>
              <w:pStyle w:val="TableSideHeading"/>
              <w:rPr>
                <w:rFonts w:ascii="David" w:hAnsi="David"/>
                <w:sz w:val="26"/>
              </w:rPr>
            </w:pPr>
          </w:p>
        </w:tc>
        <w:tc>
          <w:tcPr>
            <w:tcW w:w="624" w:type="dxa"/>
          </w:tcPr>
          <w:p w14:paraId="013B5720" w14:textId="77777777" w:rsidR="00C20B3E" w:rsidRPr="007504FE" w:rsidRDefault="00C20B3E" w:rsidP="00C20B3E">
            <w:pPr>
              <w:pStyle w:val="TableText"/>
            </w:pPr>
          </w:p>
        </w:tc>
        <w:tc>
          <w:tcPr>
            <w:tcW w:w="624" w:type="dxa"/>
          </w:tcPr>
          <w:p w14:paraId="5C8A2590" w14:textId="77777777" w:rsidR="00C20B3E" w:rsidRPr="007504FE" w:rsidRDefault="00C20B3E" w:rsidP="00431C6A">
            <w:pPr>
              <w:pStyle w:val="TableText"/>
              <w:rPr>
                <w:rFonts w:ascii="David" w:hAnsi="David"/>
                <w:sz w:val="26"/>
              </w:rPr>
            </w:pPr>
          </w:p>
        </w:tc>
        <w:tc>
          <w:tcPr>
            <w:tcW w:w="624" w:type="dxa"/>
          </w:tcPr>
          <w:p w14:paraId="3ACFF555" w14:textId="77777777" w:rsidR="00C20B3E" w:rsidRPr="007504FE" w:rsidRDefault="00C20B3E" w:rsidP="00431C6A">
            <w:pPr>
              <w:pStyle w:val="TableText"/>
              <w:rPr>
                <w:rFonts w:ascii="David" w:hAnsi="David"/>
                <w:sz w:val="26"/>
              </w:rPr>
            </w:pPr>
          </w:p>
        </w:tc>
        <w:tc>
          <w:tcPr>
            <w:tcW w:w="624" w:type="dxa"/>
          </w:tcPr>
          <w:p w14:paraId="57039206" w14:textId="77777777" w:rsidR="00C20B3E" w:rsidRPr="007504FE" w:rsidRDefault="00C20B3E" w:rsidP="00431C6A">
            <w:pPr>
              <w:pStyle w:val="TableText"/>
              <w:rPr>
                <w:rFonts w:ascii="David" w:hAnsi="David"/>
                <w:sz w:val="26"/>
              </w:rPr>
            </w:pPr>
          </w:p>
        </w:tc>
        <w:tc>
          <w:tcPr>
            <w:tcW w:w="624" w:type="dxa"/>
          </w:tcPr>
          <w:p w14:paraId="3F05C958" w14:textId="77777777" w:rsidR="00C20B3E" w:rsidRPr="007504FE" w:rsidRDefault="00C20B3E" w:rsidP="00431C6A">
            <w:pPr>
              <w:pStyle w:val="TableText"/>
              <w:rPr>
                <w:rFonts w:ascii="David" w:hAnsi="David"/>
                <w:sz w:val="26"/>
              </w:rPr>
            </w:pPr>
          </w:p>
        </w:tc>
        <w:tc>
          <w:tcPr>
            <w:tcW w:w="4647" w:type="dxa"/>
          </w:tcPr>
          <w:p w14:paraId="5C0A14A7" w14:textId="60453235" w:rsidR="00C20B3E" w:rsidRPr="007504FE" w:rsidRDefault="00C20B3E" w:rsidP="001E3C22">
            <w:pPr>
              <w:pStyle w:val="TableBlock"/>
              <w:tabs>
                <w:tab w:val="left" w:pos="624"/>
                <w:tab w:val="left" w:pos="1247"/>
              </w:tabs>
              <w:rPr>
                <w:rFonts w:ascii="David" w:hAnsi="David"/>
                <w:sz w:val="26"/>
                <w:rtl/>
              </w:rPr>
            </w:pPr>
            <w:r>
              <w:rPr>
                <w:rFonts w:ascii="David" w:hAnsi="David" w:hint="cs"/>
                <w:sz w:val="26"/>
                <w:rtl/>
              </w:rPr>
              <w:t>(ג)</w:t>
            </w:r>
            <w:r>
              <w:rPr>
                <w:rFonts w:ascii="David" w:hAnsi="David"/>
                <w:sz w:val="26"/>
                <w:rtl/>
              </w:rPr>
              <w:tab/>
            </w:r>
            <w:r w:rsidRPr="00C20B3E">
              <w:rPr>
                <w:rFonts w:ascii="David" w:hAnsi="David"/>
                <w:sz w:val="26"/>
                <w:rtl/>
              </w:rPr>
              <w:t>לעבירה מינהלית כאמור בסעיף קטן (</w:t>
            </w:r>
            <w:r>
              <w:rPr>
                <w:rFonts w:ascii="David" w:hAnsi="David" w:hint="cs"/>
                <w:sz w:val="26"/>
                <w:rtl/>
              </w:rPr>
              <w:t>ב</w:t>
            </w:r>
            <w:r w:rsidRPr="00C20B3E">
              <w:rPr>
                <w:rFonts w:ascii="David" w:hAnsi="David"/>
                <w:sz w:val="26"/>
                <w:rtl/>
              </w:rPr>
              <w:t>) יהיה קנס מינהלי קצוב של 5,000 שקלים חדשים.</w:t>
            </w:r>
          </w:p>
        </w:tc>
      </w:tr>
      <w:tr w:rsidR="00C23F46" w:rsidRPr="007504FE" w14:paraId="21F9BBB0" w14:textId="77777777" w:rsidTr="001E3C22">
        <w:trPr>
          <w:cantSplit/>
        </w:trPr>
        <w:tc>
          <w:tcPr>
            <w:tcW w:w="1871" w:type="dxa"/>
          </w:tcPr>
          <w:p w14:paraId="388F6E74" w14:textId="77777777" w:rsidR="00C23F46" w:rsidRPr="007504FE" w:rsidRDefault="00C23F46" w:rsidP="00431C6A">
            <w:pPr>
              <w:pStyle w:val="TableSideHeading"/>
              <w:rPr>
                <w:rFonts w:ascii="David" w:hAnsi="David"/>
                <w:color w:val="000000" w:themeColor="text1"/>
                <w:sz w:val="26"/>
              </w:rPr>
            </w:pPr>
          </w:p>
        </w:tc>
        <w:tc>
          <w:tcPr>
            <w:tcW w:w="624" w:type="dxa"/>
          </w:tcPr>
          <w:p w14:paraId="718D31E7" w14:textId="77777777" w:rsidR="00C23F46" w:rsidRPr="007504FE" w:rsidRDefault="00C23F46" w:rsidP="00431C6A">
            <w:pPr>
              <w:pStyle w:val="TableText"/>
              <w:rPr>
                <w:rFonts w:ascii="David" w:hAnsi="David"/>
                <w:color w:val="000000" w:themeColor="text1"/>
                <w:sz w:val="26"/>
              </w:rPr>
            </w:pPr>
          </w:p>
        </w:tc>
        <w:tc>
          <w:tcPr>
            <w:tcW w:w="624" w:type="dxa"/>
          </w:tcPr>
          <w:p w14:paraId="50C05BFC" w14:textId="77777777" w:rsidR="00C23F46" w:rsidRPr="007504FE" w:rsidRDefault="00C23F46" w:rsidP="00431C6A">
            <w:pPr>
              <w:pStyle w:val="TableText"/>
              <w:rPr>
                <w:rFonts w:ascii="David" w:hAnsi="David"/>
                <w:color w:val="000000" w:themeColor="text1"/>
                <w:sz w:val="26"/>
              </w:rPr>
            </w:pPr>
          </w:p>
        </w:tc>
        <w:tc>
          <w:tcPr>
            <w:tcW w:w="624" w:type="dxa"/>
          </w:tcPr>
          <w:p w14:paraId="7E95B021" w14:textId="77777777" w:rsidR="00C23F46" w:rsidRPr="007504FE" w:rsidRDefault="00C23F46" w:rsidP="00431C6A">
            <w:pPr>
              <w:pStyle w:val="TableText"/>
              <w:rPr>
                <w:rFonts w:ascii="David" w:hAnsi="David"/>
                <w:color w:val="000000" w:themeColor="text1"/>
                <w:sz w:val="26"/>
              </w:rPr>
            </w:pPr>
          </w:p>
        </w:tc>
        <w:tc>
          <w:tcPr>
            <w:tcW w:w="624" w:type="dxa"/>
          </w:tcPr>
          <w:p w14:paraId="4F92DD2B" w14:textId="77777777" w:rsidR="00C23F46" w:rsidRPr="007504FE" w:rsidRDefault="00C23F46" w:rsidP="00431C6A">
            <w:pPr>
              <w:pStyle w:val="TableText"/>
              <w:rPr>
                <w:rFonts w:ascii="David" w:hAnsi="David"/>
                <w:color w:val="000000" w:themeColor="text1"/>
                <w:sz w:val="26"/>
              </w:rPr>
            </w:pPr>
          </w:p>
        </w:tc>
        <w:tc>
          <w:tcPr>
            <w:tcW w:w="624" w:type="dxa"/>
          </w:tcPr>
          <w:p w14:paraId="503BAC23" w14:textId="77777777" w:rsidR="00C23F46" w:rsidRPr="007504FE" w:rsidRDefault="00C23F46" w:rsidP="00431C6A">
            <w:pPr>
              <w:pStyle w:val="TableText"/>
              <w:rPr>
                <w:rFonts w:ascii="David" w:hAnsi="David"/>
                <w:color w:val="000000" w:themeColor="text1"/>
                <w:sz w:val="26"/>
              </w:rPr>
            </w:pPr>
          </w:p>
        </w:tc>
        <w:tc>
          <w:tcPr>
            <w:tcW w:w="4647" w:type="dxa"/>
          </w:tcPr>
          <w:p w14:paraId="21FDD5A4" w14:textId="1E8B1158" w:rsidR="00C23F46" w:rsidRPr="007504FE" w:rsidRDefault="007504FE" w:rsidP="001E3C22">
            <w:pPr>
              <w:pStyle w:val="TableBlockOutdent"/>
              <w:tabs>
                <w:tab w:val="left" w:pos="624"/>
                <w:tab w:val="left" w:pos="1247"/>
              </w:tabs>
              <w:rPr>
                <w:rFonts w:ascii="David" w:hAnsi="David"/>
                <w:color w:val="000000" w:themeColor="text1"/>
                <w:sz w:val="26"/>
                <w:rtl/>
              </w:rPr>
            </w:pPr>
            <w:r w:rsidRPr="007504FE">
              <w:rPr>
                <w:rFonts w:ascii="David" w:hAnsi="David"/>
                <w:color w:val="000000" w:themeColor="text1"/>
                <w:sz w:val="26"/>
                <w:rtl/>
              </w:rPr>
              <w:t>(ג)</w:t>
            </w:r>
            <w:r w:rsidRPr="007504FE">
              <w:rPr>
                <w:rFonts w:ascii="David" w:hAnsi="David"/>
                <w:color w:val="000000" w:themeColor="text1"/>
                <w:sz w:val="26"/>
                <w:rtl/>
              </w:rPr>
              <w:tab/>
              <w:t xml:space="preserve">בסעיף זה – </w:t>
            </w:r>
          </w:p>
        </w:tc>
      </w:tr>
      <w:tr w:rsidR="007504FE" w:rsidRPr="007504FE" w14:paraId="0130B0EC" w14:textId="77777777" w:rsidTr="001E3C22">
        <w:trPr>
          <w:cantSplit/>
        </w:trPr>
        <w:tc>
          <w:tcPr>
            <w:tcW w:w="1871" w:type="dxa"/>
          </w:tcPr>
          <w:p w14:paraId="3320CF67" w14:textId="77777777" w:rsidR="007504FE" w:rsidRPr="007504FE" w:rsidRDefault="007504FE" w:rsidP="00431C6A">
            <w:pPr>
              <w:pStyle w:val="TableSideHeading"/>
              <w:rPr>
                <w:rFonts w:ascii="David" w:hAnsi="David"/>
                <w:color w:val="000000" w:themeColor="text1"/>
                <w:sz w:val="26"/>
              </w:rPr>
            </w:pPr>
          </w:p>
        </w:tc>
        <w:tc>
          <w:tcPr>
            <w:tcW w:w="624" w:type="dxa"/>
          </w:tcPr>
          <w:p w14:paraId="0CC1602A" w14:textId="77777777" w:rsidR="007504FE" w:rsidRPr="007504FE" w:rsidRDefault="007504FE" w:rsidP="00431C6A">
            <w:pPr>
              <w:pStyle w:val="TableText"/>
              <w:rPr>
                <w:rFonts w:ascii="David" w:hAnsi="David"/>
                <w:color w:val="000000" w:themeColor="text1"/>
                <w:sz w:val="26"/>
              </w:rPr>
            </w:pPr>
          </w:p>
        </w:tc>
        <w:tc>
          <w:tcPr>
            <w:tcW w:w="624" w:type="dxa"/>
          </w:tcPr>
          <w:p w14:paraId="7192D225" w14:textId="77777777" w:rsidR="007504FE" w:rsidRPr="007504FE" w:rsidRDefault="007504FE" w:rsidP="00431C6A">
            <w:pPr>
              <w:pStyle w:val="TableText"/>
              <w:rPr>
                <w:rFonts w:ascii="David" w:hAnsi="David"/>
                <w:color w:val="000000" w:themeColor="text1"/>
                <w:sz w:val="26"/>
              </w:rPr>
            </w:pPr>
          </w:p>
        </w:tc>
        <w:tc>
          <w:tcPr>
            <w:tcW w:w="624" w:type="dxa"/>
          </w:tcPr>
          <w:p w14:paraId="2894B9B2" w14:textId="77777777" w:rsidR="007504FE" w:rsidRPr="007504FE" w:rsidRDefault="007504FE" w:rsidP="00431C6A">
            <w:pPr>
              <w:pStyle w:val="TableText"/>
              <w:rPr>
                <w:rFonts w:ascii="David" w:hAnsi="David"/>
                <w:color w:val="000000" w:themeColor="text1"/>
                <w:sz w:val="26"/>
              </w:rPr>
            </w:pPr>
          </w:p>
        </w:tc>
        <w:tc>
          <w:tcPr>
            <w:tcW w:w="624" w:type="dxa"/>
          </w:tcPr>
          <w:p w14:paraId="6CA4BD00" w14:textId="77777777" w:rsidR="007504FE" w:rsidRPr="007504FE" w:rsidRDefault="007504FE" w:rsidP="00431C6A">
            <w:pPr>
              <w:pStyle w:val="TableText"/>
              <w:rPr>
                <w:rFonts w:ascii="David" w:hAnsi="David"/>
                <w:color w:val="000000" w:themeColor="text1"/>
                <w:sz w:val="26"/>
              </w:rPr>
            </w:pPr>
          </w:p>
        </w:tc>
        <w:tc>
          <w:tcPr>
            <w:tcW w:w="624" w:type="dxa"/>
          </w:tcPr>
          <w:p w14:paraId="06F392F4" w14:textId="77777777" w:rsidR="007504FE" w:rsidRPr="007504FE" w:rsidRDefault="007504FE" w:rsidP="00431C6A">
            <w:pPr>
              <w:pStyle w:val="TableText"/>
              <w:rPr>
                <w:rFonts w:ascii="David" w:hAnsi="David"/>
                <w:color w:val="000000" w:themeColor="text1"/>
                <w:sz w:val="26"/>
              </w:rPr>
            </w:pPr>
          </w:p>
        </w:tc>
        <w:tc>
          <w:tcPr>
            <w:tcW w:w="4647" w:type="dxa"/>
          </w:tcPr>
          <w:p w14:paraId="4959481F" w14:textId="28490FA4" w:rsidR="007504FE" w:rsidRPr="007504FE" w:rsidRDefault="007504FE" w:rsidP="001E3C22">
            <w:pPr>
              <w:pStyle w:val="TableBlockOutdent"/>
              <w:tabs>
                <w:tab w:val="left" w:pos="624"/>
                <w:tab w:val="left" w:pos="1247"/>
              </w:tabs>
              <w:rPr>
                <w:rFonts w:ascii="David" w:hAnsi="David"/>
                <w:color w:val="000000" w:themeColor="text1"/>
                <w:sz w:val="26"/>
                <w:rtl/>
              </w:rPr>
            </w:pPr>
            <w:r w:rsidRPr="007504FE">
              <w:rPr>
                <w:rFonts w:ascii="David" w:hAnsi="David"/>
                <w:color w:val="000000" w:themeColor="text1"/>
                <w:sz w:val="26"/>
                <w:rtl/>
              </w:rPr>
              <w:t>"מוצרי טבק" – כהגדרתם בחוק הגבלת הפרסומת והשיווק של מוצרי טבק, התשמ"ג–1983</w:t>
            </w:r>
            <w:r w:rsidRPr="001E3C22">
              <w:rPr>
                <w:rFonts w:ascii="David" w:hAnsi="David"/>
                <w:color w:val="000000" w:themeColor="text1"/>
                <w:sz w:val="26"/>
                <w:vertAlign w:val="superscript"/>
                <w:rtl/>
              </w:rPr>
              <w:footnoteReference w:id="4"/>
            </w:r>
            <w:r w:rsidRPr="007504FE">
              <w:rPr>
                <w:rFonts w:ascii="David" w:hAnsi="David"/>
                <w:color w:val="000000" w:themeColor="text1"/>
                <w:sz w:val="26"/>
                <w:rtl/>
              </w:rPr>
              <w:t>;</w:t>
            </w:r>
          </w:p>
        </w:tc>
      </w:tr>
      <w:tr w:rsidR="007504FE" w:rsidRPr="007504FE" w14:paraId="1C2C3AC4" w14:textId="77777777" w:rsidTr="001E3C22">
        <w:trPr>
          <w:cantSplit/>
        </w:trPr>
        <w:tc>
          <w:tcPr>
            <w:tcW w:w="1871" w:type="dxa"/>
          </w:tcPr>
          <w:p w14:paraId="15E9C6B8" w14:textId="77777777" w:rsidR="007504FE" w:rsidRPr="007504FE" w:rsidRDefault="007504FE">
            <w:pPr>
              <w:pStyle w:val="TableSideHeading"/>
              <w:rPr>
                <w:rFonts w:ascii="David" w:hAnsi="David"/>
                <w:sz w:val="26"/>
              </w:rPr>
            </w:pPr>
          </w:p>
        </w:tc>
        <w:tc>
          <w:tcPr>
            <w:tcW w:w="624" w:type="dxa"/>
          </w:tcPr>
          <w:p w14:paraId="447946E7" w14:textId="77777777" w:rsidR="007504FE" w:rsidRPr="007504FE" w:rsidRDefault="007504FE">
            <w:pPr>
              <w:pStyle w:val="TableText"/>
              <w:rPr>
                <w:rFonts w:ascii="David" w:hAnsi="David"/>
                <w:sz w:val="26"/>
              </w:rPr>
            </w:pPr>
          </w:p>
        </w:tc>
        <w:tc>
          <w:tcPr>
            <w:tcW w:w="624" w:type="dxa"/>
          </w:tcPr>
          <w:p w14:paraId="7BA1DF63" w14:textId="77777777" w:rsidR="007504FE" w:rsidRPr="007504FE" w:rsidRDefault="007504FE">
            <w:pPr>
              <w:pStyle w:val="TableText"/>
              <w:rPr>
                <w:rFonts w:ascii="David" w:hAnsi="David"/>
                <w:sz w:val="26"/>
              </w:rPr>
            </w:pPr>
          </w:p>
        </w:tc>
        <w:tc>
          <w:tcPr>
            <w:tcW w:w="624" w:type="dxa"/>
          </w:tcPr>
          <w:p w14:paraId="0C03C025" w14:textId="77777777" w:rsidR="007504FE" w:rsidRPr="007504FE" w:rsidRDefault="007504FE">
            <w:pPr>
              <w:pStyle w:val="TableText"/>
              <w:rPr>
                <w:rFonts w:ascii="David" w:hAnsi="David"/>
                <w:sz w:val="26"/>
              </w:rPr>
            </w:pPr>
          </w:p>
        </w:tc>
        <w:tc>
          <w:tcPr>
            <w:tcW w:w="624" w:type="dxa"/>
          </w:tcPr>
          <w:p w14:paraId="06EF0391" w14:textId="77777777" w:rsidR="007504FE" w:rsidRPr="007504FE" w:rsidRDefault="007504FE">
            <w:pPr>
              <w:pStyle w:val="TableText"/>
              <w:rPr>
                <w:rFonts w:ascii="David" w:hAnsi="David"/>
                <w:sz w:val="26"/>
              </w:rPr>
            </w:pPr>
          </w:p>
        </w:tc>
        <w:tc>
          <w:tcPr>
            <w:tcW w:w="624" w:type="dxa"/>
          </w:tcPr>
          <w:p w14:paraId="1A688707" w14:textId="77777777" w:rsidR="007504FE" w:rsidRPr="007504FE" w:rsidRDefault="007504FE">
            <w:pPr>
              <w:pStyle w:val="TableText"/>
              <w:rPr>
                <w:rFonts w:ascii="David" w:hAnsi="David"/>
                <w:sz w:val="26"/>
              </w:rPr>
            </w:pPr>
          </w:p>
        </w:tc>
        <w:tc>
          <w:tcPr>
            <w:tcW w:w="4647" w:type="dxa"/>
          </w:tcPr>
          <w:p w14:paraId="3710D79C" w14:textId="1E9D43F2" w:rsidR="007504FE" w:rsidRPr="007504FE" w:rsidRDefault="007504FE" w:rsidP="001E3C22">
            <w:pPr>
              <w:pStyle w:val="TableBlockOutdent"/>
              <w:tabs>
                <w:tab w:val="left" w:pos="624"/>
                <w:tab w:val="left" w:pos="1247"/>
              </w:tabs>
              <w:rPr>
                <w:rFonts w:ascii="David" w:hAnsi="David"/>
                <w:color w:val="000000" w:themeColor="text1"/>
                <w:sz w:val="26"/>
              </w:rPr>
            </w:pPr>
            <w:r w:rsidRPr="007504FE">
              <w:rPr>
                <w:rFonts w:ascii="David" w:hAnsi="David"/>
                <w:color w:val="000000" w:themeColor="text1"/>
                <w:sz w:val="26"/>
                <w:rtl/>
              </w:rPr>
              <w:t>"אי</w:t>
            </w:r>
            <w:r w:rsidRPr="007504FE">
              <w:rPr>
                <w:rFonts w:ascii="David" w:hAnsi="David"/>
                <w:color w:val="000000" w:themeColor="text1"/>
                <w:sz w:val="26"/>
              </w:rPr>
              <w:t xml:space="preserve"> </w:t>
            </w:r>
            <w:r w:rsidRPr="007504FE">
              <w:rPr>
                <w:rFonts w:ascii="David" w:hAnsi="David"/>
                <w:color w:val="000000" w:themeColor="text1"/>
                <w:sz w:val="26"/>
                <w:rtl/>
              </w:rPr>
              <w:t xml:space="preserve">נוחות" – לרבות </w:t>
            </w:r>
            <w:r w:rsidRPr="007504FE">
              <w:rPr>
                <w:rFonts w:ascii="David" w:hAnsi="David"/>
                <w:color w:val="000000" w:themeColor="text1"/>
                <w:sz w:val="26"/>
              </w:rPr>
              <w:t xml:space="preserve"> </w:t>
            </w:r>
            <w:r w:rsidRPr="007504FE">
              <w:rPr>
                <w:rFonts w:ascii="David" w:hAnsi="David"/>
                <w:color w:val="000000" w:themeColor="text1"/>
                <w:sz w:val="26"/>
                <w:rtl/>
              </w:rPr>
              <w:t>כתוצאה</w:t>
            </w:r>
            <w:r w:rsidRPr="007504FE">
              <w:rPr>
                <w:rFonts w:ascii="David" w:hAnsi="David"/>
                <w:color w:val="000000" w:themeColor="text1"/>
                <w:sz w:val="26"/>
              </w:rPr>
              <w:t xml:space="preserve"> </w:t>
            </w:r>
            <w:r w:rsidRPr="007504FE">
              <w:rPr>
                <w:rFonts w:ascii="David" w:hAnsi="David"/>
                <w:color w:val="000000" w:themeColor="text1"/>
                <w:sz w:val="26"/>
                <w:rtl/>
              </w:rPr>
              <w:t>מחשיפה</w:t>
            </w:r>
            <w:r w:rsidRPr="007504FE">
              <w:rPr>
                <w:rFonts w:ascii="David" w:hAnsi="David"/>
                <w:color w:val="000000" w:themeColor="text1"/>
                <w:sz w:val="26"/>
              </w:rPr>
              <w:t xml:space="preserve"> </w:t>
            </w:r>
            <w:r w:rsidRPr="007504FE">
              <w:rPr>
                <w:rFonts w:ascii="David" w:hAnsi="David"/>
                <w:color w:val="000000" w:themeColor="text1"/>
                <w:sz w:val="26"/>
                <w:rtl/>
              </w:rPr>
              <w:t>לזיהום</w:t>
            </w:r>
            <w:r w:rsidRPr="007504FE">
              <w:rPr>
                <w:rFonts w:ascii="David" w:hAnsi="David"/>
                <w:color w:val="000000" w:themeColor="text1"/>
                <w:sz w:val="26"/>
              </w:rPr>
              <w:t xml:space="preserve"> </w:t>
            </w:r>
            <w:r w:rsidRPr="007504FE">
              <w:rPr>
                <w:rFonts w:ascii="David" w:hAnsi="David"/>
                <w:color w:val="000000" w:themeColor="text1"/>
                <w:sz w:val="26"/>
                <w:rtl/>
              </w:rPr>
              <w:t>אוויר</w:t>
            </w:r>
            <w:r w:rsidRPr="007504FE">
              <w:rPr>
                <w:rFonts w:ascii="David" w:hAnsi="David"/>
                <w:color w:val="000000" w:themeColor="text1"/>
                <w:sz w:val="26"/>
              </w:rPr>
              <w:t xml:space="preserve"> </w:t>
            </w:r>
            <w:r w:rsidRPr="007504FE">
              <w:rPr>
                <w:rFonts w:ascii="David" w:hAnsi="David"/>
                <w:color w:val="000000" w:themeColor="text1"/>
                <w:sz w:val="26"/>
                <w:rtl/>
              </w:rPr>
              <w:t>ממוצר</w:t>
            </w:r>
            <w:r w:rsidRPr="007504FE">
              <w:rPr>
                <w:rFonts w:ascii="David" w:hAnsi="David"/>
                <w:color w:val="000000" w:themeColor="text1"/>
                <w:sz w:val="26"/>
              </w:rPr>
              <w:t xml:space="preserve"> </w:t>
            </w:r>
            <w:r w:rsidRPr="007504FE">
              <w:rPr>
                <w:rFonts w:ascii="David" w:hAnsi="David"/>
                <w:color w:val="000000" w:themeColor="text1"/>
                <w:sz w:val="26"/>
                <w:rtl/>
              </w:rPr>
              <w:t>טבק;</w:t>
            </w:r>
          </w:p>
        </w:tc>
      </w:tr>
      <w:tr w:rsidR="007504FE" w:rsidRPr="007504FE" w14:paraId="6178EB94" w14:textId="77777777" w:rsidTr="001E3C22">
        <w:trPr>
          <w:cantSplit/>
        </w:trPr>
        <w:tc>
          <w:tcPr>
            <w:tcW w:w="1871" w:type="dxa"/>
          </w:tcPr>
          <w:p w14:paraId="5224CAB2" w14:textId="77777777" w:rsidR="007504FE" w:rsidRPr="007504FE" w:rsidRDefault="007504FE">
            <w:pPr>
              <w:pStyle w:val="TableSideHeading"/>
              <w:rPr>
                <w:rFonts w:ascii="David" w:hAnsi="David"/>
                <w:sz w:val="26"/>
              </w:rPr>
            </w:pPr>
          </w:p>
        </w:tc>
        <w:tc>
          <w:tcPr>
            <w:tcW w:w="624" w:type="dxa"/>
          </w:tcPr>
          <w:p w14:paraId="6880F769" w14:textId="77777777" w:rsidR="007504FE" w:rsidRPr="007504FE" w:rsidRDefault="007504FE">
            <w:pPr>
              <w:pStyle w:val="TableText"/>
              <w:rPr>
                <w:rFonts w:ascii="David" w:hAnsi="David"/>
                <w:sz w:val="26"/>
              </w:rPr>
            </w:pPr>
          </w:p>
        </w:tc>
        <w:tc>
          <w:tcPr>
            <w:tcW w:w="624" w:type="dxa"/>
          </w:tcPr>
          <w:p w14:paraId="36A074CD" w14:textId="77777777" w:rsidR="007504FE" w:rsidRPr="007504FE" w:rsidRDefault="007504FE">
            <w:pPr>
              <w:pStyle w:val="TableText"/>
              <w:rPr>
                <w:rFonts w:ascii="David" w:hAnsi="David"/>
                <w:sz w:val="26"/>
              </w:rPr>
            </w:pPr>
          </w:p>
        </w:tc>
        <w:tc>
          <w:tcPr>
            <w:tcW w:w="624" w:type="dxa"/>
          </w:tcPr>
          <w:p w14:paraId="44ADA767" w14:textId="77777777" w:rsidR="007504FE" w:rsidRPr="007504FE" w:rsidRDefault="007504FE">
            <w:pPr>
              <w:pStyle w:val="TableText"/>
              <w:rPr>
                <w:rFonts w:ascii="David" w:hAnsi="David"/>
                <w:sz w:val="26"/>
              </w:rPr>
            </w:pPr>
          </w:p>
        </w:tc>
        <w:tc>
          <w:tcPr>
            <w:tcW w:w="624" w:type="dxa"/>
          </w:tcPr>
          <w:p w14:paraId="54FBE678" w14:textId="77777777" w:rsidR="007504FE" w:rsidRPr="007504FE" w:rsidRDefault="007504FE">
            <w:pPr>
              <w:pStyle w:val="TableText"/>
              <w:rPr>
                <w:rFonts w:ascii="David" w:hAnsi="David"/>
                <w:sz w:val="26"/>
              </w:rPr>
            </w:pPr>
          </w:p>
        </w:tc>
        <w:tc>
          <w:tcPr>
            <w:tcW w:w="624" w:type="dxa"/>
          </w:tcPr>
          <w:p w14:paraId="5EC57171" w14:textId="77777777" w:rsidR="007504FE" w:rsidRPr="007504FE" w:rsidRDefault="007504FE">
            <w:pPr>
              <w:pStyle w:val="TableText"/>
              <w:rPr>
                <w:rFonts w:ascii="David" w:hAnsi="David"/>
                <w:sz w:val="26"/>
              </w:rPr>
            </w:pPr>
          </w:p>
        </w:tc>
        <w:tc>
          <w:tcPr>
            <w:tcW w:w="4647" w:type="dxa"/>
          </w:tcPr>
          <w:p w14:paraId="579DF2D0" w14:textId="240B3386" w:rsidR="007504FE" w:rsidRPr="007504FE" w:rsidRDefault="007504FE" w:rsidP="001E3C22">
            <w:pPr>
              <w:pStyle w:val="TableBlock"/>
              <w:tabs>
                <w:tab w:val="left" w:pos="624"/>
                <w:tab w:val="left" w:pos="1247"/>
              </w:tabs>
              <w:rPr>
                <w:rFonts w:ascii="David" w:hAnsi="David"/>
                <w:sz w:val="26"/>
                <w:rtl/>
              </w:rPr>
            </w:pPr>
            <w:r w:rsidRPr="007504FE">
              <w:rPr>
                <w:rFonts w:ascii="David" w:hAnsi="David"/>
                <w:color w:val="000000" w:themeColor="text1"/>
                <w:sz w:val="26"/>
                <w:rtl/>
              </w:rPr>
              <w:t>"נזק" – לרבות נזק</w:t>
            </w:r>
            <w:r w:rsidRPr="007504FE">
              <w:rPr>
                <w:rFonts w:ascii="David" w:hAnsi="David"/>
                <w:color w:val="000000" w:themeColor="text1"/>
                <w:sz w:val="26"/>
              </w:rPr>
              <w:t xml:space="preserve"> </w:t>
            </w:r>
            <w:r w:rsidRPr="007504FE">
              <w:rPr>
                <w:rFonts w:ascii="David" w:hAnsi="David"/>
                <w:color w:val="000000" w:themeColor="text1"/>
                <w:sz w:val="26"/>
                <w:rtl/>
              </w:rPr>
              <w:t>שטרם</w:t>
            </w:r>
            <w:r w:rsidRPr="007504FE">
              <w:rPr>
                <w:rFonts w:ascii="David" w:hAnsi="David"/>
                <w:color w:val="000000" w:themeColor="text1"/>
                <w:sz w:val="26"/>
              </w:rPr>
              <w:t xml:space="preserve"> </w:t>
            </w:r>
            <w:r w:rsidRPr="007504FE">
              <w:rPr>
                <w:rFonts w:ascii="David" w:hAnsi="David"/>
                <w:color w:val="000000" w:themeColor="text1"/>
                <w:sz w:val="26"/>
                <w:rtl/>
              </w:rPr>
              <w:t>התגבש</w:t>
            </w:r>
            <w:r w:rsidRPr="007504FE">
              <w:rPr>
                <w:rFonts w:ascii="David" w:hAnsi="David"/>
                <w:color w:val="000000" w:themeColor="text1"/>
                <w:sz w:val="26"/>
              </w:rPr>
              <w:t xml:space="preserve"> </w:t>
            </w:r>
            <w:r w:rsidRPr="007504FE">
              <w:rPr>
                <w:rFonts w:ascii="David" w:hAnsi="David"/>
                <w:color w:val="000000" w:themeColor="text1"/>
                <w:sz w:val="26"/>
                <w:rtl/>
              </w:rPr>
              <w:t>או</w:t>
            </w:r>
            <w:r w:rsidRPr="007504FE">
              <w:rPr>
                <w:rFonts w:ascii="David" w:hAnsi="David"/>
                <w:color w:val="000000" w:themeColor="text1"/>
                <w:sz w:val="26"/>
              </w:rPr>
              <w:t xml:space="preserve"> </w:t>
            </w:r>
            <w:r w:rsidRPr="007504FE">
              <w:rPr>
                <w:rFonts w:ascii="David" w:hAnsi="David"/>
                <w:color w:val="000000" w:themeColor="text1"/>
                <w:sz w:val="26"/>
                <w:rtl/>
              </w:rPr>
              <w:t>שעדיין</w:t>
            </w:r>
            <w:r w:rsidRPr="007504FE">
              <w:rPr>
                <w:rFonts w:ascii="David" w:hAnsi="David"/>
                <w:color w:val="000000" w:themeColor="text1"/>
                <w:sz w:val="26"/>
              </w:rPr>
              <w:t xml:space="preserve"> </w:t>
            </w:r>
            <w:r w:rsidRPr="007504FE">
              <w:rPr>
                <w:rFonts w:ascii="David" w:hAnsi="David"/>
                <w:color w:val="000000" w:themeColor="text1"/>
                <w:sz w:val="26"/>
                <w:rtl/>
              </w:rPr>
              <w:t>אינו</w:t>
            </w:r>
            <w:r w:rsidRPr="007504FE">
              <w:rPr>
                <w:rFonts w:ascii="David" w:hAnsi="David"/>
                <w:color w:val="000000" w:themeColor="text1"/>
                <w:sz w:val="26"/>
              </w:rPr>
              <w:t xml:space="preserve"> </w:t>
            </w:r>
            <w:r>
              <w:rPr>
                <w:rFonts w:ascii="David" w:hAnsi="David"/>
                <w:color w:val="000000" w:themeColor="text1"/>
                <w:sz w:val="26"/>
              </w:rPr>
              <w:tab/>
            </w:r>
            <w:r w:rsidRPr="007504FE">
              <w:rPr>
                <w:rFonts w:ascii="David" w:hAnsi="David"/>
                <w:color w:val="000000" w:themeColor="text1"/>
                <w:sz w:val="26"/>
                <w:rtl/>
              </w:rPr>
              <w:t>ניתן</w:t>
            </w:r>
            <w:r w:rsidRPr="007504FE">
              <w:rPr>
                <w:rFonts w:ascii="David" w:hAnsi="David"/>
                <w:color w:val="000000" w:themeColor="text1"/>
                <w:sz w:val="26"/>
              </w:rPr>
              <w:t xml:space="preserve"> </w:t>
            </w:r>
            <w:r w:rsidRPr="007504FE">
              <w:rPr>
                <w:rFonts w:ascii="David" w:hAnsi="David"/>
                <w:color w:val="000000" w:themeColor="text1"/>
                <w:sz w:val="26"/>
                <w:rtl/>
              </w:rPr>
              <w:t>למדידה</w:t>
            </w:r>
            <w:r w:rsidRPr="007504FE">
              <w:rPr>
                <w:rFonts w:ascii="David" w:hAnsi="David"/>
                <w:color w:val="000000" w:themeColor="text1"/>
                <w:sz w:val="26"/>
              </w:rPr>
              <w:t xml:space="preserve"> </w:t>
            </w:r>
            <w:r w:rsidRPr="007504FE">
              <w:rPr>
                <w:rFonts w:ascii="David" w:hAnsi="David"/>
                <w:color w:val="000000" w:themeColor="text1"/>
                <w:sz w:val="26"/>
                <w:rtl/>
              </w:rPr>
              <w:t>או</w:t>
            </w:r>
            <w:r w:rsidRPr="007504FE">
              <w:rPr>
                <w:rFonts w:ascii="David" w:hAnsi="David"/>
                <w:color w:val="000000" w:themeColor="text1"/>
                <w:sz w:val="26"/>
              </w:rPr>
              <w:t xml:space="preserve"> </w:t>
            </w:r>
            <w:r w:rsidRPr="007504FE">
              <w:rPr>
                <w:rFonts w:ascii="David" w:hAnsi="David"/>
                <w:color w:val="000000" w:themeColor="text1"/>
                <w:sz w:val="26"/>
                <w:rtl/>
              </w:rPr>
              <w:t>לכימות."</w:t>
            </w:r>
          </w:p>
        </w:tc>
      </w:tr>
      <w:tr w:rsidR="00C23F46" w:rsidRPr="007504FE" w14:paraId="71208ECD" w14:textId="77777777" w:rsidTr="001E3C22">
        <w:trPr>
          <w:cantSplit/>
        </w:trPr>
        <w:tc>
          <w:tcPr>
            <w:tcW w:w="1871" w:type="dxa"/>
          </w:tcPr>
          <w:p w14:paraId="04A210E1" w14:textId="77777777" w:rsidR="00C23F46" w:rsidRPr="007504FE" w:rsidRDefault="00C23F46" w:rsidP="00431C6A">
            <w:pPr>
              <w:pStyle w:val="TableSideHeading"/>
              <w:keepLines w:val="0"/>
              <w:rPr>
                <w:rFonts w:ascii="David" w:hAnsi="David"/>
                <w:color w:val="000000" w:themeColor="text1"/>
                <w:sz w:val="26"/>
                <w:rtl/>
              </w:rPr>
            </w:pPr>
            <w:bookmarkStart w:id="16" w:name="_Toc102480779"/>
            <w:bookmarkStart w:id="17" w:name="_Toc102480785"/>
            <w:r w:rsidRPr="007504FE">
              <w:rPr>
                <w:rFonts w:ascii="David" w:hAnsi="David"/>
                <w:color w:val="000000" w:themeColor="text1"/>
                <w:sz w:val="26"/>
                <w:rtl/>
              </w:rPr>
              <w:t>תיקון התוספת הראשונה</w:t>
            </w:r>
            <w:bookmarkEnd w:id="16"/>
            <w:bookmarkEnd w:id="17"/>
          </w:p>
        </w:tc>
        <w:tc>
          <w:tcPr>
            <w:tcW w:w="624" w:type="dxa"/>
          </w:tcPr>
          <w:p w14:paraId="586E3538" w14:textId="77777777" w:rsidR="00C23F46" w:rsidRPr="007504FE" w:rsidRDefault="00C23F46" w:rsidP="00431C6A">
            <w:pPr>
              <w:pStyle w:val="TableText"/>
              <w:keepLines w:val="0"/>
              <w:rPr>
                <w:rFonts w:ascii="David" w:hAnsi="David"/>
                <w:color w:val="000000" w:themeColor="text1"/>
                <w:sz w:val="26"/>
              </w:rPr>
            </w:pPr>
            <w:r w:rsidRPr="007504FE">
              <w:rPr>
                <w:rFonts w:ascii="David" w:hAnsi="David"/>
                <w:color w:val="000000" w:themeColor="text1"/>
                <w:sz w:val="26"/>
                <w:rtl/>
              </w:rPr>
              <w:t>2.</w:t>
            </w:r>
          </w:p>
        </w:tc>
        <w:tc>
          <w:tcPr>
            <w:tcW w:w="7143" w:type="dxa"/>
            <w:gridSpan w:val="5"/>
          </w:tcPr>
          <w:p w14:paraId="16FC8900" w14:textId="7B4A1F06" w:rsidR="00C23F46" w:rsidRPr="007504FE" w:rsidRDefault="00C23F46" w:rsidP="001E3C22">
            <w:pPr>
              <w:pStyle w:val="TableBlock"/>
              <w:tabs>
                <w:tab w:val="left" w:pos="624"/>
                <w:tab w:val="left" w:pos="1247"/>
              </w:tabs>
              <w:rPr>
                <w:rFonts w:ascii="David" w:hAnsi="David"/>
                <w:color w:val="000000" w:themeColor="text1"/>
                <w:sz w:val="26"/>
              </w:rPr>
            </w:pPr>
            <w:r w:rsidRPr="007504FE">
              <w:rPr>
                <w:rFonts w:ascii="David" w:hAnsi="David"/>
                <w:color w:val="000000" w:themeColor="text1"/>
                <w:sz w:val="26"/>
                <w:rtl/>
              </w:rPr>
              <w:t xml:space="preserve">בתוספת הראשונה לחוק העיקרי, אחרי </w:t>
            </w:r>
            <w:r w:rsidR="00E3719A">
              <w:rPr>
                <w:rFonts w:ascii="David" w:hAnsi="David" w:hint="cs"/>
                <w:color w:val="000000" w:themeColor="text1"/>
                <w:sz w:val="26"/>
                <w:rtl/>
              </w:rPr>
              <w:t>פרט</w:t>
            </w:r>
            <w:r w:rsidRPr="007504FE">
              <w:rPr>
                <w:rFonts w:ascii="David" w:hAnsi="David"/>
                <w:color w:val="000000" w:themeColor="text1"/>
                <w:sz w:val="26"/>
                <w:rtl/>
              </w:rPr>
              <w:t xml:space="preserve"> 16 יבוא:</w:t>
            </w:r>
          </w:p>
        </w:tc>
      </w:tr>
      <w:tr w:rsidR="00C23F46" w:rsidRPr="007504FE" w14:paraId="2F6B9A30" w14:textId="77777777" w:rsidTr="001E3C22">
        <w:trPr>
          <w:cantSplit/>
        </w:trPr>
        <w:tc>
          <w:tcPr>
            <w:tcW w:w="1871" w:type="dxa"/>
          </w:tcPr>
          <w:p w14:paraId="09134B75" w14:textId="77777777" w:rsidR="00C23F46" w:rsidRPr="007504FE" w:rsidRDefault="00C23F46" w:rsidP="00431C6A">
            <w:pPr>
              <w:pStyle w:val="TableSideHeading"/>
              <w:keepLines w:val="0"/>
              <w:rPr>
                <w:rFonts w:ascii="David" w:hAnsi="David"/>
                <w:color w:val="000000" w:themeColor="text1"/>
                <w:sz w:val="26"/>
              </w:rPr>
            </w:pPr>
          </w:p>
        </w:tc>
        <w:tc>
          <w:tcPr>
            <w:tcW w:w="624" w:type="dxa"/>
          </w:tcPr>
          <w:p w14:paraId="44427A15" w14:textId="77777777" w:rsidR="00C23F46" w:rsidRPr="007504FE" w:rsidRDefault="00C23F46" w:rsidP="00431C6A">
            <w:pPr>
              <w:pStyle w:val="TableText"/>
              <w:keepLines w:val="0"/>
              <w:rPr>
                <w:rFonts w:ascii="David" w:hAnsi="David"/>
                <w:color w:val="000000" w:themeColor="text1"/>
                <w:sz w:val="26"/>
              </w:rPr>
            </w:pPr>
          </w:p>
        </w:tc>
        <w:tc>
          <w:tcPr>
            <w:tcW w:w="1872" w:type="dxa"/>
            <w:gridSpan w:val="3"/>
          </w:tcPr>
          <w:p w14:paraId="45524268" w14:textId="11AE5115" w:rsidR="00C23F46" w:rsidRPr="007504FE" w:rsidRDefault="00C23F46" w:rsidP="00E3719A">
            <w:pPr>
              <w:pStyle w:val="TableInnerSideHeading"/>
              <w:rPr>
                <w:rFonts w:ascii="David" w:hAnsi="David"/>
                <w:color w:val="000000" w:themeColor="text1"/>
                <w:sz w:val="26"/>
              </w:rPr>
            </w:pPr>
            <w:r w:rsidRPr="007504FE">
              <w:rPr>
                <w:rFonts w:ascii="David" w:hAnsi="David"/>
                <w:color w:val="000000" w:themeColor="text1"/>
                <w:sz w:val="26"/>
                <w:rtl/>
              </w:rPr>
              <w:t>"</w:t>
            </w:r>
            <w:r w:rsidR="00E3719A">
              <w:rPr>
                <w:rFonts w:ascii="David" w:hAnsi="David" w:hint="cs"/>
                <w:color w:val="000000" w:themeColor="text1"/>
                <w:sz w:val="26"/>
                <w:rtl/>
              </w:rPr>
              <w:t>הגבלת</w:t>
            </w:r>
            <w:r w:rsidRPr="007504FE">
              <w:rPr>
                <w:rFonts w:ascii="David" w:hAnsi="David"/>
                <w:color w:val="000000" w:themeColor="text1"/>
                <w:sz w:val="26"/>
                <w:rtl/>
              </w:rPr>
              <w:t xml:space="preserve"> עישון בבית משותף</w:t>
            </w:r>
          </w:p>
        </w:tc>
        <w:tc>
          <w:tcPr>
            <w:tcW w:w="624" w:type="dxa"/>
          </w:tcPr>
          <w:p w14:paraId="7FCA7442" w14:textId="77777777" w:rsidR="00C23F46" w:rsidRPr="007504FE" w:rsidRDefault="00C23F46" w:rsidP="00431C6A">
            <w:pPr>
              <w:pStyle w:val="TableText"/>
              <w:rPr>
                <w:rFonts w:ascii="David" w:hAnsi="David"/>
                <w:color w:val="000000" w:themeColor="text1"/>
                <w:sz w:val="26"/>
              </w:rPr>
            </w:pPr>
            <w:r w:rsidRPr="007504FE">
              <w:rPr>
                <w:rFonts w:ascii="David" w:hAnsi="David"/>
                <w:color w:val="000000" w:themeColor="text1"/>
                <w:sz w:val="26"/>
                <w:rtl/>
              </w:rPr>
              <w:t>17.</w:t>
            </w:r>
          </w:p>
        </w:tc>
        <w:tc>
          <w:tcPr>
            <w:tcW w:w="4647" w:type="dxa"/>
          </w:tcPr>
          <w:p w14:paraId="14DAF812" w14:textId="270CECC6" w:rsidR="00C23F46" w:rsidRPr="007504FE" w:rsidRDefault="00C23F46" w:rsidP="001E3C22">
            <w:pPr>
              <w:pStyle w:val="TableBlock"/>
              <w:rPr>
                <w:rFonts w:ascii="David" w:hAnsi="David"/>
                <w:color w:val="000000" w:themeColor="text1"/>
                <w:sz w:val="26"/>
              </w:rPr>
            </w:pPr>
            <w:r w:rsidRPr="007504FE">
              <w:rPr>
                <w:rFonts w:ascii="David" w:hAnsi="David"/>
                <w:color w:val="000000" w:themeColor="text1"/>
                <w:sz w:val="26"/>
                <w:rtl/>
              </w:rPr>
              <w:t>לא יפר בעל דירה את האיסור הקבוע בסעיף 59</w:t>
            </w:r>
            <w:r w:rsidR="007504FE" w:rsidRPr="007504FE">
              <w:rPr>
                <w:rFonts w:ascii="David" w:hAnsi="David"/>
                <w:color w:val="000000" w:themeColor="text1"/>
                <w:sz w:val="26"/>
                <w:rtl/>
              </w:rPr>
              <w:t>כ</w:t>
            </w:r>
            <w:r w:rsidRPr="007504FE">
              <w:rPr>
                <w:rFonts w:ascii="David" w:hAnsi="David"/>
                <w:color w:val="000000" w:themeColor="text1"/>
                <w:sz w:val="26"/>
                <w:rtl/>
              </w:rPr>
              <w:t>."</w:t>
            </w:r>
          </w:p>
        </w:tc>
      </w:tr>
    </w:tbl>
    <w:p w14:paraId="7F6961CA" w14:textId="77777777" w:rsidR="002D1EE3" w:rsidRDefault="002D1EE3" w:rsidP="002D1EE3">
      <w:pPr>
        <w:pStyle w:val="HeadDivreiHesber"/>
        <w:rPr>
          <w:rtl/>
        </w:rPr>
      </w:pPr>
      <w:bookmarkStart w:id="18" w:name="_Toc102480780"/>
      <w:bookmarkStart w:id="19" w:name="_Toc102480786"/>
      <w:r w:rsidRPr="0027450A">
        <w:rPr>
          <w:rFonts w:hint="cs"/>
          <w:rtl/>
        </w:rPr>
        <w:t>דברי הסבר</w:t>
      </w:r>
      <w:bookmarkEnd w:id="18"/>
      <w:bookmarkEnd w:id="19"/>
    </w:p>
    <w:p w14:paraId="5414D774" w14:textId="77777777" w:rsidR="00C23F46" w:rsidRPr="00C20B3E" w:rsidRDefault="00C23F46" w:rsidP="005629C5">
      <w:pPr>
        <w:pStyle w:val="Hesber"/>
      </w:pPr>
      <w:r w:rsidRPr="00C20B3E">
        <w:rPr>
          <w:rFonts w:hint="cs"/>
          <w:rtl/>
        </w:rPr>
        <w:t>ישראל</w:t>
      </w:r>
      <w:r w:rsidRPr="00C20B3E">
        <w:rPr>
          <w:rFonts w:hint="cs"/>
        </w:rPr>
        <w:t xml:space="preserve"> </w:t>
      </w:r>
      <w:r w:rsidRPr="00C20B3E">
        <w:rPr>
          <w:rFonts w:hint="cs"/>
          <w:rtl/>
        </w:rPr>
        <w:t>אשררה</w:t>
      </w:r>
      <w:r w:rsidRPr="00C20B3E">
        <w:rPr>
          <w:rFonts w:hint="cs"/>
        </w:rPr>
        <w:t xml:space="preserve"> </w:t>
      </w:r>
      <w:r w:rsidRPr="00C20B3E">
        <w:rPr>
          <w:rFonts w:hint="cs"/>
          <w:rtl/>
        </w:rPr>
        <w:t>בשנת 2005 את</w:t>
      </w:r>
      <w:r w:rsidRPr="00C20B3E">
        <w:rPr>
          <w:rFonts w:hint="cs"/>
        </w:rPr>
        <w:t xml:space="preserve"> </w:t>
      </w:r>
      <w:r w:rsidRPr="00C20B3E">
        <w:rPr>
          <w:rFonts w:hint="cs"/>
          <w:rtl/>
        </w:rPr>
        <w:t>האמנה</w:t>
      </w:r>
      <w:r w:rsidRPr="00C20B3E">
        <w:rPr>
          <w:rFonts w:hint="cs"/>
        </w:rPr>
        <w:t xml:space="preserve"> </w:t>
      </w:r>
      <w:r w:rsidRPr="005629C5">
        <w:rPr>
          <w:rFonts w:hint="cs"/>
          <w:rtl/>
        </w:rPr>
        <w:t>ה</w:t>
      </w:r>
      <w:bookmarkStart w:id="20" w:name="_GoBack"/>
      <w:bookmarkEnd w:id="20"/>
      <w:r w:rsidRPr="005629C5">
        <w:rPr>
          <w:rFonts w:hint="cs"/>
          <w:rtl/>
        </w:rPr>
        <w:t>בין</w:t>
      </w:r>
      <w:r w:rsidRPr="00C20B3E">
        <w:rPr>
          <w:rFonts w:hint="cs"/>
          <w:rtl/>
        </w:rPr>
        <w:t>-לאומית</w:t>
      </w:r>
      <w:r w:rsidRPr="00C20B3E">
        <w:rPr>
          <w:rFonts w:hint="cs"/>
        </w:rPr>
        <w:t xml:space="preserve"> </w:t>
      </w:r>
      <w:r w:rsidRPr="00C20B3E">
        <w:rPr>
          <w:rFonts w:hint="cs"/>
          <w:rtl/>
        </w:rPr>
        <w:t>למניעת</w:t>
      </w:r>
      <w:r w:rsidRPr="00C20B3E">
        <w:rPr>
          <w:rFonts w:hint="cs"/>
        </w:rPr>
        <w:t xml:space="preserve"> </w:t>
      </w:r>
      <w:r w:rsidRPr="00C20B3E">
        <w:rPr>
          <w:rFonts w:hint="cs"/>
          <w:rtl/>
        </w:rPr>
        <w:t>עישון ובה</w:t>
      </w:r>
      <w:r w:rsidRPr="00C20B3E">
        <w:rPr>
          <w:rFonts w:hint="cs"/>
        </w:rPr>
        <w:t xml:space="preserve"> </w:t>
      </w:r>
      <w:r w:rsidRPr="00C20B3E">
        <w:rPr>
          <w:rFonts w:hint="cs"/>
          <w:rtl/>
        </w:rPr>
        <w:t>הצהירה</w:t>
      </w:r>
      <w:r w:rsidRPr="00C20B3E">
        <w:rPr>
          <w:rFonts w:hint="cs"/>
        </w:rPr>
        <w:t xml:space="preserve"> </w:t>
      </w:r>
      <w:r w:rsidRPr="00C20B3E">
        <w:rPr>
          <w:rFonts w:hint="cs"/>
          <w:rtl/>
        </w:rPr>
        <w:t>על</w:t>
      </w:r>
      <w:r w:rsidRPr="00C20B3E">
        <w:rPr>
          <w:rFonts w:hint="cs"/>
        </w:rPr>
        <w:t xml:space="preserve"> </w:t>
      </w:r>
      <w:r w:rsidRPr="00C20B3E">
        <w:rPr>
          <w:rFonts w:hint="cs"/>
          <w:rtl/>
        </w:rPr>
        <w:t>עמדתה</w:t>
      </w:r>
      <w:r w:rsidRPr="00C20B3E">
        <w:rPr>
          <w:rFonts w:hint="cs"/>
        </w:rPr>
        <w:t xml:space="preserve"> </w:t>
      </w:r>
      <w:r w:rsidRPr="00C20B3E">
        <w:rPr>
          <w:rFonts w:hint="cs"/>
          <w:rtl/>
        </w:rPr>
        <w:t>כי</w:t>
      </w:r>
      <w:r w:rsidRPr="00C20B3E">
        <w:rPr>
          <w:rFonts w:hint="cs"/>
        </w:rPr>
        <w:t xml:space="preserve"> </w:t>
      </w:r>
      <w:r w:rsidRPr="00C20B3E">
        <w:rPr>
          <w:rFonts w:hint="cs"/>
          <w:rtl/>
        </w:rPr>
        <w:t>החשיפה</w:t>
      </w:r>
      <w:r w:rsidRPr="00C20B3E">
        <w:rPr>
          <w:rFonts w:hint="cs"/>
        </w:rPr>
        <w:t xml:space="preserve"> </w:t>
      </w:r>
      <w:r w:rsidRPr="00C20B3E">
        <w:rPr>
          <w:rFonts w:hint="cs"/>
          <w:rtl/>
        </w:rPr>
        <w:t>לעישון במקומות ציבוריים</w:t>
      </w:r>
      <w:r w:rsidRPr="00C20B3E">
        <w:rPr>
          <w:rFonts w:hint="cs"/>
        </w:rPr>
        <w:t xml:space="preserve"> </w:t>
      </w:r>
      <w:r w:rsidRPr="00C20B3E">
        <w:rPr>
          <w:rFonts w:hint="cs"/>
          <w:rtl/>
        </w:rPr>
        <w:t>גורמת</w:t>
      </w:r>
      <w:r w:rsidRPr="00C20B3E">
        <w:rPr>
          <w:rFonts w:hint="cs"/>
        </w:rPr>
        <w:t xml:space="preserve"> </w:t>
      </w:r>
      <w:r w:rsidRPr="00C20B3E">
        <w:rPr>
          <w:rFonts w:hint="cs"/>
          <w:rtl/>
        </w:rPr>
        <w:t>לתחלואה, נכות</w:t>
      </w:r>
      <w:r w:rsidRPr="00C20B3E">
        <w:rPr>
          <w:rFonts w:hint="cs"/>
        </w:rPr>
        <w:t xml:space="preserve"> </w:t>
      </w:r>
      <w:r w:rsidRPr="00C20B3E">
        <w:rPr>
          <w:rFonts w:hint="cs"/>
          <w:rtl/>
        </w:rPr>
        <w:t xml:space="preserve">ומוות, ואף לאדם הנחשף שלא מרצונו לעישון של שכנו במרחב הפרטי שלו. הן האמנה והן בתי המשפט בפסיקותיהם חוזרים ומדגישים את הזכות הבסיסית לנשום אוויר הנקי מרעלי הסיגריות, זכות שכאמור איננה מתממשת כיום עבור אדם בדירתו כאשר שכנים מעשנים בחלל הסגור המשותף. </w:t>
      </w:r>
    </w:p>
    <w:p w14:paraId="3E9A51E3" w14:textId="77777777" w:rsidR="00C23F46" w:rsidRPr="00C20B3E" w:rsidRDefault="00C23F46" w:rsidP="00C20B3E">
      <w:pPr>
        <w:pStyle w:val="Hesber"/>
      </w:pPr>
      <w:r w:rsidRPr="00C20B3E">
        <w:rPr>
          <w:rFonts w:hint="cs"/>
          <w:rtl/>
        </w:rPr>
        <w:t>נוסף על התחלואות המתגלות בשלבי חיים מאוחרים יותר, העישון עלול לגרום לסבל מיידי לנחשפים עליו בצורת כאבי</w:t>
      </w:r>
      <w:r w:rsidRPr="00C20B3E">
        <w:rPr>
          <w:rFonts w:hint="cs"/>
        </w:rPr>
        <w:t xml:space="preserve"> </w:t>
      </w:r>
      <w:r w:rsidRPr="00C20B3E">
        <w:rPr>
          <w:rFonts w:hint="cs"/>
          <w:rtl/>
        </w:rPr>
        <w:t>ראש, קשיי</w:t>
      </w:r>
      <w:r w:rsidRPr="00C20B3E">
        <w:rPr>
          <w:rFonts w:hint="cs"/>
        </w:rPr>
        <w:t xml:space="preserve"> </w:t>
      </w:r>
      <w:r w:rsidRPr="00C20B3E">
        <w:rPr>
          <w:rFonts w:hint="cs"/>
          <w:rtl/>
        </w:rPr>
        <w:t>נשימה וסחרחורת. באנשים</w:t>
      </w:r>
      <w:r w:rsidRPr="00C20B3E">
        <w:rPr>
          <w:rFonts w:hint="cs"/>
        </w:rPr>
        <w:t xml:space="preserve"> </w:t>
      </w:r>
      <w:r w:rsidRPr="00C20B3E">
        <w:rPr>
          <w:rFonts w:hint="cs"/>
          <w:rtl/>
        </w:rPr>
        <w:t>רגישים</w:t>
      </w:r>
      <w:r w:rsidRPr="00C20B3E">
        <w:rPr>
          <w:rFonts w:hint="cs"/>
        </w:rPr>
        <w:t xml:space="preserve"> </w:t>
      </w:r>
      <w:r w:rsidRPr="00C20B3E">
        <w:rPr>
          <w:rFonts w:hint="cs"/>
          <w:rtl/>
        </w:rPr>
        <w:t>כגון</w:t>
      </w:r>
      <w:r w:rsidRPr="00C20B3E">
        <w:rPr>
          <w:rFonts w:hint="cs"/>
        </w:rPr>
        <w:t xml:space="preserve"> </w:t>
      </w:r>
      <w:r w:rsidRPr="00C20B3E">
        <w:rPr>
          <w:rFonts w:hint="cs"/>
          <w:rtl/>
        </w:rPr>
        <w:t>חולי</w:t>
      </w:r>
      <w:r w:rsidRPr="00C20B3E">
        <w:rPr>
          <w:rFonts w:hint="cs"/>
        </w:rPr>
        <w:t xml:space="preserve"> </w:t>
      </w:r>
      <w:r w:rsidRPr="00C20B3E">
        <w:rPr>
          <w:rFonts w:hint="cs"/>
          <w:rtl/>
        </w:rPr>
        <w:t>אסתמה</w:t>
      </w:r>
      <w:r w:rsidRPr="00C20B3E">
        <w:rPr>
          <w:rFonts w:hint="cs"/>
        </w:rPr>
        <w:t xml:space="preserve"> </w:t>
      </w:r>
      <w:r w:rsidRPr="00C20B3E">
        <w:rPr>
          <w:rFonts w:hint="cs"/>
          <w:rtl/>
        </w:rPr>
        <w:t>או</w:t>
      </w:r>
      <w:r w:rsidRPr="00C20B3E">
        <w:rPr>
          <w:rFonts w:hint="cs"/>
        </w:rPr>
        <w:t xml:space="preserve"> </w:t>
      </w:r>
      <w:r w:rsidRPr="00C20B3E">
        <w:rPr>
          <w:rFonts w:hint="cs"/>
          <w:rtl/>
        </w:rPr>
        <w:t>אנשים בעלי אלרגיות החשיפה לעישון יכולה להביא לנזק מיידי ואף לתמותה</w:t>
      </w:r>
      <w:r w:rsidRPr="00C20B3E">
        <w:rPr>
          <w:rFonts w:hint="cs"/>
        </w:rPr>
        <w:t>.</w:t>
      </w:r>
    </w:p>
    <w:p w14:paraId="414435A6" w14:textId="4D150715" w:rsidR="00C23F46" w:rsidRPr="00C20B3E" w:rsidRDefault="00C23F46" w:rsidP="00C20B3E">
      <w:pPr>
        <w:pStyle w:val="Hesber"/>
        <w:rPr>
          <w:rtl/>
        </w:rPr>
      </w:pPr>
      <w:r w:rsidRPr="00C20B3E">
        <w:rPr>
          <w:rFonts w:hint="cs"/>
          <w:rtl/>
        </w:rPr>
        <w:t>מטרתה</w:t>
      </w:r>
      <w:r w:rsidRPr="00C20B3E">
        <w:rPr>
          <w:rFonts w:hint="cs"/>
        </w:rPr>
        <w:t xml:space="preserve"> </w:t>
      </w:r>
      <w:r w:rsidRPr="00C20B3E">
        <w:rPr>
          <w:rFonts w:hint="cs"/>
          <w:rtl/>
        </w:rPr>
        <w:t>של</w:t>
      </w:r>
      <w:r w:rsidRPr="00C20B3E">
        <w:rPr>
          <w:rFonts w:hint="cs"/>
        </w:rPr>
        <w:t xml:space="preserve"> </w:t>
      </w:r>
      <w:r w:rsidRPr="00C20B3E">
        <w:rPr>
          <w:rFonts w:hint="cs"/>
          <w:rtl/>
        </w:rPr>
        <w:t>הצעת</w:t>
      </w:r>
      <w:r w:rsidRPr="00C20B3E">
        <w:rPr>
          <w:rFonts w:hint="cs"/>
        </w:rPr>
        <w:t xml:space="preserve"> </w:t>
      </w:r>
      <w:r w:rsidRPr="00C20B3E">
        <w:rPr>
          <w:rFonts w:hint="cs"/>
          <w:rtl/>
        </w:rPr>
        <w:t>חוק</w:t>
      </w:r>
      <w:r w:rsidRPr="00C20B3E">
        <w:rPr>
          <w:rFonts w:hint="cs"/>
        </w:rPr>
        <w:t xml:space="preserve"> </w:t>
      </w:r>
      <w:r w:rsidRPr="00C20B3E">
        <w:rPr>
          <w:rFonts w:hint="cs"/>
          <w:rtl/>
        </w:rPr>
        <w:t>זו</w:t>
      </w:r>
      <w:r w:rsidRPr="00C20B3E">
        <w:rPr>
          <w:rFonts w:hint="cs"/>
        </w:rPr>
        <w:t xml:space="preserve"> </w:t>
      </w:r>
      <w:r w:rsidRPr="00C20B3E">
        <w:rPr>
          <w:rFonts w:hint="cs"/>
          <w:rtl/>
        </w:rPr>
        <w:t>היא</w:t>
      </w:r>
      <w:r w:rsidRPr="00C20B3E">
        <w:rPr>
          <w:rFonts w:hint="cs"/>
        </w:rPr>
        <w:t xml:space="preserve"> </w:t>
      </w:r>
      <w:r w:rsidRPr="00C20B3E">
        <w:rPr>
          <w:rFonts w:hint="cs"/>
          <w:rtl/>
        </w:rPr>
        <w:t>למנוע</w:t>
      </w:r>
      <w:r w:rsidRPr="00C20B3E">
        <w:rPr>
          <w:rFonts w:hint="cs"/>
        </w:rPr>
        <w:t xml:space="preserve"> </w:t>
      </w:r>
      <w:r w:rsidRPr="00C20B3E">
        <w:rPr>
          <w:rFonts w:hint="cs"/>
          <w:rtl/>
        </w:rPr>
        <w:t>תחלואה</w:t>
      </w:r>
      <w:r w:rsidRPr="00C20B3E">
        <w:rPr>
          <w:rFonts w:hint="cs"/>
        </w:rPr>
        <w:t xml:space="preserve"> </w:t>
      </w:r>
      <w:r w:rsidRPr="00C20B3E">
        <w:rPr>
          <w:rFonts w:hint="cs"/>
          <w:rtl/>
        </w:rPr>
        <w:t>זו</w:t>
      </w:r>
      <w:r w:rsidRPr="00C20B3E">
        <w:rPr>
          <w:rFonts w:hint="cs"/>
        </w:rPr>
        <w:t xml:space="preserve"> </w:t>
      </w:r>
      <w:r w:rsidR="00E3719A">
        <w:rPr>
          <w:rFonts w:hint="cs"/>
          <w:rtl/>
        </w:rPr>
        <w:t>מ</w:t>
      </w:r>
      <w:r w:rsidRPr="00C20B3E">
        <w:rPr>
          <w:rFonts w:hint="cs"/>
          <w:rtl/>
        </w:rPr>
        <w:t>כל</w:t>
      </w:r>
      <w:r w:rsidRPr="00C20B3E">
        <w:rPr>
          <w:rFonts w:hint="cs"/>
        </w:rPr>
        <w:t xml:space="preserve"> </w:t>
      </w:r>
      <w:r w:rsidRPr="00C20B3E">
        <w:rPr>
          <w:rFonts w:hint="cs"/>
          <w:rtl/>
        </w:rPr>
        <w:t>המתגוררים</w:t>
      </w:r>
      <w:r w:rsidRPr="00C20B3E">
        <w:rPr>
          <w:rFonts w:hint="cs"/>
        </w:rPr>
        <w:t xml:space="preserve"> </w:t>
      </w:r>
      <w:r w:rsidRPr="00C20B3E">
        <w:rPr>
          <w:rFonts w:hint="cs"/>
          <w:rtl/>
        </w:rPr>
        <w:t>בבית</w:t>
      </w:r>
      <w:r w:rsidRPr="00C20B3E">
        <w:rPr>
          <w:rFonts w:hint="cs"/>
        </w:rPr>
        <w:t xml:space="preserve"> </w:t>
      </w:r>
      <w:r w:rsidRPr="00C20B3E">
        <w:rPr>
          <w:rFonts w:hint="cs"/>
          <w:rtl/>
        </w:rPr>
        <w:t xml:space="preserve">משותף, ואף למנוע את אי הנוחות הנגרמת בין שכנים כאשר אחד סובל והשני לא, בדומה לאסדרה שנעשתה בתחנות האוטובוס. </w:t>
      </w:r>
    </w:p>
    <w:p w14:paraId="70CB0661" w14:textId="77777777" w:rsidR="00C23F46" w:rsidRPr="00C20B3E" w:rsidRDefault="00C23F46" w:rsidP="00C20B3E">
      <w:pPr>
        <w:pStyle w:val="Hesber"/>
        <w:rPr>
          <w:rtl/>
        </w:rPr>
      </w:pPr>
      <w:r w:rsidRPr="00C20B3E">
        <w:rPr>
          <w:rFonts w:hint="cs"/>
          <w:rtl/>
        </w:rPr>
        <w:t>כיוון שמדובר במטרד המתקיים ברשות הפרט, ולא ברשות הציבורית, מוצע לתקן דווקא את הפרק העוסק בדירות בבית משותף בחוק המקרקעין, התשכ"ט–1969 (להלן – החוק) ולא בחוקים העוסקים בעישון במרחב הציבורי.</w:t>
      </w:r>
    </w:p>
    <w:p w14:paraId="37C0B8B7" w14:textId="083C92D3" w:rsidR="00C23F46" w:rsidRPr="00C20B3E" w:rsidRDefault="00C23F46" w:rsidP="00E3719A">
      <w:pPr>
        <w:pStyle w:val="Hesber"/>
        <w:rPr>
          <w:rtl/>
        </w:rPr>
      </w:pPr>
      <w:r w:rsidRPr="00C20B3E">
        <w:rPr>
          <w:rFonts w:hint="cs"/>
          <w:rtl/>
        </w:rPr>
        <w:t>החוק דן</w:t>
      </w:r>
      <w:r w:rsidRPr="00C20B3E">
        <w:rPr>
          <w:rFonts w:hint="cs"/>
        </w:rPr>
        <w:t xml:space="preserve"> </w:t>
      </w:r>
      <w:r w:rsidRPr="00C20B3E">
        <w:rPr>
          <w:rFonts w:hint="cs"/>
          <w:rtl/>
        </w:rPr>
        <w:t>בזכויות</w:t>
      </w:r>
      <w:r w:rsidRPr="00C20B3E">
        <w:rPr>
          <w:rFonts w:hint="cs"/>
        </w:rPr>
        <w:t xml:space="preserve"> </w:t>
      </w:r>
      <w:r w:rsidRPr="00C20B3E">
        <w:rPr>
          <w:rFonts w:hint="cs"/>
          <w:rtl/>
        </w:rPr>
        <w:t>ובחובות של המבקשים</w:t>
      </w:r>
      <w:r w:rsidRPr="00C20B3E">
        <w:rPr>
          <w:rFonts w:hint="cs"/>
        </w:rPr>
        <w:t xml:space="preserve"> </w:t>
      </w:r>
      <w:r w:rsidRPr="00C20B3E">
        <w:rPr>
          <w:rFonts w:hint="cs"/>
          <w:rtl/>
        </w:rPr>
        <w:t>לגור</w:t>
      </w:r>
      <w:r w:rsidRPr="00C20B3E">
        <w:rPr>
          <w:rFonts w:hint="cs"/>
        </w:rPr>
        <w:t xml:space="preserve"> </w:t>
      </w:r>
      <w:r w:rsidRPr="00C20B3E">
        <w:rPr>
          <w:rFonts w:hint="cs"/>
          <w:rtl/>
        </w:rPr>
        <w:t>בבית</w:t>
      </w:r>
      <w:r w:rsidRPr="00C20B3E">
        <w:rPr>
          <w:rFonts w:hint="cs"/>
        </w:rPr>
        <w:t xml:space="preserve"> </w:t>
      </w:r>
      <w:r w:rsidRPr="00C20B3E">
        <w:rPr>
          <w:rFonts w:hint="cs"/>
          <w:rtl/>
        </w:rPr>
        <w:t>משותף, אך אינו</w:t>
      </w:r>
      <w:r w:rsidRPr="00C20B3E">
        <w:rPr>
          <w:rFonts w:hint="cs"/>
        </w:rPr>
        <w:t xml:space="preserve"> </w:t>
      </w:r>
      <w:r w:rsidR="00E3719A">
        <w:rPr>
          <w:rFonts w:hint="cs"/>
          <w:rtl/>
        </w:rPr>
        <w:t>לסיטואציה האמורה1</w:t>
      </w:r>
      <w:r w:rsidRPr="00C20B3E">
        <w:rPr>
          <w:rFonts w:hint="cs"/>
          <w:rtl/>
        </w:rPr>
        <w:t>. זאת, בין היתר, כיוון שהחוק לא מגדיר את התיבה "אי נוחות" בצורה בהירה, וכיוון שאינו מתייחס לנזק שטרם התגבש, כפי</w:t>
      </w:r>
      <w:r w:rsidRPr="00C20B3E">
        <w:rPr>
          <w:rFonts w:hint="cs"/>
        </w:rPr>
        <w:t xml:space="preserve"> </w:t>
      </w:r>
      <w:r w:rsidRPr="00C20B3E">
        <w:rPr>
          <w:rFonts w:hint="cs"/>
          <w:rtl/>
        </w:rPr>
        <w:t>שקורה</w:t>
      </w:r>
      <w:r w:rsidRPr="00C20B3E">
        <w:rPr>
          <w:rFonts w:hint="cs"/>
        </w:rPr>
        <w:t xml:space="preserve"> </w:t>
      </w:r>
      <w:r w:rsidRPr="00C20B3E">
        <w:rPr>
          <w:rFonts w:hint="cs"/>
          <w:rtl/>
        </w:rPr>
        <w:t>ברוב</w:t>
      </w:r>
      <w:r w:rsidRPr="00C20B3E">
        <w:rPr>
          <w:rFonts w:hint="cs"/>
        </w:rPr>
        <w:t xml:space="preserve"> </w:t>
      </w:r>
      <w:r w:rsidRPr="00C20B3E">
        <w:rPr>
          <w:rFonts w:hint="cs"/>
          <w:rtl/>
        </w:rPr>
        <w:t>המקרים</w:t>
      </w:r>
      <w:r w:rsidRPr="00C20B3E">
        <w:rPr>
          <w:rFonts w:hint="cs"/>
        </w:rPr>
        <w:t xml:space="preserve"> </w:t>
      </w:r>
      <w:r w:rsidRPr="00C20B3E">
        <w:rPr>
          <w:rFonts w:hint="cs"/>
          <w:rtl/>
        </w:rPr>
        <w:t>שבהם</w:t>
      </w:r>
      <w:r w:rsidRPr="00C20B3E">
        <w:rPr>
          <w:rFonts w:hint="cs"/>
        </w:rPr>
        <w:t xml:space="preserve"> </w:t>
      </w:r>
      <w:r w:rsidRPr="00C20B3E">
        <w:rPr>
          <w:rFonts w:hint="cs"/>
          <w:rtl/>
        </w:rPr>
        <w:t>דייר</w:t>
      </w:r>
      <w:r w:rsidRPr="00C20B3E">
        <w:rPr>
          <w:rFonts w:hint="cs"/>
        </w:rPr>
        <w:t xml:space="preserve"> </w:t>
      </w:r>
      <w:r w:rsidRPr="00C20B3E">
        <w:rPr>
          <w:rFonts w:hint="cs"/>
          <w:rtl/>
        </w:rPr>
        <w:t>נחשף</w:t>
      </w:r>
      <w:r w:rsidRPr="00C20B3E">
        <w:rPr>
          <w:rFonts w:hint="cs"/>
        </w:rPr>
        <w:t xml:space="preserve"> </w:t>
      </w:r>
      <w:r w:rsidRPr="00C20B3E">
        <w:rPr>
          <w:rFonts w:hint="cs"/>
          <w:rtl/>
        </w:rPr>
        <w:t>לעישון</w:t>
      </w:r>
      <w:r w:rsidRPr="00C20B3E">
        <w:rPr>
          <w:rFonts w:hint="cs"/>
        </w:rPr>
        <w:t xml:space="preserve"> </w:t>
      </w:r>
      <w:r w:rsidRPr="00C20B3E">
        <w:rPr>
          <w:rFonts w:hint="cs"/>
          <w:rtl/>
        </w:rPr>
        <w:t xml:space="preserve">פסיבי.  </w:t>
      </w:r>
    </w:p>
    <w:p w14:paraId="7F6961CB" w14:textId="2B202888" w:rsidR="00E13C27" w:rsidRPr="00C20B3E" w:rsidRDefault="001C5C1A" w:rsidP="00C20B3E">
      <w:pPr>
        <w:pStyle w:val="Hesber"/>
        <w:rPr>
          <w:rtl/>
        </w:rPr>
      </w:pPr>
      <w:r w:rsidRPr="00C20B3E">
        <w:rPr>
          <w:rFonts w:hint="cs"/>
          <w:rtl/>
        </w:rPr>
        <w:t xml:space="preserve">הצעות חוק דומות בעיקרן הונחו על שולחן הכנסת העשרים על ידי חבר הכנסת יהודה גליק (פ/5752/20) ועל שולחן הכנסת העשרים </w:t>
      </w:r>
      <w:r w:rsidR="00E3719A">
        <w:rPr>
          <w:rFonts w:hint="cs"/>
          <w:rtl/>
        </w:rPr>
        <w:t>וארבע על ידי חברת הכנסת עידית ס</w:t>
      </w:r>
      <w:r w:rsidRPr="00C20B3E">
        <w:rPr>
          <w:rFonts w:hint="cs"/>
          <w:rtl/>
        </w:rPr>
        <w:t>י</w:t>
      </w:r>
      <w:r w:rsidR="00E3719A">
        <w:rPr>
          <w:rFonts w:hint="cs"/>
          <w:rtl/>
        </w:rPr>
        <w:t>ל</w:t>
      </w:r>
      <w:r w:rsidRPr="00C20B3E">
        <w:rPr>
          <w:rFonts w:hint="cs"/>
          <w:rtl/>
        </w:rPr>
        <w:t>מן (פ/3137/24).</w:t>
      </w:r>
    </w:p>
    <w:p w14:paraId="14B813D2" w14:textId="77777777" w:rsidR="00453F93" w:rsidRDefault="005629C5">
      <w:pPr>
        <w:jc w:val="left"/>
      </w:pPr>
      <w:bookmarkStart w:id="21" w:name="selectedDocDateB"/>
      <w:bookmarkEnd w:id="21"/>
      <w:r>
        <w:rPr>
          <w:rFonts w:eastAsia="David" w:hint="cs"/>
          <w:sz w:val="26"/>
          <w:szCs w:val="26"/>
          <w:rtl/>
        </w:rPr>
        <w:t>--------------------------------</w:t>
      </w:r>
    </w:p>
    <w:p w14:paraId="74DD2665" w14:textId="77777777" w:rsidR="00453F93" w:rsidRDefault="005629C5">
      <w:pPr>
        <w:jc w:val="left"/>
      </w:pPr>
      <w:r>
        <w:rPr>
          <w:rFonts w:eastAsia="David" w:hint="cs"/>
          <w:sz w:val="26"/>
          <w:szCs w:val="26"/>
          <w:rtl/>
        </w:rPr>
        <w:t xml:space="preserve">הוגשה </w:t>
      </w:r>
      <w:r>
        <w:rPr>
          <w:rFonts w:eastAsia="David" w:hint="cs"/>
          <w:sz w:val="26"/>
          <w:szCs w:val="26"/>
          <w:rtl/>
        </w:rPr>
        <w:t>ליו"ר הכנסת והסגנים</w:t>
      </w:r>
    </w:p>
    <w:p w14:paraId="6316D8FD" w14:textId="77777777" w:rsidR="00453F93" w:rsidRDefault="005629C5">
      <w:pPr>
        <w:jc w:val="left"/>
      </w:pPr>
      <w:r>
        <w:rPr>
          <w:rFonts w:eastAsia="David" w:hint="cs"/>
          <w:sz w:val="26"/>
          <w:szCs w:val="26"/>
          <w:rtl/>
        </w:rPr>
        <w:t>והונחה על שולחן הכנסת ביום</w:t>
      </w:r>
    </w:p>
    <w:p w14:paraId="7E8F5C1D" w14:textId="77777777" w:rsidR="00453F93" w:rsidRDefault="005629C5">
      <w:pPr>
        <w:jc w:val="left"/>
      </w:pPr>
      <w:r>
        <w:rPr>
          <w:rFonts w:eastAsia="David" w:hint="cs"/>
          <w:sz w:val="26"/>
          <w:szCs w:val="26"/>
          <w:rtl/>
        </w:rPr>
        <w:t xml:space="preserve">ח' באייר התשפ"ב (09.05.2022) </w:t>
      </w:r>
    </w:p>
    <w:p w14:paraId="3A6D7897" w14:textId="77777777" w:rsidR="00453F93" w:rsidRDefault="00453F93">
      <w:pPr>
        <w:spacing w:line="276" w:lineRule="auto"/>
        <w:jc w:val="left"/>
      </w:pPr>
    </w:p>
    <w:sectPr w:rsidR="00453F93" w:rsidSect="001E3C22">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507F95FE"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5629C5">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1E3C22">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E07007F" w14:textId="77777777" w:rsidR="00C23F46" w:rsidRDefault="00C23F46" w:rsidP="00C23F46">
      <w:pPr>
        <w:pStyle w:val="a4"/>
      </w:pPr>
      <w:r>
        <w:rPr>
          <w:rStyle w:val="a6"/>
        </w:rPr>
        <w:footnoteRef/>
      </w:r>
      <w:r>
        <w:rPr>
          <w:rtl/>
        </w:rPr>
        <w:t xml:space="preserve"> </w:t>
      </w:r>
      <w:r>
        <w:rPr>
          <w:rFonts w:hint="cs"/>
          <w:rtl/>
        </w:rPr>
        <w:t>ס"ח התשכ"ט, עמ' 259.</w:t>
      </w:r>
    </w:p>
  </w:footnote>
  <w:footnote w:id="3">
    <w:p w14:paraId="705BCC2D" w14:textId="77777777" w:rsidR="00C20B3E" w:rsidRDefault="00C20B3E" w:rsidP="00C20B3E">
      <w:pPr>
        <w:pStyle w:val="a4"/>
      </w:pPr>
      <w:r>
        <w:rPr>
          <w:rStyle w:val="a6"/>
        </w:rPr>
        <w:footnoteRef/>
      </w:r>
      <w:r>
        <w:rPr>
          <w:rtl/>
        </w:rPr>
        <w:t xml:space="preserve"> </w:t>
      </w:r>
      <w:r>
        <w:rPr>
          <w:rFonts w:hint="cs"/>
          <w:rtl/>
        </w:rPr>
        <w:t>ס"ח התשל"ז, עמ' 226.</w:t>
      </w:r>
    </w:p>
  </w:footnote>
  <w:footnote w:id="4">
    <w:p w14:paraId="40E83BC0" w14:textId="77777777" w:rsidR="007504FE" w:rsidRDefault="007504FE" w:rsidP="007504FE">
      <w:pPr>
        <w:pStyle w:val="a4"/>
      </w:pPr>
      <w:r>
        <w:rPr>
          <w:rStyle w:val="a6"/>
        </w:rPr>
        <w:footnoteRef/>
      </w:r>
      <w:r>
        <w:rPr>
          <w:rtl/>
        </w:rPr>
        <w:t xml:space="preserve"> </w:t>
      </w:r>
      <w:r>
        <w:rPr>
          <w:rFonts w:hint="cs"/>
          <w:rtl/>
        </w:rPr>
        <w:t>ס"ח תשמ"ג, עמ' 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3"/>
    <w:lvlOverride w:ilvl="0">
      <w:startOverride w:val="1"/>
    </w:lvlOverride>
  </w:num>
  <w:num w:numId="17">
    <w:abstractNumId w:val="10"/>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54256"/>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C5C1A"/>
    <w:rsid w:val="001D7AAF"/>
    <w:rsid w:val="001E3C22"/>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53F93"/>
    <w:rsid w:val="004A06DC"/>
    <w:rsid w:val="004B24ED"/>
    <w:rsid w:val="004B6625"/>
    <w:rsid w:val="004D2D82"/>
    <w:rsid w:val="004D3876"/>
    <w:rsid w:val="004E4552"/>
    <w:rsid w:val="004E6CDF"/>
    <w:rsid w:val="00553C9D"/>
    <w:rsid w:val="005629C5"/>
    <w:rsid w:val="00562A66"/>
    <w:rsid w:val="005B064E"/>
    <w:rsid w:val="005D51AE"/>
    <w:rsid w:val="0062674B"/>
    <w:rsid w:val="006363B2"/>
    <w:rsid w:val="00644940"/>
    <w:rsid w:val="00673F04"/>
    <w:rsid w:val="006818A9"/>
    <w:rsid w:val="006A2D81"/>
    <w:rsid w:val="006B0A34"/>
    <w:rsid w:val="006C1D0D"/>
    <w:rsid w:val="006E3FCB"/>
    <w:rsid w:val="0070601E"/>
    <w:rsid w:val="00712C72"/>
    <w:rsid w:val="00735FE9"/>
    <w:rsid w:val="007504FE"/>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0B3E"/>
    <w:rsid w:val="00C23B1A"/>
    <w:rsid w:val="00C23F46"/>
    <w:rsid w:val="00C310EB"/>
    <w:rsid w:val="00C9176A"/>
    <w:rsid w:val="00CF1AA2"/>
    <w:rsid w:val="00D142D3"/>
    <w:rsid w:val="00D17774"/>
    <w:rsid w:val="00D63620"/>
    <w:rsid w:val="00D8410D"/>
    <w:rsid w:val="00D867D7"/>
    <w:rsid w:val="00DB7060"/>
    <w:rsid w:val="00DE3153"/>
    <w:rsid w:val="00E06736"/>
    <w:rsid w:val="00E13C27"/>
    <w:rsid w:val="00E338D0"/>
    <w:rsid w:val="00E33BBD"/>
    <w:rsid w:val="00E3719A"/>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B19E517-32A1-406A-80F8-48470826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C22"/>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1E3C22"/>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1E3C22"/>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1E3C22"/>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1E3C22"/>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1E3C22"/>
    <w:pPr>
      <w:spacing w:line="259" w:lineRule="auto"/>
      <w:outlineLvl w:val="4"/>
    </w:pPr>
    <w:rPr>
      <w:color w:val="000000" w:themeColor="text1"/>
    </w:rPr>
  </w:style>
  <w:style w:type="character" w:default="1" w:styleId="a0">
    <w:name w:val="Default Paragraph Font"/>
    <w:uiPriority w:val="1"/>
    <w:semiHidden/>
    <w:unhideWhenUsed/>
    <w:rsid w:val="001E3C2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1E3C22"/>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1E3C22"/>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1E3C22"/>
    <w:rPr>
      <w:sz w:val="36"/>
      <w:szCs w:val="52"/>
    </w:rPr>
  </w:style>
  <w:style w:type="paragraph" w:customStyle="1" w:styleId="Cover3-Haknesset">
    <w:name w:val="Cover 3-Haknesset"/>
    <w:basedOn w:val="Cover1-Reshumot"/>
    <w:rsid w:val="001E3C22"/>
    <w:rPr>
      <w:b/>
      <w:bCs/>
      <w:spacing w:val="60"/>
    </w:rPr>
  </w:style>
  <w:style w:type="paragraph" w:customStyle="1" w:styleId="Cover4-Date">
    <w:name w:val="Cover 4-Date"/>
    <w:basedOn w:val="a"/>
    <w:rsid w:val="001E3C22"/>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1E3C22"/>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1E3C22"/>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1E3C22"/>
    <w:pPr>
      <w:spacing w:before="120" w:after="120"/>
    </w:pPr>
    <w:rPr>
      <w:color w:val="FF0000"/>
      <w:w w:val="80"/>
    </w:rPr>
  </w:style>
  <w:style w:type="paragraph" w:styleId="a3">
    <w:name w:val="endnote text"/>
    <w:basedOn w:val="a"/>
    <w:semiHidden/>
    <w:rsid w:val="001E3C22"/>
    <w:pPr>
      <w:ind w:left="227" w:hanging="227"/>
    </w:pPr>
    <w:rPr>
      <w:sz w:val="14"/>
      <w:szCs w:val="22"/>
    </w:rPr>
  </w:style>
  <w:style w:type="paragraph" w:customStyle="1" w:styleId="TableText">
    <w:name w:val="Table Text"/>
    <w:basedOn w:val="a"/>
    <w:rsid w:val="001E3C22"/>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1E3C22"/>
    <w:pPr>
      <w:outlineLvl w:val="2"/>
    </w:pPr>
  </w:style>
  <w:style w:type="paragraph" w:customStyle="1" w:styleId="TableBlock">
    <w:name w:val="Table Block"/>
    <w:basedOn w:val="TableText"/>
    <w:rsid w:val="001E3C22"/>
    <w:pPr>
      <w:jc w:val="both"/>
    </w:pPr>
  </w:style>
  <w:style w:type="paragraph" w:customStyle="1" w:styleId="TableHead">
    <w:name w:val="Table Head"/>
    <w:basedOn w:val="TableText"/>
    <w:rsid w:val="001E3C22"/>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1E3C22"/>
    <w:pPr>
      <w:outlineLvl w:val="9"/>
    </w:pPr>
  </w:style>
  <w:style w:type="paragraph" w:customStyle="1" w:styleId="Hesber">
    <w:name w:val="Hesber"/>
    <w:basedOn w:val="a"/>
    <w:rsid w:val="001E3C22"/>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1E3C22"/>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1E3C22"/>
    <w:rPr>
      <w:vertAlign w:val="superscript"/>
    </w:rPr>
  </w:style>
  <w:style w:type="paragraph" w:customStyle="1" w:styleId="HesberHeading">
    <w:name w:val="Hesber Heading"/>
    <w:basedOn w:val="Hesber"/>
    <w:rsid w:val="001E3C22"/>
    <w:pPr>
      <w:tabs>
        <w:tab w:val="left" w:pos="624"/>
        <w:tab w:val="left" w:pos="1247"/>
      </w:tabs>
    </w:pPr>
    <w:rPr>
      <w:b/>
      <w:bCs/>
    </w:rPr>
  </w:style>
  <w:style w:type="paragraph" w:customStyle="1" w:styleId="HesberWriters">
    <w:name w:val="Hesber Writers"/>
    <w:basedOn w:val="Hesber"/>
    <w:rsid w:val="001E3C22"/>
    <w:pPr>
      <w:spacing w:before="120" w:after="120"/>
      <w:ind w:left="1418"/>
      <w:jc w:val="right"/>
    </w:pPr>
    <w:rPr>
      <w:b/>
      <w:bCs/>
    </w:rPr>
  </w:style>
  <w:style w:type="paragraph" w:customStyle="1" w:styleId="Hesber1st">
    <w:name w:val="Hesber 1st"/>
    <w:basedOn w:val="Hesber"/>
    <w:rsid w:val="001E3C22"/>
    <w:pPr>
      <w:tabs>
        <w:tab w:val="left" w:pos="680"/>
        <w:tab w:val="left" w:pos="1020"/>
      </w:tabs>
      <w:ind w:firstLine="0"/>
    </w:pPr>
  </w:style>
  <w:style w:type="character" w:styleId="a7">
    <w:name w:val="endnote reference"/>
    <w:basedOn w:val="a0"/>
    <w:semiHidden/>
    <w:rsid w:val="001E3C22"/>
    <w:rPr>
      <w:vertAlign w:val="superscript"/>
    </w:rPr>
  </w:style>
  <w:style w:type="paragraph" w:customStyle="1" w:styleId="TableBlockOutdent">
    <w:name w:val="Table BlockOutdent"/>
    <w:basedOn w:val="TableBlock"/>
    <w:rsid w:val="001E3C22"/>
    <w:pPr>
      <w:ind w:left="624" w:hanging="624"/>
    </w:pPr>
  </w:style>
  <w:style w:type="paragraph" w:styleId="a8">
    <w:name w:val="header"/>
    <w:basedOn w:val="a"/>
    <w:rsid w:val="001E3C22"/>
    <w:pPr>
      <w:tabs>
        <w:tab w:val="center" w:pos="4153"/>
        <w:tab w:val="right" w:pos="8306"/>
      </w:tabs>
    </w:pPr>
  </w:style>
  <w:style w:type="paragraph" w:styleId="a9">
    <w:name w:val="footer"/>
    <w:basedOn w:val="a"/>
    <w:rsid w:val="001E3C22"/>
    <w:pPr>
      <w:tabs>
        <w:tab w:val="center" w:pos="4153"/>
        <w:tab w:val="right" w:pos="8306"/>
      </w:tabs>
    </w:pPr>
  </w:style>
  <w:style w:type="paragraph" w:customStyle="1" w:styleId="HeadDivreiHesber">
    <w:name w:val="Head DivreiHesber"/>
    <w:basedOn w:val="a"/>
    <w:rsid w:val="001E3C22"/>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1E3C22"/>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1E3C22"/>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default">
    <w:name w:val="default"/>
    <w:basedOn w:val="a0"/>
    <w:rsid w:val="00C23F46"/>
  </w:style>
  <w:style w:type="character" w:customStyle="1" w:styleId="10">
    <w:name w:val="כותרת 1 תו"/>
    <w:basedOn w:val="a0"/>
    <w:link w:val="1"/>
    <w:uiPriority w:val="9"/>
    <w:rsid w:val="001E3C22"/>
    <w:rPr>
      <w:rFonts w:asciiTheme="majorHAnsi" w:eastAsiaTheme="majorEastAsia" w:hAnsiTheme="majorHAnsi" w:cs="David"/>
      <w:bCs/>
      <w:sz w:val="32"/>
      <w:szCs w:val="36"/>
    </w:rPr>
  </w:style>
  <w:style w:type="character" w:customStyle="1" w:styleId="20">
    <w:name w:val="כותרת 2 תו"/>
    <w:basedOn w:val="a0"/>
    <w:link w:val="2"/>
    <w:rsid w:val="001E3C22"/>
    <w:rPr>
      <w:rFonts w:asciiTheme="majorHAnsi" w:eastAsiaTheme="majorEastAsia" w:hAnsiTheme="majorHAnsi" w:cs="David"/>
      <w:bCs/>
      <w:sz w:val="26"/>
      <w:szCs w:val="36"/>
      <w:u w:val="single"/>
    </w:rPr>
  </w:style>
  <w:style w:type="character" w:customStyle="1" w:styleId="30">
    <w:name w:val="כותרת 3 תו"/>
    <w:basedOn w:val="a0"/>
    <w:link w:val="3"/>
    <w:rsid w:val="001E3C22"/>
    <w:rPr>
      <w:rFonts w:asciiTheme="majorHAnsi" w:eastAsiaTheme="majorEastAsia" w:hAnsiTheme="majorHAnsi" w:cs="David"/>
      <w:sz w:val="24"/>
      <w:szCs w:val="28"/>
      <w:u w:val="double"/>
    </w:rPr>
  </w:style>
  <w:style w:type="character" w:customStyle="1" w:styleId="40">
    <w:name w:val="כותרת 4 תו"/>
    <w:basedOn w:val="a0"/>
    <w:link w:val="4"/>
    <w:uiPriority w:val="9"/>
    <w:rsid w:val="001E3C22"/>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1E3C22"/>
    <w:rPr>
      <w:rFonts w:ascii="David" w:eastAsiaTheme="minorHAnsi" w:hAnsi="David" w:cs="David"/>
      <w:color w:val="000000" w:themeColor="text1"/>
      <w:sz w:val="24"/>
      <w:szCs w:val="24"/>
    </w:rPr>
  </w:style>
  <w:style w:type="paragraph" w:styleId="ae">
    <w:name w:val="TOC Heading"/>
    <w:basedOn w:val="1"/>
    <w:next w:val="a"/>
    <w:uiPriority w:val="39"/>
    <w:unhideWhenUsed/>
    <w:qFormat/>
    <w:rsid w:val="001E3C22"/>
    <w:pPr>
      <w:widowControl/>
      <w:spacing w:before="120" w:after="120"/>
      <w:outlineLvl w:val="9"/>
    </w:pPr>
    <w:rPr>
      <w:rtl/>
      <w:cs/>
    </w:rPr>
  </w:style>
  <w:style w:type="paragraph" w:styleId="TOC1">
    <w:name w:val="toc 1"/>
    <w:basedOn w:val="a"/>
    <w:next w:val="a"/>
    <w:autoRedefine/>
    <w:uiPriority w:val="39"/>
    <w:unhideWhenUsed/>
    <w:rsid w:val="001E3C22"/>
    <w:pPr>
      <w:tabs>
        <w:tab w:val="right" w:leader="dot" w:pos="9629"/>
      </w:tabs>
      <w:spacing w:after="100"/>
    </w:pPr>
    <w:rPr>
      <w:bCs/>
      <w:szCs w:val="22"/>
    </w:rPr>
  </w:style>
  <w:style w:type="paragraph" w:styleId="TOC2">
    <w:name w:val="toc 2"/>
    <w:basedOn w:val="a"/>
    <w:next w:val="a"/>
    <w:uiPriority w:val="39"/>
    <w:unhideWhenUsed/>
    <w:rsid w:val="001E3C22"/>
    <w:pPr>
      <w:tabs>
        <w:tab w:val="right" w:leader="dot" w:pos="9628"/>
      </w:tabs>
      <w:spacing w:after="100"/>
    </w:pPr>
    <w:rPr>
      <w:szCs w:val="22"/>
    </w:rPr>
  </w:style>
  <w:style w:type="character" w:styleId="Hyperlink">
    <w:name w:val="Hyperlink"/>
    <w:basedOn w:val="a0"/>
    <w:uiPriority w:val="99"/>
    <w:unhideWhenUsed/>
    <w:rsid w:val="001E3C22"/>
    <w:rPr>
      <w:color w:val="0000FF" w:themeColor="hyperlink"/>
      <w:u w:val="single"/>
    </w:rPr>
  </w:style>
  <w:style w:type="paragraph" w:styleId="TOC3">
    <w:name w:val="toc 3"/>
    <w:basedOn w:val="a"/>
    <w:next w:val="a"/>
    <w:uiPriority w:val="39"/>
    <w:unhideWhenUsed/>
    <w:rsid w:val="001E3C22"/>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1E3C22"/>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1E3C22"/>
    <w:pPr>
      <w:tabs>
        <w:tab w:val="right" w:leader="dot" w:pos="9628"/>
      </w:tabs>
      <w:spacing w:after="100"/>
      <w:ind w:left="567"/>
    </w:pPr>
    <w:rPr>
      <w:szCs w:val="22"/>
    </w:rPr>
  </w:style>
  <w:style w:type="paragraph" w:styleId="TOC6">
    <w:name w:val="toc 6"/>
    <w:basedOn w:val="a"/>
    <w:next w:val="a"/>
    <w:autoRedefine/>
    <w:semiHidden/>
    <w:unhideWhenUsed/>
    <w:rsid w:val="001E3C22"/>
    <w:pPr>
      <w:spacing w:after="100"/>
      <w:ind w:left="850"/>
    </w:pPr>
  </w:style>
  <w:style w:type="paragraph" w:styleId="TOC7">
    <w:name w:val="toc 7"/>
    <w:basedOn w:val="a"/>
    <w:next w:val="a"/>
    <w:autoRedefine/>
    <w:semiHidden/>
    <w:unhideWhenUsed/>
    <w:rsid w:val="001E3C22"/>
    <w:pPr>
      <w:spacing w:after="100"/>
      <w:ind w:left="1020"/>
    </w:pPr>
  </w:style>
  <w:style w:type="paragraph" w:styleId="TOC8">
    <w:name w:val="toc 8"/>
    <w:basedOn w:val="a"/>
    <w:next w:val="a"/>
    <w:autoRedefine/>
    <w:semiHidden/>
    <w:unhideWhenUsed/>
    <w:rsid w:val="001E3C22"/>
    <w:pPr>
      <w:spacing w:after="100"/>
      <w:ind w:left="1190"/>
    </w:pPr>
  </w:style>
  <w:style w:type="paragraph" w:styleId="TOC9">
    <w:name w:val="toc 9"/>
    <w:basedOn w:val="a"/>
    <w:next w:val="a"/>
    <w:autoRedefine/>
    <w:semiHidden/>
    <w:unhideWhenUsed/>
    <w:rsid w:val="001E3C22"/>
    <w:pPr>
      <w:spacing w:after="100"/>
      <w:ind w:left="1360"/>
    </w:pPr>
  </w:style>
  <w:style w:type="paragraph" w:customStyle="1" w:styleId="TableHead2">
    <w:name w:val="Table Head2"/>
    <w:basedOn w:val="TableHead"/>
    <w:qFormat/>
    <w:rsid w:val="001E3C22"/>
    <w:pPr>
      <w:outlineLvl w:val="9"/>
    </w:pPr>
  </w:style>
  <w:style w:type="paragraph" w:customStyle="1" w:styleId="TableSideHeading2">
    <w:name w:val="Table SideHeading2"/>
    <w:basedOn w:val="TableSideHeading"/>
    <w:autoRedefine/>
    <w:qFormat/>
    <w:rsid w:val="001E3C22"/>
    <w:pPr>
      <w:keepLines w:val="0"/>
      <w:outlineLvl w:val="9"/>
    </w:pPr>
  </w:style>
  <w:style w:type="paragraph" w:customStyle="1" w:styleId="0">
    <w:name w:val="סגנון שורה ראשונה:  0  ס''מ"/>
    <w:basedOn w:val="2"/>
    <w:rsid w:val="001E3C22"/>
    <w:rPr>
      <w:rFonts w:eastAsia="Times New Roman"/>
    </w:rPr>
  </w:style>
  <w:style w:type="paragraph" w:styleId="af">
    <w:name w:val="List Paragraph"/>
    <w:basedOn w:val="a"/>
    <w:uiPriority w:val="34"/>
    <w:qFormat/>
    <w:rsid w:val="001E3C22"/>
    <w:pPr>
      <w:widowControl/>
      <w:spacing w:line="259" w:lineRule="auto"/>
    </w:pPr>
    <w:rPr>
      <w:rFonts w:asciiTheme="minorHAnsi" w:hAnsiTheme="minorHAnsi"/>
      <w:sz w:val="22"/>
    </w:rPr>
  </w:style>
  <w:style w:type="table" w:styleId="af0">
    <w:name w:val="Table Grid"/>
    <w:basedOn w:val="a1"/>
    <w:rsid w:val="001E3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1E3C2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1E3C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1E3C22"/>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1E3C22"/>
    <w:tblPr/>
    <w:tblStylePr w:type="firstCol">
      <w:pPr>
        <w:keepNext w:val="0"/>
        <w:keepLines/>
        <w:pageBreakBefore w:val="0"/>
        <w:widowControl w:val="0"/>
        <w:suppressLineNumbers w:val="0"/>
        <w:suppressAutoHyphens w:val="0"/>
        <w:wordWrap/>
      </w:pPr>
    </w:tblStylePr>
  </w:style>
  <w:style w:type="character" w:styleId="af2">
    <w:name w:val="annotation reference"/>
    <w:basedOn w:val="a0"/>
    <w:semiHidden/>
    <w:unhideWhenUsed/>
    <w:rsid w:val="00054256"/>
    <w:rPr>
      <w:sz w:val="16"/>
      <w:szCs w:val="16"/>
    </w:rPr>
  </w:style>
  <w:style w:type="paragraph" w:styleId="af3">
    <w:name w:val="annotation text"/>
    <w:basedOn w:val="a"/>
    <w:link w:val="af4"/>
    <w:semiHidden/>
    <w:unhideWhenUsed/>
    <w:rsid w:val="00054256"/>
    <w:pPr>
      <w:spacing w:line="240" w:lineRule="auto"/>
    </w:pPr>
    <w:rPr>
      <w:sz w:val="20"/>
      <w:szCs w:val="20"/>
    </w:rPr>
  </w:style>
  <w:style w:type="character" w:customStyle="1" w:styleId="af4">
    <w:name w:val="טקסט הערה תו"/>
    <w:basedOn w:val="a0"/>
    <w:link w:val="af3"/>
    <w:semiHidden/>
    <w:rsid w:val="00054256"/>
    <w:rPr>
      <w:rFonts w:ascii="David" w:eastAsiaTheme="minorHAnsi" w:hAnsi="David" w:cs="David"/>
    </w:rPr>
  </w:style>
  <w:style w:type="paragraph" w:styleId="af5">
    <w:name w:val="annotation subject"/>
    <w:basedOn w:val="af3"/>
    <w:next w:val="af3"/>
    <w:link w:val="af6"/>
    <w:semiHidden/>
    <w:unhideWhenUsed/>
    <w:rsid w:val="00054256"/>
    <w:rPr>
      <w:b/>
      <w:bCs/>
    </w:rPr>
  </w:style>
  <w:style w:type="character" w:customStyle="1" w:styleId="af6">
    <w:name w:val="נושא הערה תו"/>
    <w:basedOn w:val="af4"/>
    <w:link w:val="af5"/>
    <w:semiHidden/>
    <w:rsid w:val="00054256"/>
    <w:rPr>
      <w:rFonts w:ascii="David" w:eastAsiaTheme="minorHAnsi" w:hAnsi="David" w:cs="David"/>
      <w:b/>
      <w:bCs/>
    </w:rPr>
  </w:style>
  <w:style w:type="character" w:customStyle="1" w:styleId="a5">
    <w:name w:val="טקסט הערת שוליים תו"/>
    <w:basedOn w:val="a0"/>
    <w:link w:val="a4"/>
    <w:semiHidden/>
    <w:rsid w:val="007504FE"/>
    <w:rPr>
      <w:rFonts w:ascii="Arial" w:eastAsia="Arial Unicode MS" w:hAnsi="Arial" w:cs="David"/>
      <w:snapToGrid w:val="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51790-DE9A-404E-80A4-B337099DC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0C67BE16-A295-49D2-8335-3732E18AB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451</Words>
  <Characters>2257</Characters>
  <Application>Microsoft Office Word</Application>
  <DocSecurity>0</DocSecurity>
  <Lines>18</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12</cp:revision>
  <cp:lastPrinted>2022-05-02T05:34:00Z</cp:lastPrinted>
  <dcterms:created xsi:type="dcterms:W3CDTF">2015-04-20T09:58:00Z</dcterms:created>
  <dcterms:modified xsi:type="dcterms:W3CDTF">2022-05-03T16:57:00Z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2191016</vt:r8>
  </property>
</Properties>
</file>