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2167890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וארבע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A" w14:textId="4D2F077D" w:rsidR="00E13C27" w:rsidRPr="00CF1AA2" w:rsidRDefault="008F6665" w:rsidP="00341B14">
      <w:pPr>
        <w:pStyle w:val="David"/>
        <w:spacing w:before="102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proofErr w:type="spellStart"/>
      <w:r>
        <w:rPr>
          <w:rFonts w:hint="cs"/>
          <w:b/>
          <w:bCs/>
          <w:rtl/>
        </w:rPr>
        <w:t>איימן</w:t>
      </w:r>
      <w:proofErr w:type="spellEnd"/>
      <w:r>
        <w:rPr>
          <w:rFonts w:hint="cs"/>
          <w:b/>
          <w:bCs/>
          <w:rtl/>
        </w:rPr>
        <w:t xml:space="preserve"> עודה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rPr>
          <w:rFonts w:hint="cs"/>
          <w:b/>
          <w:bCs/>
          <w:rtl/>
        </w:rPr>
        <w:t>עאידה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תומא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סלימאן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עופר כסיף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7DB75B1E" w:rsidR="00E13C27" w:rsidRPr="00E06736" w:rsidRDefault="00904591" w:rsidP="00341B14">
      <w:pPr>
        <w:pStyle w:val="David"/>
        <w:spacing w:line="240" w:lineRule="auto"/>
        <w:ind w:left="6424" w:firstLine="56"/>
        <w:rPr>
          <w:rtl/>
        </w:rPr>
      </w:pPr>
      <w:bookmarkStart w:id="6" w:name="Private_Number"/>
      <w:r>
        <w:rPr>
          <w:rFonts w:hint="cs"/>
          <w:rtl/>
        </w:rPr>
        <w:t>פ/3714/24</w:t>
      </w:r>
      <w:bookmarkEnd w:id="6"/>
    </w:p>
    <w:p w14:paraId="7F6961AD" w14:textId="1E3FF9F8" w:rsidR="00E13C27" w:rsidRPr="00F67051" w:rsidRDefault="00A443CF" w:rsidP="00191FCC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בריאות ממלכתי (תיקון </w:t>
      </w:r>
      <w:r w:rsidR="00191FCC">
        <w:rPr>
          <w:rFonts w:hint="eastAsia"/>
          <w:rtl/>
        </w:rPr>
        <w:t>–</w:t>
      </w:r>
      <w:r>
        <w:rPr>
          <w:rFonts w:hint="cs"/>
          <w:rtl/>
        </w:rPr>
        <w:t xml:space="preserve"> העברת מידע מלא בעת מעבר בין קופות החולים), </w:t>
      </w:r>
      <w:r w:rsidR="00341B14">
        <w:rPr>
          <w:rtl/>
        </w:rPr>
        <w:br/>
      </w:r>
      <w:proofErr w:type="spellStart"/>
      <w:r>
        <w:rPr>
          <w:rFonts w:hint="cs"/>
          <w:rtl/>
        </w:rPr>
        <w:t>התשפ"ב</w:t>
      </w:r>
      <w:proofErr w:type="spellEnd"/>
      <w:r w:rsidR="00191FCC">
        <w:rPr>
          <w:rFonts w:hint="eastAsia"/>
          <w:rtl/>
        </w:rPr>
        <w:t>–</w:t>
      </w:r>
      <w:r>
        <w:rPr>
          <w:rFonts w:hint="cs"/>
          <w:rtl/>
        </w:rPr>
        <w:t>2022</w:t>
      </w:r>
      <w:bookmarkEnd w:id="7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987A56" w14:paraId="4CD86CC3" w14:textId="77777777" w:rsidTr="00341B14">
        <w:trPr>
          <w:cantSplit/>
        </w:trPr>
        <w:tc>
          <w:tcPr>
            <w:tcW w:w="1871" w:type="dxa"/>
          </w:tcPr>
          <w:p w14:paraId="3DEF9B10" w14:textId="17655FC2" w:rsidR="00987A56" w:rsidRPr="002419DE" w:rsidRDefault="00987A56" w:rsidP="00341B14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5</w:t>
            </w:r>
          </w:p>
        </w:tc>
        <w:tc>
          <w:tcPr>
            <w:tcW w:w="624" w:type="dxa"/>
          </w:tcPr>
          <w:p w14:paraId="2C1C92ED" w14:textId="47AEF843" w:rsidR="00987A56" w:rsidRDefault="00987A56" w:rsidP="00EE6118">
            <w:pPr>
              <w:pStyle w:val="TableText"/>
              <w:keepLines w:val="0"/>
            </w:pPr>
            <w:r>
              <w:rPr>
                <w:rFonts w:hint="cs"/>
                <w:rtl/>
              </w:rPr>
              <w:t>1</w:t>
            </w:r>
            <w:r w:rsidR="00341B14">
              <w:rPr>
                <w:rFonts w:hint="cs"/>
                <w:rtl/>
              </w:rPr>
              <w:t>.</w:t>
            </w:r>
          </w:p>
        </w:tc>
        <w:tc>
          <w:tcPr>
            <w:tcW w:w="7143" w:type="dxa"/>
          </w:tcPr>
          <w:p w14:paraId="5F3D46F7" w14:textId="77777777" w:rsidR="00987A56" w:rsidRPr="00ED6461" w:rsidRDefault="00987A56" w:rsidP="00341B14">
            <w:pPr>
              <w:pStyle w:val="TableBlock"/>
            </w:pPr>
            <w:r w:rsidRPr="00ED6461">
              <w:rPr>
                <w:rtl/>
              </w:rPr>
              <w:t>בחוק</w:t>
            </w:r>
            <w:r w:rsidRPr="00ED6461">
              <w:rPr>
                <w:rFonts w:hint="cs"/>
                <w:rtl/>
              </w:rPr>
              <w:t xml:space="preserve"> </w:t>
            </w:r>
            <w:r w:rsidRPr="002546DD">
              <w:rPr>
                <w:rtl/>
              </w:rPr>
              <w:t>ביטוח</w:t>
            </w:r>
            <w:r w:rsidRPr="00ED6461">
              <w:rPr>
                <w:rFonts w:hint="cs"/>
                <w:rtl/>
              </w:rPr>
              <w:t xml:space="preserve"> בריאות ממלכתי, </w:t>
            </w:r>
            <w:proofErr w:type="spellStart"/>
            <w:r w:rsidRPr="00ED6461">
              <w:rPr>
                <w:rFonts w:hint="cs"/>
                <w:rtl/>
              </w:rPr>
              <w:t>התשנ"ד</w:t>
            </w:r>
            <w:proofErr w:type="spellEnd"/>
            <w:r w:rsidRPr="00ED6461">
              <w:rPr>
                <w:rFonts w:hint="cs"/>
                <w:rtl/>
              </w:rPr>
              <w:t>–1994</w:t>
            </w:r>
            <w:r w:rsidRPr="00341B14">
              <w:rPr>
                <w:rStyle w:val="a5"/>
                <w:rFonts w:ascii="David" w:hAnsi="David"/>
                <w:sz w:val="26"/>
                <w:szCs w:val="28"/>
                <w:rtl/>
              </w:rPr>
              <w:footnoteReference w:id="2"/>
            </w:r>
            <w:r w:rsidRPr="00ED6461">
              <w:rPr>
                <w:rFonts w:hint="cs"/>
                <w:rtl/>
              </w:rPr>
              <w:t>, בסעיף 5, אחרי סעיף קטן (ג) יבוא:</w:t>
            </w:r>
          </w:p>
        </w:tc>
      </w:tr>
      <w:tr w:rsidR="00987A56" w14:paraId="46E66F6F" w14:textId="77777777" w:rsidTr="00341B14">
        <w:trPr>
          <w:cantSplit/>
        </w:trPr>
        <w:tc>
          <w:tcPr>
            <w:tcW w:w="1871" w:type="dxa"/>
          </w:tcPr>
          <w:p w14:paraId="25D1586C" w14:textId="77777777" w:rsidR="00987A56" w:rsidRDefault="00987A56" w:rsidP="00EE6118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6B39EA11" w14:textId="77777777" w:rsidR="00987A56" w:rsidRDefault="00987A56" w:rsidP="00EE6118">
            <w:pPr>
              <w:pStyle w:val="TableText"/>
              <w:keepLines w:val="0"/>
            </w:pPr>
          </w:p>
        </w:tc>
        <w:tc>
          <w:tcPr>
            <w:tcW w:w="7143" w:type="dxa"/>
          </w:tcPr>
          <w:p w14:paraId="27D58F47" w14:textId="21A6B3A4" w:rsidR="00987A56" w:rsidRPr="00ED6461" w:rsidRDefault="00987A56" w:rsidP="00341B14">
            <w:pPr>
              <w:pStyle w:val="TableBlock"/>
            </w:pPr>
            <w:r w:rsidRPr="00ED6461">
              <w:rPr>
                <w:rFonts w:hint="cs"/>
                <w:rtl/>
              </w:rPr>
              <w:t>"(ג1)</w:t>
            </w:r>
            <w:r w:rsidRPr="00ED6461">
              <w:rPr>
                <w:rtl/>
              </w:rPr>
              <w:tab/>
              <w:t>עבר תושב מקופת חולים אחת לאחרת (בסעיף קטן זה – קופת החולים הקולטת), תעביר קופת החולים שבה היה חבר את כל המידע הרפואי</w:t>
            </w:r>
            <w:r w:rsidRPr="00ED6461">
              <w:rPr>
                <w:rFonts w:hint="cs"/>
                <w:rtl/>
              </w:rPr>
              <w:t xml:space="preserve"> </w:t>
            </w:r>
            <w:r w:rsidRPr="002546DD">
              <w:rPr>
                <w:rtl/>
              </w:rPr>
              <w:t>שברשותה</w:t>
            </w:r>
            <w:r w:rsidRPr="00ED6461">
              <w:rPr>
                <w:rtl/>
              </w:rPr>
              <w:t xml:space="preserve"> אודות ה</w:t>
            </w:r>
            <w:r w:rsidRPr="00ED6461">
              <w:rPr>
                <w:rFonts w:hint="cs"/>
                <w:rtl/>
              </w:rPr>
              <w:t>תושב</w:t>
            </w:r>
            <w:r w:rsidRPr="00ED6461">
              <w:rPr>
                <w:rtl/>
              </w:rPr>
              <w:t xml:space="preserve"> לקופת החולים הקולטת</w:t>
            </w:r>
            <w:r>
              <w:rPr>
                <w:rFonts w:hint="cs"/>
                <w:rtl/>
              </w:rPr>
              <w:t>, או לידי התוש</w:t>
            </w:r>
            <w:r w:rsidR="00191FCC">
              <w:rPr>
                <w:rFonts w:hint="cs"/>
                <w:rtl/>
              </w:rPr>
              <w:t>ב, אם ביקש כי המידע יועבר אליו;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העברת המידע כאמור תיעשה בתוך שבעה ימים מיום ה</w:t>
            </w:r>
            <w:r>
              <w:rPr>
                <w:rFonts w:hint="cs"/>
                <w:rtl/>
              </w:rPr>
              <w:t>הודעה</w:t>
            </w:r>
            <w:r>
              <w:rPr>
                <w:rtl/>
              </w:rPr>
              <w:t xml:space="preserve"> כאמור בסעיף קטן (ג)."</w:t>
            </w:r>
          </w:p>
        </w:tc>
      </w:tr>
    </w:tbl>
    <w:p w14:paraId="114DCA99" w14:textId="77777777" w:rsidR="00987A56" w:rsidRPr="001A512D" w:rsidRDefault="00987A56" w:rsidP="00987A56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7061F7D1" w14:textId="13467206" w:rsidR="00987A56" w:rsidRPr="002546DD" w:rsidRDefault="00987A56" w:rsidP="00341B14">
      <w:pPr>
        <w:pStyle w:val="Hesber"/>
        <w:spacing w:line="240" w:lineRule="auto"/>
        <w:rPr>
          <w:rtl/>
        </w:rPr>
      </w:pPr>
      <w:r>
        <w:rPr>
          <w:rFonts w:hint="cs"/>
          <w:rtl/>
        </w:rPr>
        <w:t xml:space="preserve">חוק ביטוח בריאות ממלכתי, </w:t>
      </w:r>
      <w:proofErr w:type="spellStart"/>
      <w:r>
        <w:rPr>
          <w:rFonts w:hint="cs"/>
          <w:rtl/>
        </w:rPr>
        <w:t>התשנ"ד</w:t>
      </w:r>
      <w:proofErr w:type="spellEnd"/>
      <w:r>
        <w:rPr>
          <w:rFonts w:hint="cs"/>
          <w:rtl/>
        </w:rPr>
        <w:t>–1994</w:t>
      </w:r>
      <w:r w:rsidR="00245C61">
        <w:rPr>
          <w:rFonts w:hint="cs"/>
          <w:rtl/>
        </w:rPr>
        <w:t>,</w:t>
      </w:r>
      <w:r>
        <w:rPr>
          <w:rFonts w:hint="cs"/>
          <w:rtl/>
        </w:rPr>
        <w:t xml:space="preserve"> מאפשר לכל מבוטח</w:t>
      </w:r>
      <w:r w:rsidRPr="002546DD">
        <w:rPr>
          <w:rtl/>
        </w:rPr>
        <w:t xml:space="preserve"> לעבור מקופת החולים שהוא מבוטח בה לקופת חולים אחרת</w:t>
      </w:r>
      <w:r>
        <w:rPr>
          <w:rFonts w:hint="cs"/>
          <w:rtl/>
        </w:rPr>
        <w:t>. עם המעבר, המבוטח</w:t>
      </w:r>
      <w:r w:rsidRPr="002546DD">
        <w:rPr>
          <w:rtl/>
        </w:rPr>
        <w:t xml:space="preserve"> </w:t>
      </w:r>
      <w:r w:rsidRPr="002546DD">
        <w:rPr>
          <w:rFonts w:hint="eastAsia"/>
          <w:rtl/>
        </w:rPr>
        <w:t>זכאי</w:t>
      </w:r>
      <w:r w:rsidRPr="002546DD">
        <w:rPr>
          <w:rtl/>
        </w:rPr>
        <w:t xml:space="preserve"> לקבל את הסיכום הרפואי בלבד, </w:t>
      </w:r>
      <w:r w:rsidRPr="002546DD">
        <w:rPr>
          <w:rFonts w:hint="eastAsia"/>
          <w:rtl/>
        </w:rPr>
        <w:t>כפי</w:t>
      </w:r>
      <w:r w:rsidRPr="002546DD">
        <w:rPr>
          <w:rtl/>
        </w:rPr>
        <w:t xml:space="preserve"> שמוסדר בחוזר מנכ"ל, </w:t>
      </w:r>
      <w:r>
        <w:rPr>
          <w:rFonts w:hint="cs"/>
          <w:rtl/>
        </w:rPr>
        <w:t>ו</w:t>
      </w:r>
      <w:r w:rsidRPr="002546DD">
        <w:rPr>
          <w:rFonts w:hint="eastAsia"/>
          <w:rtl/>
        </w:rPr>
        <w:t>במרבית</w:t>
      </w:r>
      <w:r w:rsidRPr="002546DD">
        <w:rPr>
          <w:rtl/>
        </w:rPr>
        <w:t xml:space="preserve"> </w:t>
      </w:r>
      <w:r w:rsidRPr="002546DD">
        <w:rPr>
          <w:rFonts w:hint="eastAsia"/>
          <w:rtl/>
        </w:rPr>
        <w:t>המקרים</w:t>
      </w:r>
      <w:r w:rsidRPr="002546DD">
        <w:rPr>
          <w:rtl/>
        </w:rPr>
        <w:t xml:space="preserve"> הסיכום המועבר אינו מקיף ומציג רק מידע מסוכם, שאינו מאפשר מעקב רפואי תקין ומקצועי, מקשה על הרופאים בקופות הקולטות, ופוגע פגיעה ממשית בחופש המידע של </w:t>
      </w:r>
      <w:r w:rsidRPr="002546DD">
        <w:rPr>
          <w:rFonts w:hint="eastAsia"/>
          <w:rtl/>
        </w:rPr>
        <w:t>ה</w:t>
      </w:r>
      <w:r>
        <w:rPr>
          <w:rFonts w:hint="cs"/>
          <w:rtl/>
        </w:rPr>
        <w:t>מבוטח</w:t>
      </w:r>
      <w:r w:rsidRPr="002546DD">
        <w:rPr>
          <w:rtl/>
        </w:rPr>
        <w:t>.</w:t>
      </w:r>
    </w:p>
    <w:p w14:paraId="796CFB84" w14:textId="63B34670" w:rsidR="00987A56" w:rsidRPr="002546DD" w:rsidRDefault="00987A56" w:rsidP="00341B14">
      <w:pPr>
        <w:pStyle w:val="Hesber"/>
        <w:spacing w:line="240" w:lineRule="auto"/>
        <w:rPr>
          <w:rtl/>
        </w:rPr>
      </w:pPr>
      <w:r w:rsidRPr="002546DD">
        <w:rPr>
          <w:rFonts w:hint="eastAsia"/>
          <w:rtl/>
        </w:rPr>
        <w:t>לפיכך</w:t>
      </w:r>
      <w:r w:rsidRPr="002546DD">
        <w:rPr>
          <w:rtl/>
        </w:rPr>
        <w:t xml:space="preserve">, וכדי למנוע פגיעה במבוטחים וחוסר אחידות בין קופות החולים השונות, מוצע כי קופת </w:t>
      </w:r>
      <w:r w:rsidRPr="002546DD">
        <w:rPr>
          <w:rFonts w:hint="eastAsia"/>
          <w:rtl/>
        </w:rPr>
        <w:t>החולים</w:t>
      </w:r>
      <w:r w:rsidRPr="002546DD">
        <w:rPr>
          <w:rtl/>
        </w:rPr>
        <w:t xml:space="preserve"> הנעברת, תעביר תוך </w:t>
      </w:r>
      <w:r w:rsidR="00191FCC">
        <w:rPr>
          <w:rFonts w:hint="cs"/>
          <w:rtl/>
        </w:rPr>
        <w:t>שבעה</w:t>
      </w:r>
      <w:r w:rsidR="00191FCC" w:rsidRPr="002546DD">
        <w:rPr>
          <w:rtl/>
        </w:rPr>
        <w:t xml:space="preserve"> </w:t>
      </w:r>
      <w:r w:rsidRPr="002546DD">
        <w:rPr>
          <w:rtl/>
        </w:rPr>
        <w:t>ימים מיום הודעת ביטול חברות בקופה, את כלל המידע הרפואי שברשותה, הנוגע לאותו תושב, לקופת החולים הקולטת או לידיו של התושב</w:t>
      </w:r>
      <w:r w:rsidR="00191FCC">
        <w:rPr>
          <w:rFonts w:hint="cs"/>
          <w:rtl/>
        </w:rPr>
        <w:t xml:space="preserve">, אם הוא </w:t>
      </w:r>
      <w:r w:rsidR="00245C61">
        <w:rPr>
          <w:rFonts w:hint="cs"/>
          <w:rtl/>
        </w:rPr>
        <w:t>ביקש שהמידע יועבר לידיו</w:t>
      </w:r>
      <w:r w:rsidRPr="002546DD">
        <w:rPr>
          <w:rtl/>
        </w:rPr>
        <w:t xml:space="preserve">. </w:t>
      </w:r>
    </w:p>
    <w:p w14:paraId="64F9FB0D" w14:textId="77777777" w:rsidR="00987A56" w:rsidRDefault="00987A56" w:rsidP="00341B14">
      <w:pPr>
        <w:pStyle w:val="Hesber"/>
        <w:spacing w:line="240" w:lineRule="auto"/>
        <w:rPr>
          <w:rtl/>
        </w:rPr>
      </w:pPr>
      <w:r w:rsidRPr="00ED6461">
        <w:rPr>
          <w:rFonts w:hint="eastAsia"/>
          <w:rtl/>
        </w:rPr>
        <w:t>הצעות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חוק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דומות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בעיקרן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הונחו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על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שולחן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הכנסת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העשרים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ושלוש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על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ידי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חברת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הכנסת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קארין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אלהרר</w:t>
      </w:r>
      <w:r w:rsidRPr="00ED6461">
        <w:rPr>
          <w:rtl/>
        </w:rPr>
        <w:t xml:space="preserve"> (פ/1195/23) </w:t>
      </w:r>
      <w:r w:rsidRPr="00ED6461">
        <w:rPr>
          <w:rFonts w:hint="eastAsia"/>
          <w:rtl/>
        </w:rPr>
        <w:t>ועל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שולחן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הכנסת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העשרים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וארבע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על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ידי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חבר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הכנסת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ישראל</w:t>
      </w:r>
      <w:r w:rsidRPr="00ED6461">
        <w:rPr>
          <w:rtl/>
        </w:rPr>
        <w:t xml:space="preserve"> </w:t>
      </w:r>
      <w:proofErr w:type="spellStart"/>
      <w:r w:rsidRPr="00ED6461">
        <w:rPr>
          <w:rFonts w:hint="eastAsia"/>
          <w:rtl/>
        </w:rPr>
        <w:t>אייכלר</w:t>
      </w:r>
      <w:proofErr w:type="spellEnd"/>
      <w:r w:rsidRPr="00ED6461">
        <w:rPr>
          <w:rtl/>
        </w:rPr>
        <w:t xml:space="preserve"> (פ/394/24), </w:t>
      </w:r>
      <w:r w:rsidRPr="00ED6461">
        <w:rPr>
          <w:rFonts w:hint="eastAsia"/>
          <w:rtl/>
        </w:rPr>
        <w:t>על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ידי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חבר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הכנסת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רון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כץ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וקבוצת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חברי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הכנסת</w:t>
      </w:r>
      <w:r w:rsidRPr="00ED6461">
        <w:rPr>
          <w:rtl/>
        </w:rPr>
        <w:t xml:space="preserve"> (פ/1137/24) </w:t>
      </w:r>
      <w:r w:rsidRPr="00ED6461">
        <w:rPr>
          <w:rFonts w:hint="eastAsia"/>
          <w:rtl/>
        </w:rPr>
        <w:t>ועל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ידי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חבר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הכנסת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מיכאל</w:t>
      </w:r>
      <w:r w:rsidRPr="00ED6461">
        <w:rPr>
          <w:rtl/>
        </w:rPr>
        <w:t xml:space="preserve"> </w:t>
      </w:r>
      <w:proofErr w:type="spellStart"/>
      <w:r w:rsidRPr="00ED6461">
        <w:rPr>
          <w:rFonts w:hint="eastAsia"/>
          <w:rtl/>
        </w:rPr>
        <w:t>מלכיאלי</w:t>
      </w:r>
      <w:proofErr w:type="spellEnd"/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וקבוצת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חברי</w:t>
      </w:r>
      <w:r w:rsidRPr="00ED6461">
        <w:rPr>
          <w:rtl/>
        </w:rPr>
        <w:t xml:space="preserve"> </w:t>
      </w:r>
      <w:r w:rsidRPr="00ED6461">
        <w:rPr>
          <w:rFonts w:hint="eastAsia"/>
          <w:rtl/>
        </w:rPr>
        <w:t>הכנסת</w:t>
      </w:r>
      <w:r w:rsidRPr="00ED6461">
        <w:rPr>
          <w:rtl/>
        </w:rPr>
        <w:t xml:space="preserve"> (פ/1489</w:t>
      </w:r>
      <w:r>
        <w:rPr>
          <w:rFonts w:hint="cs"/>
          <w:rtl/>
        </w:rPr>
        <w:t>/24).</w:t>
      </w:r>
    </w:p>
    <w:p w14:paraId="7F6961CB" w14:textId="4079DCD8" w:rsidR="00E13C27" w:rsidRPr="00987A56" w:rsidRDefault="00245C61" w:rsidP="00341B14">
      <w:pPr>
        <w:pStyle w:val="Hesber"/>
        <w:spacing w:line="240" w:lineRule="auto"/>
        <w:rPr>
          <w:rtl/>
        </w:rPr>
      </w:pPr>
      <w:r>
        <w:rPr>
          <w:rFonts w:hint="cs"/>
          <w:rtl/>
        </w:rPr>
        <w:t>הצעת חוק זהה הונחה על שולחן הכנסת העשרים וארבע על ידי חברי הכנסת אחמד טיבי ואוסאמה סעדי (פ/1823/24).</w:t>
      </w:r>
    </w:p>
    <w:p w14:paraId="593762CC" w14:textId="77777777" w:rsidR="00454D55" w:rsidRDefault="00341B14" w:rsidP="00341B14">
      <w:pPr>
        <w:spacing w:line="240" w:lineRule="auto"/>
        <w:jc w:val="left"/>
      </w:pPr>
      <w:bookmarkStart w:id="8" w:name="selectedDocDateB"/>
      <w:bookmarkEnd w:id="8"/>
      <w:r>
        <w:rPr>
          <w:rFonts w:eastAsia="David" w:hint="cs"/>
          <w:sz w:val="26"/>
          <w:szCs w:val="26"/>
          <w:rtl/>
        </w:rPr>
        <w:t>--------------------------------</w:t>
      </w:r>
    </w:p>
    <w:p w14:paraId="3CD60234" w14:textId="77777777" w:rsidR="00454D55" w:rsidRDefault="00341B14" w:rsidP="00341B14">
      <w:pPr>
        <w:spacing w:line="240" w:lineRule="auto"/>
        <w:jc w:val="left"/>
      </w:pPr>
      <w:r>
        <w:rPr>
          <w:rFonts w:eastAsia="David" w:hint="cs"/>
          <w:sz w:val="26"/>
          <w:szCs w:val="26"/>
          <w:rtl/>
        </w:rPr>
        <w:t xml:space="preserve">הוגשה ליו"ר </w:t>
      </w:r>
      <w:r>
        <w:rPr>
          <w:rFonts w:eastAsia="David" w:hint="cs"/>
          <w:sz w:val="26"/>
          <w:szCs w:val="26"/>
          <w:rtl/>
        </w:rPr>
        <w:t>הכנסת והסגנים</w:t>
      </w:r>
    </w:p>
    <w:p w14:paraId="791F536A" w14:textId="77777777" w:rsidR="00454D55" w:rsidRDefault="00341B14" w:rsidP="00341B14">
      <w:pPr>
        <w:spacing w:line="240" w:lineRule="auto"/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7CC6299D" w14:textId="7A8FEFCC" w:rsidR="00454D55" w:rsidRDefault="00341B14" w:rsidP="00341B14">
      <w:pPr>
        <w:spacing w:line="240" w:lineRule="auto"/>
        <w:jc w:val="left"/>
      </w:pPr>
      <w:r>
        <w:rPr>
          <w:rFonts w:eastAsia="David" w:hint="cs"/>
          <w:sz w:val="26"/>
          <w:szCs w:val="26"/>
          <w:rtl/>
        </w:rPr>
        <w:t xml:space="preserve">ח' באייר </w:t>
      </w:r>
      <w:proofErr w:type="spellStart"/>
      <w:r>
        <w:rPr>
          <w:rFonts w:eastAsia="David" w:hint="cs"/>
          <w:sz w:val="26"/>
          <w:szCs w:val="26"/>
          <w:rtl/>
        </w:rPr>
        <w:t>התשפ"ב</w:t>
      </w:r>
      <w:proofErr w:type="spellEnd"/>
      <w:r>
        <w:rPr>
          <w:rFonts w:eastAsia="David" w:hint="cs"/>
          <w:sz w:val="26"/>
          <w:szCs w:val="26"/>
          <w:rtl/>
        </w:rPr>
        <w:t xml:space="preserve"> (09.05.2022) </w:t>
      </w:r>
      <w:bookmarkStart w:id="9" w:name="_GoBack"/>
      <w:bookmarkEnd w:id="9"/>
    </w:p>
    <w:sectPr w:rsidR="00454D55" w:rsidSect="00341B14">
      <w:footerReference w:type="even" r:id="rId11"/>
      <w:footerReference w:type="default" r:id="rId12"/>
      <w:pgSz w:w="11907" w:h="16840" w:code="9"/>
      <w:pgMar w:top="1701" w:right="1134" w:bottom="1276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CF6AD5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341B14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341B14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6521048D" w14:textId="77777777" w:rsidR="00987A56" w:rsidRDefault="00987A56" w:rsidP="00987A56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התשנ"ד</w:t>
      </w:r>
      <w:proofErr w:type="spellEnd"/>
      <w:r>
        <w:rPr>
          <w:rFonts w:hint="cs"/>
          <w:rtl/>
        </w:rPr>
        <w:t>, עמ' 156.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91FCC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5C6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41B14"/>
    <w:rsid w:val="0036422C"/>
    <w:rsid w:val="003710F6"/>
    <w:rsid w:val="00386E88"/>
    <w:rsid w:val="00396585"/>
    <w:rsid w:val="003D597E"/>
    <w:rsid w:val="003D6E38"/>
    <w:rsid w:val="003D74A0"/>
    <w:rsid w:val="004033D8"/>
    <w:rsid w:val="004073F0"/>
    <w:rsid w:val="00412A7D"/>
    <w:rsid w:val="00416B4D"/>
    <w:rsid w:val="00417CFC"/>
    <w:rsid w:val="00454D55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87A56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1ACBCB20-F1E6-4EC4-AE50-B18CEFA2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B14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B14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341B14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341B14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341B14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41B14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341B1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341B14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341B14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341B14"/>
    <w:rPr>
      <w:sz w:val="36"/>
      <w:szCs w:val="52"/>
    </w:rPr>
  </w:style>
  <w:style w:type="paragraph" w:customStyle="1" w:styleId="Cover3-Haknesset">
    <w:name w:val="Cover 3-Haknesset"/>
    <w:basedOn w:val="Cover1-Reshumot"/>
    <w:rsid w:val="00341B14"/>
    <w:rPr>
      <w:b/>
      <w:bCs/>
      <w:spacing w:val="60"/>
    </w:rPr>
  </w:style>
  <w:style w:type="paragraph" w:customStyle="1" w:styleId="Cover4-Date">
    <w:name w:val="Cover 4-Date"/>
    <w:basedOn w:val="a"/>
    <w:rsid w:val="00341B14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341B14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341B14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341B14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341B14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341B14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341B14"/>
    <w:pPr>
      <w:outlineLvl w:val="2"/>
    </w:pPr>
  </w:style>
  <w:style w:type="paragraph" w:customStyle="1" w:styleId="TableBlock">
    <w:name w:val="Table Block"/>
    <w:basedOn w:val="TableText"/>
    <w:rsid w:val="00341B14"/>
    <w:pPr>
      <w:jc w:val="both"/>
    </w:pPr>
  </w:style>
  <w:style w:type="paragraph" w:customStyle="1" w:styleId="TableHead">
    <w:name w:val="Table Head"/>
    <w:basedOn w:val="TableText"/>
    <w:rsid w:val="00341B14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341B14"/>
    <w:pPr>
      <w:outlineLvl w:val="9"/>
    </w:pPr>
  </w:style>
  <w:style w:type="paragraph" w:customStyle="1" w:styleId="Hesber">
    <w:name w:val="Hesber"/>
    <w:basedOn w:val="a"/>
    <w:rsid w:val="00341B14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341B14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341B14"/>
    <w:rPr>
      <w:vertAlign w:val="superscript"/>
    </w:rPr>
  </w:style>
  <w:style w:type="paragraph" w:customStyle="1" w:styleId="HesberHeading">
    <w:name w:val="Hesber Heading"/>
    <w:basedOn w:val="Hesber"/>
    <w:rsid w:val="00341B14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341B14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341B14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341B14"/>
    <w:rPr>
      <w:vertAlign w:val="superscript"/>
    </w:rPr>
  </w:style>
  <w:style w:type="paragraph" w:customStyle="1" w:styleId="TableBlockOutdent">
    <w:name w:val="Table BlockOutdent"/>
    <w:basedOn w:val="TableBlock"/>
    <w:rsid w:val="00341B14"/>
    <w:pPr>
      <w:ind w:left="624" w:hanging="624"/>
    </w:pPr>
  </w:style>
  <w:style w:type="paragraph" w:styleId="a7">
    <w:name w:val="header"/>
    <w:basedOn w:val="a"/>
    <w:rsid w:val="00341B14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341B14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341B14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341B14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341B14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341B14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341B14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341B14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341B14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341B14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341B14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341B14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341B14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341B14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341B14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341B14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341B14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341B14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341B14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341B14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341B14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341B14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341B14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341B14"/>
    <w:rPr>
      <w:rFonts w:eastAsia="Times New Roman"/>
    </w:rPr>
  </w:style>
  <w:style w:type="paragraph" w:styleId="ae">
    <w:name w:val="List Paragraph"/>
    <w:basedOn w:val="a"/>
    <w:uiPriority w:val="34"/>
    <w:qFormat/>
    <w:rsid w:val="00341B14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341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341B1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341B1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341B14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341B14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9217A2-E11A-4B0F-80B9-189343AD4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F90FAA-5F63-4928-9C5E-3B8BB2D4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ווייס עמר</cp:lastModifiedBy>
  <cp:revision>8</cp:revision>
  <cp:lastPrinted>2022-01-03T15:57:00Z</cp:lastPrinted>
  <dcterms:created xsi:type="dcterms:W3CDTF">2015-04-20T09:58:00Z</dcterms:created>
  <dcterms:modified xsi:type="dcterms:W3CDTF">2022-04-24T08:43:00Z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2167890</vt:r8>
  </property>
</Properties>
</file>