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2189989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A" w14:textId="3F0485C1" w:rsidR="00E13C27" w:rsidRPr="00CF1AA2" w:rsidRDefault="008F6665" w:rsidP="00B114FB">
      <w:pPr>
        <w:pStyle w:val="David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 xml:space="preserve">עידית </w:t>
      </w:r>
      <w:proofErr w:type="spellStart"/>
      <w:r>
        <w:rPr>
          <w:rFonts w:hint="cs"/>
          <w:b/>
          <w:bCs/>
          <w:rtl/>
        </w:rPr>
        <w:t>סילמן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 xml:space="preserve">אבי </w:t>
      </w:r>
      <w:proofErr w:type="spellStart"/>
      <w:r>
        <w:rPr>
          <w:rFonts w:hint="cs"/>
          <w:b/>
          <w:bCs/>
          <w:rtl/>
        </w:rPr>
        <w:t>דיכטר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rPr>
          <w:rFonts w:hint="cs"/>
          <w:b/>
          <w:bCs/>
          <w:rtl/>
        </w:rPr>
        <w:t>פטין</w:t>
      </w:r>
      <w:proofErr w:type="spellEnd"/>
      <w:r>
        <w:rPr>
          <w:rFonts w:hint="cs"/>
          <w:b/>
          <w:bCs/>
          <w:rtl/>
        </w:rPr>
        <w:t xml:space="preserve"> מולא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7221F1DD" w:rsidR="00E13C27" w:rsidRPr="00E06736" w:rsidRDefault="00904591" w:rsidP="00904591">
      <w:pPr>
        <w:pStyle w:val="David"/>
        <w:spacing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 w:rsidR="00B114FB">
        <w:rPr>
          <w:rtl/>
        </w:rPr>
        <w:tab/>
      </w:r>
      <w:r>
        <w:rPr>
          <w:rFonts w:hint="cs"/>
          <w:rtl/>
        </w:rPr>
        <w:t>פ/3557/24</w:t>
      </w:r>
      <w:bookmarkEnd w:id="6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401A3AF5" w14:textId="082AF89E" w:rsidR="000F5D19" w:rsidRDefault="00A443CF" w:rsidP="006C4B81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משפחות חיילים שנספו במערכה (תגמולים ושיקום) (תיקון </w:t>
      </w:r>
      <w:r w:rsidR="006C4B81">
        <w:rPr>
          <w:rFonts w:hint="eastAsia"/>
          <w:rtl/>
        </w:rPr>
        <w:t>–</w:t>
      </w:r>
      <w:r>
        <w:rPr>
          <w:rFonts w:hint="cs"/>
          <w:rtl/>
        </w:rPr>
        <w:t xml:space="preserve"> תוספת לשכול מבוגר), </w:t>
      </w:r>
      <w:proofErr w:type="spellStart"/>
      <w:r>
        <w:rPr>
          <w:rFonts w:hint="cs"/>
          <w:rtl/>
        </w:rPr>
        <w:t>התשפ"ב</w:t>
      </w:r>
      <w:bookmarkEnd w:id="7"/>
      <w:proofErr w:type="spellEnd"/>
      <w:r w:rsidR="006C4B81">
        <w:rPr>
          <w:rFonts w:hint="eastAsia"/>
          <w:rtl/>
        </w:rPr>
        <w:t>–</w:t>
      </w:r>
      <w:bookmarkStart w:id="8" w:name="_GoBack"/>
      <w:bookmarkEnd w:id="8"/>
      <w:r w:rsidR="003736A7">
        <w:rPr>
          <w:rFonts w:hint="cs"/>
          <w:rtl/>
        </w:rPr>
        <w:t>2022</w:t>
      </w: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1872"/>
        <w:gridCol w:w="624"/>
        <w:gridCol w:w="4647"/>
      </w:tblGrid>
      <w:tr w:rsidR="000F5D19" w:rsidRPr="009748A6" w14:paraId="44B9AA9D" w14:textId="77777777" w:rsidTr="00B114FB">
        <w:trPr>
          <w:cantSplit/>
        </w:trPr>
        <w:tc>
          <w:tcPr>
            <w:tcW w:w="1871" w:type="dxa"/>
          </w:tcPr>
          <w:p w14:paraId="49549D39" w14:textId="6BB3E6D2" w:rsidR="000F5D19" w:rsidRPr="00BA5ADB" w:rsidRDefault="00C93108" w:rsidP="00E341C7">
            <w:pPr>
              <w:pStyle w:val="TableSideHeading"/>
            </w:pPr>
            <w:r>
              <w:rPr>
                <w:rFonts w:hint="cs"/>
                <w:rtl/>
              </w:rPr>
              <w:t>הוספת סעיף 10ד</w:t>
            </w:r>
          </w:p>
        </w:tc>
        <w:tc>
          <w:tcPr>
            <w:tcW w:w="624" w:type="dxa"/>
          </w:tcPr>
          <w:p w14:paraId="4E2073D7" w14:textId="77777777" w:rsidR="000F5D19" w:rsidRPr="00C93108" w:rsidRDefault="000F5D19" w:rsidP="00C93108">
            <w:pPr>
              <w:pStyle w:val="TableText"/>
              <w:jc w:val="both"/>
            </w:pPr>
            <w:r w:rsidRPr="00C93108"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  <w:gridSpan w:val="3"/>
          </w:tcPr>
          <w:p w14:paraId="4E08DAAB" w14:textId="403A8ECC" w:rsidR="000F5D19" w:rsidRPr="00E341C7" w:rsidRDefault="000F5D19" w:rsidP="00B114FB">
            <w:pPr>
              <w:pStyle w:val="TableBlock"/>
            </w:pPr>
            <w:r w:rsidRPr="00E341C7">
              <w:rPr>
                <w:rtl/>
              </w:rPr>
              <w:t xml:space="preserve">בחוק משפחות חיילים שנספו במערכה (תגמולים ושיקום), </w:t>
            </w:r>
            <w:proofErr w:type="spellStart"/>
            <w:r w:rsidRPr="00E341C7">
              <w:rPr>
                <w:rtl/>
              </w:rPr>
              <w:t>התש"י</w:t>
            </w:r>
            <w:proofErr w:type="spellEnd"/>
            <w:r w:rsidRPr="00E341C7">
              <w:rPr>
                <w:rtl/>
              </w:rPr>
              <w:t>–1950</w:t>
            </w:r>
            <w:r w:rsidR="001C587D" w:rsidRPr="00B114FB">
              <w:rPr>
                <w:rStyle w:val="a5"/>
                <w:rFonts w:ascii="David" w:hAnsi="David"/>
                <w:sz w:val="26"/>
                <w:rtl/>
              </w:rPr>
              <w:footnoteReference w:id="2"/>
            </w:r>
            <w:r w:rsidRPr="00E341C7">
              <w:rPr>
                <w:rtl/>
              </w:rPr>
              <w:t xml:space="preserve">, </w:t>
            </w:r>
            <w:r w:rsidR="00C93108">
              <w:rPr>
                <w:rFonts w:hint="cs"/>
                <w:rtl/>
              </w:rPr>
              <w:t xml:space="preserve">אחרי </w:t>
            </w:r>
            <w:r w:rsidR="00B114FB">
              <w:rPr>
                <w:rFonts w:hint="cs"/>
                <w:rtl/>
              </w:rPr>
              <w:t>סעיף 10ג</w:t>
            </w:r>
            <w:r>
              <w:rPr>
                <w:rFonts w:hint="cs"/>
                <w:rtl/>
              </w:rPr>
              <w:t xml:space="preserve"> יבוא:</w:t>
            </w:r>
          </w:p>
        </w:tc>
      </w:tr>
      <w:tr w:rsidR="00C93108" w14:paraId="4CC5955B" w14:textId="77777777" w:rsidTr="00B114FB">
        <w:trPr>
          <w:cantSplit/>
        </w:trPr>
        <w:tc>
          <w:tcPr>
            <w:tcW w:w="1871" w:type="dxa"/>
          </w:tcPr>
          <w:p w14:paraId="2BD108B4" w14:textId="77777777" w:rsidR="00C93108" w:rsidRDefault="00C93108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0D47B6AA" w14:textId="77777777" w:rsidR="00C93108" w:rsidRDefault="00C93108">
            <w:pPr>
              <w:pStyle w:val="TableText"/>
              <w:keepLines w:val="0"/>
            </w:pPr>
          </w:p>
        </w:tc>
        <w:tc>
          <w:tcPr>
            <w:tcW w:w="1872" w:type="dxa"/>
          </w:tcPr>
          <w:p w14:paraId="13373FFF" w14:textId="58107293" w:rsidR="00C93108" w:rsidRDefault="00C93108" w:rsidP="001C587D">
            <w:pPr>
              <w:pStyle w:val="TableInnerSideHeading"/>
            </w:pPr>
            <w:r>
              <w:rPr>
                <w:rFonts w:hint="cs"/>
                <w:rtl/>
              </w:rPr>
              <w:t>"תוספת ל</w:t>
            </w:r>
            <w:r w:rsidR="001C587D">
              <w:rPr>
                <w:rFonts w:hint="cs"/>
                <w:rtl/>
              </w:rPr>
              <w:t>שכול</w:t>
            </w:r>
            <w:r>
              <w:rPr>
                <w:rFonts w:hint="cs"/>
                <w:rtl/>
              </w:rPr>
              <w:t xml:space="preserve"> מבוגר</w:t>
            </w:r>
          </w:p>
        </w:tc>
        <w:tc>
          <w:tcPr>
            <w:tcW w:w="624" w:type="dxa"/>
          </w:tcPr>
          <w:p w14:paraId="499EE1DE" w14:textId="28F64803" w:rsidR="00C93108" w:rsidRDefault="00C93108">
            <w:pPr>
              <w:pStyle w:val="TableText"/>
            </w:pPr>
            <w:r>
              <w:rPr>
                <w:rFonts w:hint="cs"/>
                <w:rtl/>
              </w:rPr>
              <w:t>10ד.</w:t>
            </w:r>
          </w:p>
        </w:tc>
        <w:tc>
          <w:tcPr>
            <w:tcW w:w="4647" w:type="dxa"/>
          </w:tcPr>
          <w:p w14:paraId="6F4BDF62" w14:textId="0FE36E39" w:rsidR="00397797" w:rsidRDefault="00397797" w:rsidP="00B114FB">
            <w:pPr>
              <w:pStyle w:val="TableBlock"/>
            </w:pPr>
            <w:r>
              <w:rPr>
                <w:rFonts w:hint="cs"/>
                <w:rtl/>
              </w:rPr>
              <w:t>ל</w:t>
            </w:r>
            <w:r w:rsidR="00C93108">
              <w:rPr>
                <w:rFonts w:hint="cs"/>
                <w:rtl/>
              </w:rPr>
              <w:t>שכול</w:t>
            </w:r>
            <w:r w:rsidR="001C587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תשולם, בנוסף לתגמול החודשי שהוא זכאי לו לפי הוראות חוק זה, תוספת </w:t>
            </w:r>
            <w:r w:rsidR="001C587D">
              <w:rPr>
                <w:rFonts w:hint="cs"/>
                <w:rtl/>
              </w:rPr>
              <w:t>בשיעור</w:t>
            </w:r>
            <w:r w:rsidR="00C9310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של </w:t>
            </w:r>
            <w:r w:rsidR="00C93108">
              <w:rPr>
                <w:rFonts w:hint="cs"/>
                <w:rtl/>
              </w:rPr>
              <w:t xml:space="preserve">10% </w:t>
            </w:r>
            <w:r w:rsidR="001C587D">
              <w:rPr>
                <w:rFonts w:hint="cs"/>
                <w:rtl/>
              </w:rPr>
              <w:t>מ</w:t>
            </w:r>
            <w:r>
              <w:rPr>
                <w:rFonts w:hint="cs"/>
                <w:rtl/>
              </w:rPr>
              <w:t>התגמול האמור, בהגיעו לגיל 60</w:t>
            </w:r>
            <w:r w:rsidR="00C93108">
              <w:rPr>
                <w:rFonts w:hint="cs"/>
                <w:rtl/>
              </w:rPr>
              <w:t>".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259D29CA" w14:textId="71622385" w:rsidR="000F5D19" w:rsidRPr="00B114FB" w:rsidRDefault="000F5D19" w:rsidP="00B114FB">
      <w:pPr>
        <w:pStyle w:val="Hesber"/>
        <w:spacing w:line="240" w:lineRule="auto"/>
        <w:rPr>
          <w:rtl/>
        </w:rPr>
      </w:pPr>
      <w:r w:rsidRPr="00B114FB">
        <w:rPr>
          <w:rtl/>
        </w:rPr>
        <w:t xml:space="preserve">צרכיהם של הורים שכולים בגיל השלישי אינם פחותים מצרכיהם </w:t>
      </w:r>
      <w:r w:rsidR="003736A7" w:rsidRPr="00B114FB">
        <w:rPr>
          <w:rFonts w:hint="cs"/>
          <w:rtl/>
        </w:rPr>
        <w:t>בגילאים צעירים יותר</w:t>
      </w:r>
      <w:r w:rsidR="00397797" w:rsidRPr="00B114FB">
        <w:rPr>
          <w:rFonts w:hint="cs"/>
          <w:rtl/>
        </w:rPr>
        <w:t xml:space="preserve"> </w:t>
      </w:r>
      <w:r w:rsidR="003736A7" w:rsidRPr="00B114FB">
        <w:rPr>
          <w:rFonts w:hint="cs"/>
          <w:rtl/>
        </w:rPr>
        <w:t>ו</w:t>
      </w:r>
      <w:r w:rsidR="00397797" w:rsidRPr="00B114FB">
        <w:rPr>
          <w:rFonts w:hint="cs"/>
          <w:rtl/>
        </w:rPr>
        <w:t xml:space="preserve">בשנים </w:t>
      </w:r>
      <w:r w:rsidR="003736A7" w:rsidRPr="00B114FB">
        <w:rPr>
          <w:rFonts w:hint="cs"/>
          <w:rtl/>
        </w:rPr>
        <w:t>ש</w:t>
      </w:r>
      <w:r w:rsidRPr="00B114FB">
        <w:rPr>
          <w:rtl/>
        </w:rPr>
        <w:t>בסמוך למועד נפילת ה</w:t>
      </w:r>
      <w:r w:rsidR="00397797" w:rsidRPr="00B114FB">
        <w:rPr>
          <w:rtl/>
        </w:rPr>
        <w:t>מנוח</w:t>
      </w:r>
      <w:r w:rsidR="00397797" w:rsidRPr="00B114FB">
        <w:rPr>
          <w:rFonts w:hint="cs"/>
          <w:rtl/>
        </w:rPr>
        <w:t xml:space="preserve">. </w:t>
      </w:r>
      <w:r w:rsidR="00397797" w:rsidRPr="00B114FB">
        <w:rPr>
          <w:rtl/>
        </w:rPr>
        <w:t xml:space="preserve">בהיבטים רבים צרכים אלו </w:t>
      </w:r>
      <w:r w:rsidR="00397797" w:rsidRPr="00B114FB">
        <w:rPr>
          <w:rFonts w:hint="cs"/>
          <w:rtl/>
        </w:rPr>
        <w:t xml:space="preserve">אף </w:t>
      </w:r>
      <w:r w:rsidRPr="00B114FB">
        <w:rPr>
          <w:rtl/>
        </w:rPr>
        <w:t>גדלים ומתרבים</w:t>
      </w:r>
      <w:r w:rsidR="00397797" w:rsidRPr="00B114FB">
        <w:rPr>
          <w:rFonts w:hint="cs"/>
          <w:rtl/>
        </w:rPr>
        <w:t xml:space="preserve"> עם השנים</w:t>
      </w:r>
      <w:r w:rsidR="00C86227" w:rsidRPr="00B114FB">
        <w:rPr>
          <w:rtl/>
        </w:rPr>
        <w:t>, בין היתר</w:t>
      </w:r>
      <w:r w:rsidR="00C86227" w:rsidRPr="00B114FB">
        <w:rPr>
          <w:rFonts w:hint="cs"/>
          <w:rtl/>
        </w:rPr>
        <w:t xml:space="preserve">, </w:t>
      </w:r>
      <w:r w:rsidRPr="00B114FB">
        <w:rPr>
          <w:rtl/>
        </w:rPr>
        <w:t>על</w:t>
      </w:r>
      <w:r w:rsidR="00397797" w:rsidRPr="00B114FB">
        <w:rPr>
          <w:rtl/>
        </w:rPr>
        <w:t xml:space="preserve"> רקע תחושת הבדידות המאפיינת גיל</w:t>
      </w:r>
      <w:r w:rsidR="00397797" w:rsidRPr="00B114FB">
        <w:rPr>
          <w:rFonts w:hint="cs"/>
          <w:rtl/>
        </w:rPr>
        <w:t xml:space="preserve"> מבוגר יותר</w:t>
      </w:r>
      <w:r w:rsidRPr="00B114FB">
        <w:rPr>
          <w:rtl/>
        </w:rPr>
        <w:t>.</w:t>
      </w:r>
    </w:p>
    <w:p w14:paraId="1958FD68" w14:textId="6FBA37C9" w:rsidR="000F5D19" w:rsidRPr="00B114FB" w:rsidRDefault="00397797" w:rsidP="00B114FB">
      <w:pPr>
        <w:pStyle w:val="Hesber"/>
        <w:spacing w:line="240" w:lineRule="auto"/>
        <w:rPr>
          <w:rtl/>
        </w:rPr>
      </w:pPr>
      <w:r w:rsidRPr="00B114FB">
        <w:rPr>
          <w:rtl/>
        </w:rPr>
        <w:t>לצד זאת, החל משנות ה</w:t>
      </w:r>
      <w:r w:rsidR="00C86227" w:rsidRPr="00B114FB">
        <w:rPr>
          <w:rFonts w:hint="cs"/>
          <w:rtl/>
        </w:rPr>
        <w:t>-</w:t>
      </w:r>
      <w:r w:rsidR="000F5D19" w:rsidRPr="00B114FB">
        <w:rPr>
          <w:rtl/>
        </w:rPr>
        <w:t xml:space="preserve">60 לחייהם, מרבית ההורים השכולים אינם מסוגלים להמשיך בעבודתם ומאבדים את מקור פרנסתם, באופן המגדיל </w:t>
      </w:r>
      <w:r w:rsidRPr="00B114FB">
        <w:rPr>
          <w:rFonts w:hint="cs"/>
          <w:rtl/>
        </w:rPr>
        <w:t xml:space="preserve">את </w:t>
      </w:r>
      <w:r w:rsidR="003736A7" w:rsidRPr="00B114FB">
        <w:rPr>
          <w:rtl/>
        </w:rPr>
        <w:t>הפער בין צ</w:t>
      </w:r>
      <w:r w:rsidR="000F5D19" w:rsidRPr="00B114FB">
        <w:rPr>
          <w:rtl/>
        </w:rPr>
        <w:t>רכיהם ל</w:t>
      </w:r>
      <w:r w:rsidRPr="00B114FB">
        <w:rPr>
          <w:rFonts w:hint="cs"/>
          <w:rtl/>
        </w:rPr>
        <w:t xml:space="preserve">בין </w:t>
      </w:r>
      <w:r w:rsidR="000F5D19" w:rsidRPr="00B114FB">
        <w:rPr>
          <w:rtl/>
        </w:rPr>
        <w:t>יכולתם</w:t>
      </w:r>
      <w:r w:rsidRPr="00B114FB">
        <w:rPr>
          <w:rFonts w:hint="cs"/>
          <w:rtl/>
        </w:rPr>
        <w:t xml:space="preserve"> הכלכלית</w:t>
      </w:r>
      <w:r w:rsidR="000F5D19" w:rsidRPr="00B114FB">
        <w:rPr>
          <w:rtl/>
        </w:rPr>
        <w:t>.</w:t>
      </w:r>
    </w:p>
    <w:p w14:paraId="05FE3C27" w14:textId="1D2F8621" w:rsidR="000F5D19" w:rsidRPr="00B114FB" w:rsidRDefault="000F5D19" w:rsidP="00B114FB">
      <w:pPr>
        <w:pStyle w:val="Hesber"/>
        <w:spacing w:line="240" w:lineRule="auto"/>
        <w:rPr>
          <w:rtl/>
        </w:rPr>
      </w:pPr>
      <w:r w:rsidRPr="00B114FB">
        <w:rPr>
          <w:rtl/>
        </w:rPr>
        <w:t>כבר בשנת 1994, במסגרת תיקון מס' 18 לחוק</w:t>
      </w:r>
      <w:r w:rsidR="00397797" w:rsidRPr="00B114FB">
        <w:rPr>
          <w:rFonts w:hint="cs"/>
          <w:rtl/>
        </w:rPr>
        <w:t xml:space="preserve"> </w:t>
      </w:r>
      <w:r w:rsidR="00397797" w:rsidRPr="00B114FB">
        <w:rPr>
          <w:rtl/>
        </w:rPr>
        <w:t xml:space="preserve">משפחות חיילים שנספו במערכה (תגמולים ושיקום), </w:t>
      </w:r>
      <w:proofErr w:type="spellStart"/>
      <w:r w:rsidR="00397797" w:rsidRPr="00B114FB">
        <w:rPr>
          <w:rtl/>
        </w:rPr>
        <w:t>התש"י</w:t>
      </w:r>
      <w:proofErr w:type="spellEnd"/>
      <w:r w:rsidR="00397797" w:rsidRPr="00B114FB">
        <w:rPr>
          <w:rtl/>
        </w:rPr>
        <w:t>–1950</w:t>
      </w:r>
      <w:r w:rsidR="00397797" w:rsidRPr="00B114FB">
        <w:rPr>
          <w:rFonts w:hint="cs"/>
          <w:rtl/>
        </w:rPr>
        <w:t xml:space="preserve"> (להלן </w:t>
      </w:r>
      <w:r w:rsidR="00397797" w:rsidRPr="00B114FB">
        <w:rPr>
          <w:rtl/>
        </w:rPr>
        <w:t>–</w:t>
      </w:r>
      <w:r w:rsidR="00397797" w:rsidRPr="00B114FB">
        <w:rPr>
          <w:rFonts w:hint="cs"/>
          <w:rtl/>
        </w:rPr>
        <w:t xml:space="preserve"> החוק)</w:t>
      </w:r>
      <w:r w:rsidR="00397797" w:rsidRPr="00B114FB">
        <w:rPr>
          <w:rtl/>
        </w:rPr>
        <w:t>, הוכר עקרון זה</w:t>
      </w:r>
      <w:r w:rsidR="00397797" w:rsidRPr="00B114FB">
        <w:rPr>
          <w:rFonts w:hint="cs"/>
          <w:rtl/>
        </w:rPr>
        <w:t xml:space="preserve"> במסגרת</w:t>
      </w:r>
      <w:r w:rsidRPr="00B114FB">
        <w:rPr>
          <w:rtl/>
        </w:rPr>
        <w:t xml:space="preserve"> </w:t>
      </w:r>
      <w:r w:rsidR="00397797" w:rsidRPr="00B114FB">
        <w:rPr>
          <w:rFonts w:hint="cs"/>
          <w:rtl/>
        </w:rPr>
        <w:t xml:space="preserve">הוספת </w:t>
      </w:r>
      <w:r w:rsidRPr="00B114FB">
        <w:rPr>
          <w:rtl/>
        </w:rPr>
        <w:t>סעיף 8ג</w:t>
      </w:r>
      <w:r w:rsidR="00397797" w:rsidRPr="00B114FB">
        <w:rPr>
          <w:rFonts w:hint="cs"/>
          <w:rtl/>
        </w:rPr>
        <w:t xml:space="preserve"> לחוק,</w:t>
      </w:r>
      <w:r w:rsidRPr="00B114FB">
        <w:rPr>
          <w:rtl/>
        </w:rPr>
        <w:t xml:space="preserve"> המורה על תשלום תוספת גמלה בשיעור של 10% לאלמנה שהגיעה לגיל 60.</w:t>
      </w:r>
    </w:p>
    <w:p w14:paraId="7F6961CB" w14:textId="4E70B1EA" w:rsidR="00E13C27" w:rsidRPr="00B114FB" w:rsidRDefault="000F5D19" w:rsidP="00B114FB">
      <w:pPr>
        <w:pStyle w:val="Hesber"/>
        <w:spacing w:line="240" w:lineRule="auto"/>
        <w:rPr>
          <w:rtl/>
        </w:rPr>
      </w:pPr>
      <w:r w:rsidRPr="00B114FB">
        <w:rPr>
          <w:rtl/>
        </w:rPr>
        <w:t xml:space="preserve">אין כל הצדקה </w:t>
      </w:r>
      <w:r w:rsidR="00397797" w:rsidRPr="00B114FB">
        <w:rPr>
          <w:rFonts w:hint="cs"/>
          <w:rtl/>
        </w:rPr>
        <w:t xml:space="preserve">להעניק תוספת זו לאלמנה ולא להורים שכולים, ועל כן הצעת חוק זו </w:t>
      </w:r>
      <w:r w:rsidR="00B114FB">
        <w:rPr>
          <w:rFonts w:hint="cs"/>
          <w:rtl/>
        </w:rPr>
        <w:t>נועדה</w:t>
      </w:r>
      <w:r w:rsidR="00397797" w:rsidRPr="00B114FB">
        <w:rPr>
          <w:rFonts w:hint="cs"/>
          <w:rtl/>
        </w:rPr>
        <w:t xml:space="preserve"> לקבוע כי גם הורים שכולים יהיו זכאים לתוספת של 10% לתגמול החודשי לו הם זכאים לפי החוק בהגיעם לגיל 60. </w:t>
      </w:r>
    </w:p>
    <w:p w14:paraId="0212E42A" w14:textId="77777777" w:rsidR="004B62E4" w:rsidRDefault="00B114FB">
      <w:pPr>
        <w:jc w:val="left"/>
      </w:pPr>
      <w:bookmarkStart w:id="9" w:name="selectedDocDateB"/>
      <w:bookmarkEnd w:id="9"/>
      <w:r>
        <w:rPr>
          <w:rFonts w:eastAsia="David" w:hint="cs"/>
          <w:sz w:val="26"/>
          <w:szCs w:val="26"/>
          <w:rtl/>
        </w:rPr>
        <w:t>--------------------------------</w:t>
      </w:r>
    </w:p>
    <w:p w14:paraId="29C7E3BE" w14:textId="77777777" w:rsidR="004B62E4" w:rsidRDefault="00B114FB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7478CA9C" w14:textId="77777777" w:rsidR="004B62E4" w:rsidRDefault="00B114FB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5901CAAA" w14:textId="77777777" w:rsidR="004B62E4" w:rsidRDefault="00B114FB">
      <w:pPr>
        <w:jc w:val="left"/>
      </w:pPr>
      <w:r>
        <w:rPr>
          <w:rFonts w:eastAsia="David" w:hint="cs"/>
          <w:sz w:val="26"/>
          <w:szCs w:val="26"/>
          <w:rtl/>
        </w:rPr>
        <w:t xml:space="preserve">ו' באדר ב' התשפ"ב (09.03.2022) </w:t>
      </w:r>
    </w:p>
    <w:p w14:paraId="1ECEE423" w14:textId="77777777" w:rsidR="004B62E4" w:rsidRDefault="004B62E4">
      <w:pPr>
        <w:spacing w:line="276" w:lineRule="auto"/>
        <w:jc w:val="left"/>
      </w:pPr>
    </w:p>
    <w:sectPr w:rsidR="004B62E4" w:rsidSect="00B114FB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B114FB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B114FB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55897698" w14:textId="2BBB7790" w:rsidR="001C587D" w:rsidRDefault="001C587D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התש"י</w:t>
      </w:r>
      <w:proofErr w:type="spellEnd"/>
      <w:r>
        <w:rPr>
          <w:rFonts w:hint="cs"/>
          <w:rtl/>
        </w:rPr>
        <w:t>, עמ' 162.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4F3"/>
    <w:rsid w:val="00072CAC"/>
    <w:rsid w:val="0007681A"/>
    <w:rsid w:val="000A542E"/>
    <w:rsid w:val="000F5D19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C587D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736A7"/>
    <w:rsid w:val="00386E88"/>
    <w:rsid w:val="00396585"/>
    <w:rsid w:val="00397797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2E4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6C4B81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B3328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14FB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86227"/>
    <w:rsid w:val="00C9176A"/>
    <w:rsid w:val="00C93108"/>
    <w:rsid w:val="00CF1AA2"/>
    <w:rsid w:val="00D142D3"/>
    <w:rsid w:val="00D17774"/>
    <w:rsid w:val="00D63620"/>
    <w:rsid w:val="00D8410D"/>
    <w:rsid w:val="00D867D7"/>
    <w:rsid w:val="00DB7060"/>
    <w:rsid w:val="00DE3153"/>
    <w:rsid w:val="00E012F0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0573FDF7-F834-4F55-B208-7CF5E395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4FB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14FB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B114FB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B114FB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B114FB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114FB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114FB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B114FB"/>
    <w:rPr>
      <w:sz w:val="36"/>
      <w:szCs w:val="52"/>
    </w:rPr>
  </w:style>
  <w:style w:type="paragraph" w:customStyle="1" w:styleId="Cover3-Haknesset">
    <w:name w:val="Cover 3-Haknesset"/>
    <w:basedOn w:val="Cover1-Reshumot"/>
    <w:rsid w:val="00B114FB"/>
    <w:rPr>
      <w:b/>
      <w:bCs/>
      <w:spacing w:val="60"/>
    </w:rPr>
  </w:style>
  <w:style w:type="paragraph" w:customStyle="1" w:styleId="Cover4-Date">
    <w:name w:val="Cover 4-Date"/>
    <w:basedOn w:val="a"/>
    <w:rsid w:val="00B114FB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114FB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B114FB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B114FB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114FB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114FB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B114FB"/>
    <w:pPr>
      <w:outlineLvl w:val="2"/>
    </w:pPr>
  </w:style>
  <w:style w:type="paragraph" w:customStyle="1" w:styleId="TableBlock">
    <w:name w:val="Table Block"/>
    <w:basedOn w:val="TableText"/>
    <w:rsid w:val="00B114FB"/>
    <w:pPr>
      <w:jc w:val="both"/>
    </w:pPr>
  </w:style>
  <w:style w:type="paragraph" w:customStyle="1" w:styleId="TableHead">
    <w:name w:val="Table Head"/>
    <w:basedOn w:val="TableText"/>
    <w:rsid w:val="00B114FB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114FB"/>
    <w:pPr>
      <w:outlineLvl w:val="9"/>
    </w:pPr>
  </w:style>
  <w:style w:type="paragraph" w:customStyle="1" w:styleId="Hesber">
    <w:name w:val="Hesber"/>
    <w:basedOn w:val="a"/>
    <w:rsid w:val="00B114FB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B114FB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B114FB"/>
    <w:rPr>
      <w:vertAlign w:val="superscript"/>
    </w:rPr>
  </w:style>
  <w:style w:type="paragraph" w:customStyle="1" w:styleId="HesberHeading">
    <w:name w:val="Hesber Heading"/>
    <w:basedOn w:val="Hesber"/>
    <w:rsid w:val="00B114FB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B114FB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B114FB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114FB"/>
    <w:rPr>
      <w:vertAlign w:val="superscript"/>
    </w:rPr>
  </w:style>
  <w:style w:type="paragraph" w:customStyle="1" w:styleId="TableBlockOutdent">
    <w:name w:val="Table BlockOutdent"/>
    <w:basedOn w:val="TableBlock"/>
    <w:rsid w:val="00B114FB"/>
    <w:pPr>
      <w:ind w:left="624" w:hanging="624"/>
    </w:pPr>
  </w:style>
  <w:style w:type="paragraph" w:styleId="a7">
    <w:name w:val="header"/>
    <w:basedOn w:val="a"/>
    <w:rsid w:val="00B114FB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114FB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114FB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114FB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B114FB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default">
    <w:name w:val="default"/>
    <w:basedOn w:val="a0"/>
    <w:rsid w:val="000F5D19"/>
    <w:rPr>
      <w:rFonts w:ascii="Times New Roman" w:hAnsi="Times New Roman" w:cs="Times New Roman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B114FB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B114FB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B114FB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B114FB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B114FB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B114FB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B114FB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B114FB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B114FB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B114FB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B114FB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B114FB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B114FB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B114FB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B114FB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B114FB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B114FB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B114FB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B114FB"/>
    <w:rPr>
      <w:rFonts w:eastAsia="Times New Roman"/>
    </w:rPr>
  </w:style>
  <w:style w:type="paragraph" w:styleId="ae">
    <w:name w:val="List Paragraph"/>
    <w:basedOn w:val="a"/>
    <w:uiPriority w:val="34"/>
    <w:qFormat/>
    <w:rsid w:val="00B114FB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B11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B114F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B114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B114FB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B114FB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  <w:style w:type="paragraph" w:customStyle="1" w:styleId="P00">
    <w:name w:val="P00"/>
    <w:link w:val="P000"/>
    <w:rsid w:val="00397797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eastAsia="Times New Roman"/>
      <w:noProof/>
      <w:szCs w:val="26"/>
      <w:lang w:eastAsia="he-IL"/>
    </w:rPr>
  </w:style>
  <w:style w:type="character" w:customStyle="1" w:styleId="P000">
    <w:name w:val="P00 תו"/>
    <w:link w:val="P00"/>
    <w:rsid w:val="00397797"/>
    <w:rPr>
      <w:rFonts w:eastAsia="Times New Roman"/>
      <w:noProof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6080-3EE0-43DD-8B77-BC38338CB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4A5E6E-F4FA-494A-B425-C1C8CE72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12</cp:revision>
  <cp:lastPrinted>2022-03-08T09:51:00Z</cp:lastPrinted>
  <dcterms:created xsi:type="dcterms:W3CDTF">2015-04-20T09:58:00Z</dcterms:created>
  <dcterms:modified xsi:type="dcterms:W3CDTF">2022-03-08T09:51:00Z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2189989</vt:r8>
  </property>
</Properties>
</file>