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2190169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52611170" w:rsidR="00E13C27" w:rsidRPr="00CF1AA2" w:rsidRDefault="008F6665" w:rsidP="00EB5D82">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משה טור פז</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פ/3649/24</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491197B6" w:rsidR="00E13C27" w:rsidRPr="00F67051" w:rsidRDefault="00A443CF" w:rsidP="00682FE8">
      <w:pPr>
        <w:pStyle w:val="HeadHatzaotHok"/>
        <w:rPr>
          <w:rtl/>
        </w:rPr>
      </w:pPr>
      <w:bookmarkStart w:id="7" w:name="LGS_Subject"/>
      <w:r>
        <w:rPr>
          <w:rFonts w:hint="cs"/>
          <w:rtl/>
        </w:rPr>
        <w:t xml:space="preserve">הצעת חוק הסכמים קיבוציים (תיקון </w:t>
      </w:r>
      <w:r w:rsidR="00682FE8">
        <w:rPr>
          <w:rFonts w:hint="eastAsia"/>
          <w:rtl/>
        </w:rPr>
        <w:t>–</w:t>
      </w:r>
      <w:r>
        <w:rPr>
          <w:rFonts w:hint="cs"/>
          <w:rtl/>
        </w:rPr>
        <w:t xml:space="preserve"> בחירות לוועד עובדים ולארגון יציג), התשפ"ב</w:t>
      </w:r>
      <w:r w:rsidR="00682FE8">
        <w:rPr>
          <w:rFonts w:hint="eastAsia"/>
          <w:rtl/>
        </w:rPr>
        <w:t>–</w:t>
      </w:r>
      <w:r>
        <w:rPr>
          <w:rFonts w:hint="cs"/>
          <w:rtl/>
        </w:rPr>
        <w:t>2022</w:t>
      </w:r>
      <w:bookmarkEnd w:id="7"/>
    </w:p>
    <w:p w14:paraId="7F6961AE" w14:textId="77777777" w:rsidR="00E13C27" w:rsidRDefault="00E13C27" w:rsidP="0021633A">
      <w:pPr>
        <w:pStyle w:val="HeadDivreiHesber"/>
        <w:spacing w:before="0" w:after="0"/>
        <w:rPr>
          <w:rtl/>
        </w:rPr>
      </w:pPr>
    </w:p>
    <w:tbl>
      <w:tblPr>
        <w:bidiVisual/>
        <w:tblW w:w="9638" w:type="dxa"/>
        <w:tblCellMar>
          <w:left w:w="0" w:type="dxa"/>
          <w:right w:w="0" w:type="dxa"/>
        </w:tblCellMar>
        <w:tblLook w:val="04A0" w:firstRow="1" w:lastRow="0" w:firstColumn="1" w:lastColumn="0" w:noHBand="0" w:noVBand="1"/>
      </w:tblPr>
      <w:tblGrid>
        <w:gridCol w:w="1871"/>
        <w:gridCol w:w="624"/>
        <w:gridCol w:w="7143"/>
      </w:tblGrid>
      <w:tr w:rsidR="00113098" w:rsidRPr="00113098" w14:paraId="0C315753" w14:textId="77777777" w:rsidTr="007E29EA">
        <w:tc>
          <w:tcPr>
            <w:tcW w:w="1871" w:type="dxa"/>
            <w:tcMar>
              <w:top w:w="57" w:type="dxa"/>
              <w:left w:w="0" w:type="dxa"/>
              <w:bottom w:w="57" w:type="dxa"/>
              <w:right w:w="0" w:type="dxa"/>
            </w:tcMar>
            <w:hideMark/>
          </w:tcPr>
          <w:p w14:paraId="6F70BBE1" w14:textId="54B9D85C" w:rsidR="00113098" w:rsidRPr="007232F9" w:rsidRDefault="00113098" w:rsidP="007232F9">
            <w:pPr>
              <w:pStyle w:val="TableSideHeading"/>
              <w:ind w:right="0"/>
              <w:rPr>
                <w:rtl/>
              </w:rPr>
            </w:pPr>
            <w:r w:rsidRPr="007232F9">
              <w:rPr>
                <w:rtl/>
              </w:rPr>
              <w:t>תיקון סעיף 33ח</w:t>
            </w:r>
            <w:r w:rsidR="00E31528">
              <w:rPr>
                <w:rFonts w:hint="cs"/>
                <w:rtl/>
              </w:rPr>
              <w:t>1</w:t>
            </w:r>
            <w:r w:rsidRPr="007232F9">
              <w:rPr>
                <w:rtl/>
              </w:rPr>
              <w:t xml:space="preserve"> </w:t>
            </w:r>
          </w:p>
          <w:p w14:paraId="52E4A750" w14:textId="77777777" w:rsidR="00113098" w:rsidRPr="00113098" w:rsidRDefault="00113098" w:rsidP="007E29EA">
            <w:pPr>
              <w:pStyle w:val="tablesideheading0"/>
              <w:bidi/>
              <w:spacing w:before="0" w:beforeAutospacing="0" w:after="0" w:afterAutospacing="0" w:line="320" w:lineRule="atLeast"/>
              <w:rPr>
                <w:rStyle w:val="default"/>
                <w:rFonts w:ascii="David" w:hAnsi="David" w:cs="David"/>
                <w:rtl/>
              </w:rPr>
            </w:pPr>
          </w:p>
        </w:tc>
        <w:tc>
          <w:tcPr>
            <w:tcW w:w="624" w:type="dxa"/>
            <w:tcMar>
              <w:top w:w="57" w:type="dxa"/>
              <w:left w:w="0" w:type="dxa"/>
              <w:bottom w:w="57" w:type="dxa"/>
              <w:right w:w="0" w:type="dxa"/>
            </w:tcMar>
            <w:hideMark/>
          </w:tcPr>
          <w:p w14:paraId="28F39C94" w14:textId="77777777" w:rsidR="00113098" w:rsidRPr="00E31528" w:rsidRDefault="00113098" w:rsidP="00E31528">
            <w:pPr>
              <w:pStyle w:val="TableText"/>
              <w:ind w:right="0"/>
              <w:jc w:val="both"/>
              <w:rPr>
                <w:rtl/>
              </w:rPr>
            </w:pPr>
            <w:r w:rsidRPr="00E31528">
              <w:rPr>
                <w:rtl/>
              </w:rPr>
              <w:t>1.</w:t>
            </w:r>
          </w:p>
        </w:tc>
        <w:tc>
          <w:tcPr>
            <w:tcW w:w="7143" w:type="dxa"/>
            <w:tcMar>
              <w:top w:w="57" w:type="dxa"/>
              <w:left w:w="0" w:type="dxa"/>
              <w:bottom w:w="57" w:type="dxa"/>
              <w:right w:w="0" w:type="dxa"/>
            </w:tcMar>
            <w:hideMark/>
          </w:tcPr>
          <w:p w14:paraId="24CA9E8D" w14:textId="09E7CE0E" w:rsidR="00113098" w:rsidRPr="00E31528" w:rsidRDefault="00113098" w:rsidP="00E31528">
            <w:pPr>
              <w:pStyle w:val="TableBlock"/>
              <w:rPr>
                <w:rtl/>
              </w:rPr>
            </w:pPr>
            <w:r w:rsidRPr="00E31528">
              <w:rPr>
                <w:rtl/>
              </w:rPr>
              <w:t>בחוק הסכמים קיבוציים, התשי"ז–1957</w:t>
            </w:r>
            <w:bookmarkStart w:id="8" w:name="_ftnref1"/>
            <w:r w:rsidR="007232F9">
              <w:rPr>
                <w:rStyle w:val="a6"/>
                <w:rtl/>
              </w:rPr>
              <w:footnoteReference w:id="2"/>
            </w:r>
            <w:bookmarkEnd w:id="8"/>
            <w:r w:rsidRPr="00E31528">
              <w:rPr>
                <w:rtl/>
              </w:rPr>
              <w:t xml:space="preserve">, </w:t>
            </w:r>
            <w:r w:rsidR="00D50ABB" w:rsidRPr="00E31528">
              <w:rPr>
                <w:rFonts w:hint="eastAsia"/>
                <w:rtl/>
              </w:rPr>
              <w:t>בסעיף</w:t>
            </w:r>
            <w:r w:rsidR="00D50ABB" w:rsidRPr="00E31528">
              <w:rPr>
                <w:rtl/>
              </w:rPr>
              <w:t xml:space="preserve"> 33ח</w:t>
            </w:r>
            <w:r w:rsidR="00E31528">
              <w:rPr>
                <w:rFonts w:hint="cs"/>
                <w:rtl/>
              </w:rPr>
              <w:t>1</w:t>
            </w:r>
            <w:r w:rsidR="00D50ABB" w:rsidRPr="00E31528">
              <w:rPr>
                <w:rtl/>
              </w:rPr>
              <w:t xml:space="preserve">, </w:t>
            </w:r>
            <w:r w:rsidR="00E31528">
              <w:rPr>
                <w:rFonts w:hint="cs"/>
                <w:rtl/>
              </w:rPr>
              <w:t>אחרי סעיף קטן (ב)</w:t>
            </w:r>
            <w:r w:rsidR="00BE00A6" w:rsidRPr="00E31528">
              <w:rPr>
                <w:rtl/>
              </w:rPr>
              <w:t xml:space="preserve"> </w:t>
            </w:r>
            <w:r w:rsidR="00BE00A6" w:rsidRPr="00E31528">
              <w:rPr>
                <w:rFonts w:hint="eastAsia"/>
                <w:rtl/>
              </w:rPr>
              <w:t>יבוא</w:t>
            </w:r>
            <w:r w:rsidR="00BE00A6" w:rsidRPr="00E31528">
              <w:rPr>
                <w:rtl/>
              </w:rPr>
              <w:t>:</w:t>
            </w:r>
          </w:p>
        </w:tc>
      </w:tr>
      <w:tr w:rsidR="007232F9" w:rsidRPr="00113098" w14:paraId="00E5BD83" w14:textId="77777777" w:rsidTr="007E24C1">
        <w:tc>
          <w:tcPr>
            <w:tcW w:w="1871" w:type="dxa"/>
            <w:tcMar>
              <w:top w:w="57" w:type="dxa"/>
              <w:left w:w="0" w:type="dxa"/>
              <w:bottom w:w="57" w:type="dxa"/>
              <w:right w:w="0" w:type="dxa"/>
            </w:tcMar>
            <w:hideMark/>
          </w:tcPr>
          <w:p w14:paraId="0B5D3F6C" w14:textId="77777777" w:rsidR="007232F9" w:rsidRPr="00113098" w:rsidRDefault="007232F9" w:rsidP="007E29EA">
            <w:pPr>
              <w:pStyle w:val="tablesideheading0"/>
              <w:bidi/>
              <w:spacing w:before="0" w:beforeAutospacing="0" w:after="0" w:afterAutospacing="0" w:line="320" w:lineRule="atLeast"/>
              <w:rPr>
                <w:rStyle w:val="default"/>
                <w:rFonts w:ascii="David" w:hAnsi="David" w:cs="David"/>
                <w:rtl/>
              </w:rPr>
            </w:pPr>
            <w:r w:rsidRPr="00113098">
              <w:rPr>
                <w:rStyle w:val="default"/>
                <w:rFonts w:ascii="David" w:hAnsi="David" w:cs="David"/>
              </w:rPr>
              <w:t> </w:t>
            </w:r>
          </w:p>
        </w:tc>
        <w:tc>
          <w:tcPr>
            <w:tcW w:w="624" w:type="dxa"/>
            <w:tcMar>
              <w:top w:w="57" w:type="dxa"/>
              <w:left w:w="0" w:type="dxa"/>
              <w:bottom w:w="57" w:type="dxa"/>
              <w:right w:w="0" w:type="dxa"/>
            </w:tcMar>
            <w:hideMark/>
          </w:tcPr>
          <w:p w14:paraId="1356C8DC" w14:textId="77777777" w:rsidR="007232F9" w:rsidRPr="00113098" w:rsidRDefault="007232F9" w:rsidP="007E29EA">
            <w:pPr>
              <w:pStyle w:val="tabletext0"/>
              <w:bidi/>
              <w:spacing w:before="0" w:beforeAutospacing="0" w:after="0" w:afterAutospacing="0" w:line="320" w:lineRule="atLeast"/>
              <w:rPr>
                <w:rStyle w:val="default"/>
                <w:rFonts w:ascii="David" w:hAnsi="David" w:cs="David"/>
                <w:rtl/>
              </w:rPr>
            </w:pPr>
            <w:r w:rsidRPr="00113098">
              <w:rPr>
                <w:rStyle w:val="default"/>
                <w:rFonts w:ascii="David" w:hAnsi="David" w:cs="David"/>
              </w:rPr>
              <w:t> </w:t>
            </w:r>
          </w:p>
        </w:tc>
        <w:tc>
          <w:tcPr>
            <w:tcW w:w="7143" w:type="dxa"/>
            <w:tcMar>
              <w:top w:w="57" w:type="dxa"/>
              <w:left w:w="0" w:type="dxa"/>
              <w:bottom w:w="57" w:type="dxa"/>
              <w:right w:w="0" w:type="dxa"/>
            </w:tcMar>
            <w:hideMark/>
          </w:tcPr>
          <w:p w14:paraId="765DA090" w14:textId="7669E5E4" w:rsidR="007232F9" w:rsidRPr="007232F9" w:rsidRDefault="00E31528" w:rsidP="0052668C">
            <w:pPr>
              <w:pStyle w:val="TableBlock"/>
              <w:rPr>
                <w:rtl/>
              </w:rPr>
            </w:pPr>
            <w:r w:rsidRPr="007232F9">
              <w:rPr>
                <w:rFonts w:hint="cs"/>
                <w:rtl/>
              </w:rPr>
              <w:t>"(</w:t>
            </w:r>
            <w:r>
              <w:rPr>
                <w:rFonts w:hint="cs"/>
                <w:rtl/>
              </w:rPr>
              <w:t>ג</w:t>
            </w:r>
            <w:r w:rsidRPr="007232F9">
              <w:rPr>
                <w:rFonts w:hint="cs"/>
                <w:rtl/>
              </w:rPr>
              <w:t xml:space="preserve">) </w:t>
            </w:r>
            <w:r>
              <w:rPr>
                <w:rtl/>
              </w:rPr>
              <w:tab/>
            </w:r>
            <w:r>
              <w:rPr>
                <w:rFonts w:hint="cs"/>
                <w:rtl/>
              </w:rPr>
              <w:t xml:space="preserve">ארגון עובדים בהתארגנות ראשונית יקיים </w:t>
            </w:r>
            <w:r w:rsidRPr="007232F9">
              <w:rPr>
                <w:rtl/>
              </w:rPr>
              <w:t>בחירות</w:t>
            </w:r>
            <w:r>
              <w:rPr>
                <w:rFonts w:hint="cs"/>
                <w:rtl/>
              </w:rPr>
              <w:t xml:space="preserve"> ראשונות</w:t>
            </w:r>
            <w:r w:rsidRPr="007232F9">
              <w:rPr>
                <w:rtl/>
              </w:rPr>
              <w:t xml:space="preserve"> ל</w:t>
            </w:r>
            <w:r>
              <w:rPr>
                <w:rFonts w:hint="cs"/>
                <w:rtl/>
              </w:rPr>
              <w:t>ו</w:t>
            </w:r>
            <w:r w:rsidRPr="007232F9">
              <w:rPr>
                <w:rtl/>
              </w:rPr>
              <w:t xml:space="preserve">ועד </w:t>
            </w:r>
            <w:r>
              <w:rPr>
                <w:rFonts w:hint="cs"/>
                <w:rtl/>
              </w:rPr>
              <w:t>ה</w:t>
            </w:r>
            <w:r w:rsidRPr="007232F9">
              <w:rPr>
                <w:rtl/>
              </w:rPr>
              <w:t>עובדים</w:t>
            </w:r>
            <w:r>
              <w:rPr>
                <w:rFonts w:hint="cs"/>
                <w:rtl/>
              </w:rPr>
              <w:t xml:space="preserve"> </w:t>
            </w:r>
            <w:r w:rsidRPr="007232F9">
              <w:rPr>
                <w:rtl/>
              </w:rPr>
              <w:t xml:space="preserve">בתוך 3 חודשים ממועד </w:t>
            </w:r>
            <w:r>
              <w:rPr>
                <w:rFonts w:hint="cs"/>
                <w:rtl/>
              </w:rPr>
              <w:t>שהפך לארגון יציג, וכן יקיים בחירות מידי חמש שנים</w:t>
            </w:r>
            <w:r w:rsidRPr="007232F9">
              <w:rPr>
                <w:rtl/>
              </w:rPr>
              <w:t xml:space="preserve"> ממועד קיום הבחירות </w:t>
            </w:r>
            <w:r>
              <w:rPr>
                <w:rFonts w:hint="cs"/>
                <w:rtl/>
              </w:rPr>
              <w:t>הראשונות</w:t>
            </w:r>
            <w:r w:rsidRPr="007232F9">
              <w:rPr>
                <w:rFonts w:hint="cs"/>
                <w:rtl/>
              </w:rPr>
              <w:t>;</w:t>
            </w:r>
          </w:p>
        </w:tc>
      </w:tr>
      <w:tr w:rsidR="007232F9" w:rsidRPr="00113098" w14:paraId="6AFB0623" w14:textId="77777777" w:rsidTr="006F341F">
        <w:tc>
          <w:tcPr>
            <w:tcW w:w="1871" w:type="dxa"/>
            <w:tcMar>
              <w:top w:w="57" w:type="dxa"/>
              <w:left w:w="0" w:type="dxa"/>
              <w:bottom w:w="57" w:type="dxa"/>
              <w:right w:w="0" w:type="dxa"/>
            </w:tcMar>
            <w:hideMark/>
          </w:tcPr>
          <w:p w14:paraId="08A3EE2F" w14:textId="77777777" w:rsidR="007232F9" w:rsidRPr="00113098" w:rsidRDefault="007232F9" w:rsidP="007E29EA">
            <w:pPr>
              <w:pStyle w:val="tablesideheading0"/>
              <w:bidi/>
              <w:spacing w:before="0" w:beforeAutospacing="0" w:after="0" w:afterAutospacing="0" w:line="320" w:lineRule="atLeast"/>
              <w:rPr>
                <w:rStyle w:val="default"/>
                <w:rFonts w:ascii="David" w:hAnsi="David" w:cs="David"/>
                <w:rtl/>
              </w:rPr>
            </w:pPr>
            <w:r w:rsidRPr="00113098">
              <w:rPr>
                <w:rStyle w:val="default"/>
                <w:rFonts w:ascii="David" w:hAnsi="David" w:cs="David"/>
              </w:rPr>
              <w:t> </w:t>
            </w:r>
          </w:p>
        </w:tc>
        <w:tc>
          <w:tcPr>
            <w:tcW w:w="624" w:type="dxa"/>
            <w:tcMar>
              <w:top w:w="57" w:type="dxa"/>
              <w:left w:w="0" w:type="dxa"/>
              <w:bottom w:w="57" w:type="dxa"/>
              <w:right w:w="0" w:type="dxa"/>
            </w:tcMar>
            <w:hideMark/>
          </w:tcPr>
          <w:p w14:paraId="13F53F45" w14:textId="77777777" w:rsidR="007232F9" w:rsidRPr="00113098" w:rsidRDefault="007232F9" w:rsidP="007E29EA">
            <w:pPr>
              <w:pStyle w:val="tabletext0"/>
              <w:bidi/>
              <w:spacing w:before="0" w:beforeAutospacing="0" w:after="0" w:afterAutospacing="0" w:line="320" w:lineRule="atLeast"/>
              <w:rPr>
                <w:rStyle w:val="default"/>
                <w:rFonts w:ascii="David" w:hAnsi="David" w:cs="David"/>
                <w:rtl/>
              </w:rPr>
            </w:pPr>
            <w:r w:rsidRPr="00113098">
              <w:rPr>
                <w:rStyle w:val="default"/>
                <w:rFonts w:ascii="David" w:hAnsi="David" w:cs="David"/>
              </w:rPr>
              <w:t> </w:t>
            </w:r>
          </w:p>
        </w:tc>
        <w:tc>
          <w:tcPr>
            <w:tcW w:w="7143" w:type="dxa"/>
            <w:tcMar>
              <w:top w:w="57" w:type="dxa"/>
              <w:left w:w="0" w:type="dxa"/>
              <w:bottom w:w="57" w:type="dxa"/>
              <w:right w:w="0" w:type="dxa"/>
            </w:tcMar>
            <w:hideMark/>
          </w:tcPr>
          <w:p w14:paraId="2238755C" w14:textId="1DA7B1DD" w:rsidR="007232F9" w:rsidRPr="007232F9" w:rsidRDefault="00E31528" w:rsidP="00094AE2">
            <w:pPr>
              <w:pStyle w:val="TableBlock"/>
              <w:rPr>
                <w:rtl/>
              </w:rPr>
            </w:pPr>
            <w:r w:rsidRPr="007232F9">
              <w:rPr>
                <w:rFonts w:hint="cs"/>
                <w:rtl/>
              </w:rPr>
              <w:t>(</w:t>
            </w:r>
            <w:r>
              <w:rPr>
                <w:rFonts w:hint="cs"/>
                <w:rtl/>
              </w:rPr>
              <w:t>ד</w:t>
            </w:r>
            <w:r w:rsidRPr="007232F9">
              <w:rPr>
                <w:rFonts w:hint="cs"/>
                <w:rtl/>
              </w:rPr>
              <w:t xml:space="preserve">) </w:t>
            </w:r>
            <w:r>
              <w:rPr>
                <w:rtl/>
              </w:rPr>
              <w:tab/>
            </w:r>
            <w:r w:rsidRPr="007232F9">
              <w:rPr>
                <w:rtl/>
              </w:rPr>
              <w:t xml:space="preserve">ועד עובדים רשאי </w:t>
            </w:r>
            <w:r>
              <w:rPr>
                <w:rFonts w:hint="cs"/>
                <w:rtl/>
              </w:rPr>
              <w:t>להכריז</w:t>
            </w:r>
            <w:r w:rsidRPr="007232F9">
              <w:rPr>
                <w:rtl/>
              </w:rPr>
              <w:t xml:space="preserve"> על בחירות בהם יבחרו העובדים את ארגון העובדים שייצג אותם</w:t>
            </w:r>
            <w:r>
              <w:rPr>
                <w:rFonts w:hint="cs"/>
                <w:rtl/>
              </w:rPr>
              <w:t>;</w:t>
            </w:r>
            <w:r w:rsidRPr="007232F9">
              <w:rPr>
                <w:rtl/>
              </w:rPr>
              <w:t xml:space="preserve"> השר יהיה רשאי להתקין תקנות בעניין סדרי הבחירות לארגון העובדים."</w:t>
            </w:r>
          </w:p>
        </w:tc>
      </w:tr>
    </w:tbl>
    <w:p w14:paraId="7F6961CA" w14:textId="77777777" w:rsidR="002D1EE3" w:rsidRPr="00364CD1" w:rsidRDefault="002D1EE3" w:rsidP="002D1EE3">
      <w:pPr>
        <w:pStyle w:val="HeadDivreiHesber"/>
        <w:rPr>
          <w:rFonts w:ascii="David" w:hAnsi="David"/>
          <w:sz w:val="26"/>
          <w:rtl/>
        </w:rPr>
      </w:pPr>
      <w:r w:rsidRPr="00364CD1">
        <w:rPr>
          <w:rFonts w:ascii="David" w:hAnsi="David"/>
          <w:sz w:val="26"/>
          <w:rtl/>
        </w:rPr>
        <w:t>דברי הסבר</w:t>
      </w:r>
    </w:p>
    <w:p w14:paraId="16AA5174" w14:textId="30BA90F2" w:rsidR="008F44FE" w:rsidRPr="008F44FE" w:rsidRDefault="00113098" w:rsidP="008F44FE">
      <w:pPr>
        <w:rPr>
          <w:rFonts w:ascii="David" w:eastAsia="Assistant" w:hAnsi="David" w:cs="David"/>
          <w:sz w:val="26"/>
          <w:szCs w:val="26"/>
          <w:u w:val="single"/>
        </w:rPr>
      </w:pPr>
      <w:r w:rsidRPr="008F44FE">
        <w:rPr>
          <w:rStyle w:val="default"/>
          <w:rFonts w:ascii="David" w:hAnsi="David" w:cs="David"/>
          <w:rtl/>
          <w:lang w:eastAsia="en-US"/>
        </w:rPr>
        <w:t xml:space="preserve"> </w:t>
      </w:r>
    </w:p>
    <w:p w14:paraId="52FCCE11" w14:textId="77777777" w:rsidR="00E31528" w:rsidRPr="007232F9" w:rsidRDefault="00E31528" w:rsidP="00E31528">
      <w:pPr>
        <w:pStyle w:val="Hesber"/>
        <w:rPr>
          <w:rtl/>
        </w:rPr>
      </w:pPr>
      <w:r w:rsidRPr="007232F9">
        <w:rPr>
          <w:rFonts w:hint="cs"/>
          <w:rtl/>
        </w:rPr>
        <w:t>דרישות ה</w:t>
      </w:r>
      <w:r>
        <w:rPr>
          <w:rFonts w:hint="cs"/>
          <w:rtl/>
        </w:rPr>
        <w:t>י</w:t>
      </w:r>
      <w:r w:rsidRPr="007232F9">
        <w:rPr>
          <w:rFonts w:hint="cs"/>
          <w:rtl/>
        </w:rPr>
        <w:t>סוד מארגון עובדים נקבעו בבג"ץ עמית (בג"ץ 7029/95 הסתדרות העובדים הכללית נ' בית הדין הארצי לעבודה, פ"</w:t>
      </w:r>
      <w:r>
        <w:rPr>
          <w:rFonts w:hint="cs"/>
          <w:rtl/>
        </w:rPr>
        <w:t>ד</w:t>
      </w:r>
      <w:r w:rsidRPr="007232F9">
        <w:rPr>
          <w:rFonts w:hint="cs"/>
          <w:rtl/>
        </w:rPr>
        <w:t xml:space="preserve"> נא (2) 63). </w:t>
      </w:r>
      <w:r>
        <w:rPr>
          <w:rFonts w:hint="cs"/>
          <w:rtl/>
        </w:rPr>
        <w:t xml:space="preserve">מבין דרישות אלה, </w:t>
      </w:r>
      <w:r w:rsidRPr="007232F9">
        <w:rPr>
          <w:rFonts w:hint="cs"/>
          <w:rtl/>
        </w:rPr>
        <w:t xml:space="preserve"> עקרון היסוד המרכזי שאמור להנחות כל ארגון עובדים</w:t>
      </w:r>
      <w:r>
        <w:rPr>
          <w:rFonts w:hint="cs"/>
          <w:rtl/>
        </w:rPr>
        <w:t xml:space="preserve"> הוא</w:t>
      </w:r>
      <w:r w:rsidRPr="007232F9">
        <w:rPr>
          <w:rFonts w:hint="cs"/>
          <w:rtl/>
        </w:rPr>
        <w:t xml:space="preserve"> היותו של ארגון העובדים עצמאי ודמוקרטי.</w:t>
      </w:r>
      <w:r>
        <w:rPr>
          <w:rFonts w:hint="cs"/>
          <w:rtl/>
        </w:rPr>
        <w:t xml:space="preserve"> אולם,</w:t>
      </w:r>
      <w:r w:rsidRPr="007232F9">
        <w:rPr>
          <w:rFonts w:hint="cs"/>
          <w:rtl/>
        </w:rPr>
        <w:t xml:space="preserve"> המצב החוקי כיום מעמיד בספק את יכולתם של העובדים לנהל את עניינם הקיבוצי באופן עצמאי ודמוקרטי. </w:t>
      </w:r>
    </w:p>
    <w:p w14:paraId="477A4C80" w14:textId="5431F420" w:rsidR="00E31528" w:rsidRPr="007232F9" w:rsidRDefault="00E31528" w:rsidP="00E31528">
      <w:pPr>
        <w:pStyle w:val="Hesber"/>
        <w:rPr>
          <w:rtl/>
        </w:rPr>
      </w:pPr>
      <w:r w:rsidRPr="007232F9">
        <w:rPr>
          <w:rFonts w:hint="cs"/>
          <w:rtl/>
        </w:rPr>
        <w:t>יחידת המיקוח הטבעית ביחסי עבודה היא עובדי המעסיק. החריג הוא ארגוני עובדים פרופסיונאליים, כגון ארגון הרופאים או ארגון האחיות, וארגוני עובדים ענפיים, למשל בענפי שמירה ונ</w:t>
      </w:r>
      <w:r>
        <w:rPr>
          <w:rFonts w:hint="cs"/>
          <w:rtl/>
        </w:rPr>
        <w:t>י</w:t>
      </w:r>
      <w:r w:rsidRPr="007232F9">
        <w:rPr>
          <w:rFonts w:hint="cs"/>
          <w:rtl/>
        </w:rPr>
        <w:t>קיון. סעיף 3 לחוק הסכמים קיבוציים</w:t>
      </w:r>
      <w:r>
        <w:rPr>
          <w:rFonts w:hint="cs"/>
          <w:rtl/>
        </w:rPr>
        <w:t>, התשי"ז-1957,</w:t>
      </w:r>
      <w:r w:rsidRPr="007232F9">
        <w:rPr>
          <w:rFonts w:hint="cs"/>
          <w:rtl/>
        </w:rPr>
        <w:t xml:space="preserve"> קובע </w:t>
      </w:r>
      <w:r>
        <w:rPr>
          <w:rFonts w:hint="cs"/>
          <w:rtl/>
        </w:rPr>
        <w:t>של</w:t>
      </w:r>
      <w:r w:rsidRPr="00B94D07">
        <w:rPr>
          <w:rtl/>
        </w:rPr>
        <w:t>ענ</w:t>
      </w:r>
      <w:r>
        <w:rPr>
          <w:rFonts w:hint="cs"/>
          <w:rtl/>
        </w:rPr>
        <w:t>י</w:t>
      </w:r>
      <w:r w:rsidRPr="00B94D07">
        <w:rPr>
          <w:rtl/>
        </w:rPr>
        <w:t xml:space="preserve">ין הסכם קיבוצי מיוחד </w:t>
      </w:r>
      <w:r>
        <w:rPr>
          <w:rFonts w:hint="cs"/>
          <w:rtl/>
        </w:rPr>
        <w:t xml:space="preserve">ארגון יציג הוא </w:t>
      </w:r>
      <w:r w:rsidRPr="00B94D07">
        <w:rPr>
          <w:rtl/>
        </w:rPr>
        <w:t xml:space="preserve">ארגון העובדים שעם חבריו נמנה </w:t>
      </w:r>
      <w:r>
        <w:rPr>
          <w:rFonts w:hint="cs"/>
          <w:rtl/>
        </w:rPr>
        <w:t xml:space="preserve">לפחות </w:t>
      </w:r>
      <w:r w:rsidRPr="00B94D07">
        <w:rPr>
          <w:rtl/>
        </w:rPr>
        <w:t xml:space="preserve">שליש </w:t>
      </w:r>
      <w:r>
        <w:rPr>
          <w:rFonts w:hint="cs"/>
          <w:rtl/>
        </w:rPr>
        <w:t>מ</w:t>
      </w:r>
      <w:r w:rsidRPr="00B94D07">
        <w:rPr>
          <w:rtl/>
        </w:rPr>
        <w:t>כלל העובדים שעליהם יחול ההסכם</w:t>
      </w:r>
      <w:r>
        <w:rPr>
          <w:rFonts w:hint="cs"/>
          <w:rtl/>
        </w:rPr>
        <w:t xml:space="preserve"> הקיבוצי</w:t>
      </w:r>
      <w:r w:rsidRPr="00B94D07">
        <w:rPr>
          <w:rtl/>
        </w:rPr>
        <w:t>.</w:t>
      </w:r>
      <w:r w:rsidRPr="007232F9">
        <w:rPr>
          <w:rFonts w:hint="cs"/>
          <w:rtl/>
        </w:rPr>
        <w:t xml:space="preserve"> בפועל</w:t>
      </w:r>
      <w:r>
        <w:rPr>
          <w:rFonts w:hint="cs"/>
          <w:rtl/>
        </w:rPr>
        <w:t>,</w:t>
      </w:r>
      <w:r w:rsidRPr="007232F9">
        <w:rPr>
          <w:rFonts w:hint="cs"/>
          <w:rtl/>
        </w:rPr>
        <w:t xml:space="preserve"> במרבית מההתא</w:t>
      </w:r>
      <w:r>
        <w:rPr>
          <w:rFonts w:hint="cs"/>
          <w:rtl/>
        </w:rPr>
        <w:t>רגנויות</w:t>
      </w:r>
      <w:r w:rsidRPr="007232F9">
        <w:rPr>
          <w:rFonts w:hint="cs"/>
          <w:rtl/>
        </w:rPr>
        <w:t xml:space="preserve"> הראשוניות נעזרים העובדים ב</w:t>
      </w:r>
      <w:r>
        <w:rPr>
          <w:rFonts w:hint="cs"/>
          <w:rtl/>
        </w:rPr>
        <w:t xml:space="preserve">ארגונים קיימים כדוגמת </w:t>
      </w:r>
      <w:r w:rsidRPr="007232F9">
        <w:rPr>
          <w:rFonts w:hint="cs"/>
          <w:rtl/>
        </w:rPr>
        <w:t xml:space="preserve">הסתדרות </w:t>
      </w:r>
      <w:r>
        <w:rPr>
          <w:rFonts w:hint="cs"/>
          <w:rtl/>
        </w:rPr>
        <w:t xml:space="preserve">העובדים </w:t>
      </w:r>
      <w:r w:rsidRPr="007232F9">
        <w:rPr>
          <w:rFonts w:hint="cs"/>
          <w:rtl/>
        </w:rPr>
        <w:t xml:space="preserve">הכללית </w:t>
      </w:r>
      <w:r>
        <w:rPr>
          <w:rFonts w:hint="cs"/>
          <w:rtl/>
        </w:rPr>
        <w:t xml:space="preserve">החדשה או </w:t>
      </w:r>
      <w:r w:rsidRPr="007232F9">
        <w:rPr>
          <w:rFonts w:hint="cs"/>
          <w:rtl/>
        </w:rPr>
        <w:t>בארגוני עובדים ארציים אחרים (</w:t>
      </w:r>
      <w:r>
        <w:rPr>
          <w:rFonts w:hint="cs"/>
          <w:rtl/>
        </w:rPr>
        <w:t xml:space="preserve">כדוגמת </w:t>
      </w:r>
      <w:r w:rsidRPr="007232F9">
        <w:rPr>
          <w:rFonts w:hint="cs"/>
          <w:rtl/>
        </w:rPr>
        <w:t xml:space="preserve">הסתדרות לאומית </w:t>
      </w:r>
      <w:r>
        <w:rPr>
          <w:rFonts w:hint="cs"/>
          <w:rtl/>
        </w:rPr>
        <w:t>ו</w:t>
      </w:r>
      <w:r w:rsidRPr="007232F9">
        <w:rPr>
          <w:rFonts w:hint="cs"/>
          <w:rtl/>
        </w:rPr>
        <w:t>כוח לעובדים). מצב דברים זה עשוי לגרום לכך שמדיניות מובילי ההתא</w:t>
      </w:r>
      <w:r>
        <w:rPr>
          <w:rFonts w:hint="cs"/>
          <w:rtl/>
        </w:rPr>
        <w:t>רגנות</w:t>
      </w:r>
      <w:r w:rsidRPr="007232F9">
        <w:rPr>
          <w:rFonts w:hint="cs"/>
          <w:rtl/>
        </w:rPr>
        <w:t xml:space="preserve"> אינה עולה בקנה אחד עם רצונם של רוב העובדים</w:t>
      </w:r>
      <w:r>
        <w:rPr>
          <w:rFonts w:hint="cs"/>
          <w:rtl/>
        </w:rPr>
        <w:t xml:space="preserve">, </w:t>
      </w:r>
      <w:r w:rsidRPr="007232F9">
        <w:rPr>
          <w:rFonts w:hint="cs"/>
          <w:rtl/>
        </w:rPr>
        <w:t xml:space="preserve"> </w:t>
      </w:r>
      <w:r>
        <w:rPr>
          <w:rFonts w:hint="cs"/>
          <w:rtl/>
        </w:rPr>
        <w:t>שכן</w:t>
      </w:r>
      <w:r w:rsidRPr="007232F9">
        <w:rPr>
          <w:rtl/>
        </w:rPr>
        <w:t xml:space="preserve"> ועדי העובדים ממ</w:t>
      </w:r>
      <w:r w:rsidRPr="007232F9">
        <w:rPr>
          <w:rFonts w:hint="cs"/>
          <w:rtl/>
        </w:rPr>
        <w:t>מ</w:t>
      </w:r>
      <w:r w:rsidRPr="007232F9">
        <w:rPr>
          <w:rtl/>
        </w:rPr>
        <w:t>ונים על ידי ההסתדרות</w:t>
      </w:r>
      <w:r>
        <w:rPr>
          <w:rFonts w:hint="cs"/>
          <w:rtl/>
        </w:rPr>
        <w:t xml:space="preserve"> ו</w:t>
      </w:r>
      <w:r w:rsidRPr="007232F9">
        <w:rPr>
          <w:rtl/>
        </w:rPr>
        <w:t>אינם מקפידים על מועדי הבחירות הקבועות בתקנון ה</w:t>
      </w:r>
      <w:r>
        <w:rPr>
          <w:rFonts w:hint="cs"/>
          <w:rtl/>
        </w:rPr>
        <w:t>ו</w:t>
      </w:r>
      <w:r w:rsidRPr="007232F9">
        <w:rPr>
          <w:rtl/>
        </w:rPr>
        <w:t>ועדים של ההסתדרות ו</w:t>
      </w:r>
      <w:r>
        <w:rPr>
          <w:rFonts w:hint="cs"/>
          <w:rtl/>
        </w:rPr>
        <w:t xml:space="preserve">כך </w:t>
      </w:r>
      <w:r w:rsidRPr="007232F9">
        <w:rPr>
          <w:rtl/>
        </w:rPr>
        <w:t xml:space="preserve">מכהנים בתפקידם שנים רבות.  עריכת בחירות </w:t>
      </w:r>
      <w:r w:rsidRPr="007232F9">
        <w:rPr>
          <w:rtl/>
        </w:rPr>
        <w:lastRenderedPageBreak/>
        <w:t>ל</w:t>
      </w:r>
      <w:r>
        <w:rPr>
          <w:rFonts w:hint="cs"/>
          <w:rtl/>
        </w:rPr>
        <w:t>ו</w:t>
      </w:r>
      <w:r w:rsidRPr="007232F9">
        <w:rPr>
          <w:rtl/>
        </w:rPr>
        <w:t>ועד העובדים בסמוך לאחר הכרזת היציגות</w:t>
      </w:r>
      <w:r>
        <w:rPr>
          <w:rFonts w:hint="cs"/>
          <w:rtl/>
        </w:rPr>
        <w:t>,</w:t>
      </w:r>
      <w:r w:rsidRPr="007232F9">
        <w:rPr>
          <w:rtl/>
        </w:rPr>
        <w:t xml:space="preserve"> תחזק את היסודות הדמוקרטיים בהתנהלות ארגון העובדים, תבטיח שמדיניות ארגון העובדים מתאימה לרוב העובדים </w:t>
      </w:r>
      <w:r>
        <w:rPr>
          <w:rFonts w:hint="cs"/>
          <w:rtl/>
        </w:rPr>
        <w:t>ש</w:t>
      </w:r>
      <w:r w:rsidRPr="007232F9">
        <w:rPr>
          <w:rtl/>
        </w:rPr>
        <w:t>עליהם יחול ההסכם הקיבוצי, גם אם הם אינם חברי ארגון העובדים שסייע לעובדים להתא</w:t>
      </w:r>
      <w:r>
        <w:rPr>
          <w:rFonts w:hint="cs"/>
          <w:rtl/>
        </w:rPr>
        <w:t>רגן</w:t>
      </w:r>
      <w:r w:rsidRPr="007232F9">
        <w:rPr>
          <w:rFonts w:hint="cs"/>
          <w:rtl/>
        </w:rPr>
        <w:t xml:space="preserve"> </w:t>
      </w:r>
      <w:r w:rsidRPr="007232F9">
        <w:rPr>
          <w:rtl/>
        </w:rPr>
        <w:t>(סב</w:t>
      </w:r>
      <w:r>
        <w:rPr>
          <w:rFonts w:hint="cs"/>
          <w:rtl/>
        </w:rPr>
        <w:t>"</w:t>
      </w:r>
      <w:r w:rsidRPr="007232F9">
        <w:rPr>
          <w:rtl/>
        </w:rPr>
        <w:t>א (ארצי) 2632-01-15‏ ‏ הסתדרות העובדים הלאומית נ' הסתדרות הפועל המזרחי בישראל</w:t>
      </w:r>
      <w:r>
        <w:rPr>
          <w:rFonts w:hint="cs"/>
          <w:rtl/>
        </w:rPr>
        <w:t xml:space="preserve">, (10/9/2015), להלן </w:t>
      </w:r>
      <w:r>
        <w:rPr>
          <w:rtl/>
        </w:rPr>
        <w:t>–</w:t>
      </w:r>
      <w:r>
        <w:rPr>
          <w:rFonts w:hint="cs"/>
          <w:rtl/>
        </w:rPr>
        <w:t xml:space="preserve"> פס"ד הפועל המזרחי</w:t>
      </w:r>
      <w:r w:rsidRPr="007232F9">
        <w:rPr>
          <w:rtl/>
        </w:rPr>
        <w:t>)</w:t>
      </w:r>
      <w:r w:rsidRPr="007232F9">
        <w:rPr>
          <w:rFonts w:hint="cs"/>
          <w:rtl/>
        </w:rPr>
        <w:t>.</w:t>
      </w:r>
    </w:p>
    <w:p w14:paraId="39D59AAD" w14:textId="77777777" w:rsidR="00E31528" w:rsidRDefault="00E31528" w:rsidP="00E31528">
      <w:pPr>
        <w:pStyle w:val="Hesber"/>
        <w:rPr>
          <w:rtl/>
        </w:rPr>
      </w:pPr>
      <w:r w:rsidRPr="007232F9">
        <w:rPr>
          <w:rtl/>
        </w:rPr>
        <w:t xml:space="preserve">במצב </w:t>
      </w:r>
      <w:r>
        <w:rPr>
          <w:rFonts w:hint="cs"/>
          <w:rtl/>
        </w:rPr>
        <w:t>ה</w:t>
      </w:r>
      <w:r w:rsidRPr="007232F9">
        <w:rPr>
          <w:rtl/>
        </w:rPr>
        <w:t>יום, ועד העובדים שאמור לייצג את אינטרס העובדים במקום העבודה מייצג למעשה את האינטרס של ארגון העובדים שיזם את התא</w:t>
      </w:r>
      <w:r>
        <w:rPr>
          <w:rFonts w:hint="cs"/>
          <w:rtl/>
        </w:rPr>
        <w:t>רגנות</w:t>
      </w:r>
      <w:r w:rsidRPr="007232F9">
        <w:rPr>
          <w:rtl/>
        </w:rPr>
        <w:t xml:space="preserve"> העובדים או שמייצג את העובדים באופן היסטורי. </w:t>
      </w:r>
      <w:r>
        <w:rPr>
          <w:rFonts w:hint="cs"/>
          <w:rtl/>
        </w:rPr>
        <w:t>בפס"ד</w:t>
      </w:r>
      <w:r w:rsidRPr="007232F9">
        <w:rPr>
          <w:rtl/>
        </w:rPr>
        <w:t xml:space="preserve"> הפועל המזרחי נקבע שו</w:t>
      </w:r>
      <w:r>
        <w:rPr>
          <w:rFonts w:hint="cs"/>
          <w:rtl/>
        </w:rPr>
        <w:t>ו</w:t>
      </w:r>
      <w:r w:rsidRPr="007232F9">
        <w:rPr>
          <w:rtl/>
        </w:rPr>
        <w:t xml:space="preserve">עד עובדים אינו רשאי לפעול להחתמת עובדים לארגון מתחרה. לפיכך, הדרך היחידה להחליף את ארגון העובדים היא שארגון עובדים אחר יחתים לפחות </w:t>
      </w:r>
      <w:r>
        <w:rPr>
          <w:rFonts w:hint="cs"/>
          <w:rtl/>
        </w:rPr>
        <w:t>שליש</w:t>
      </w:r>
      <w:r w:rsidRPr="007232F9">
        <w:rPr>
          <w:rtl/>
        </w:rPr>
        <w:t xml:space="preserve"> מהעובדים במקום העבודה</w:t>
      </w:r>
      <w:r>
        <w:rPr>
          <w:rFonts w:hint="cs"/>
          <w:rtl/>
        </w:rPr>
        <w:t>, וכך</w:t>
      </w:r>
      <w:r w:rsidRPr="007232F9">
        <w:rPr>
          <w:rtl/>
        </w:rPr>
        <w:t xml:space="preserve"> החלפת ארגון העובדים</w:t>
      </w:r>
      <w:r>
        <w:rPr>
          <w:rFonts w:hint="cs"/>
          <w:rtl/>
        </w:rPr>
        <w:t xml:space="preserve"> הופכת  לכל הפחות לקשה ביותר, וברוב המקרים אף</w:t>
      </w:r>
      <w:r w:rsidRPr="007232F9">
        <w:rPr>
          <w:rtl/>
        </w:rPr>
        <w:t xml:space="preserve"> לבלתי אפשרית. </w:t>
      </w:r>
    </w:p>
    <w:p w14:paraId="529B9FF6" w14:textId="77777777" w:rsidR="00E31528" w:rsidRPr="007232F9" w:rsidRDefault="00E31528" w:rsidP="00E31528">
      <w:pPr>
        <w:pStyle w:val="Hesber"/>
        <w:rPr>
          <w:rtl/>
        </w:rPr>
      </w:pPr>
      <w:r w:rsidRPr="007232F9">
        <w:rPr>
          <w:rtl/>
        </w:rPr>
        <w:t xml:space="preserve">קיום בחירות עיתיות אחת לכמה שנים לארגון העובדים יאפשר לעובדים לבחור את ארגון העובדים שיסייע להם באופן המיטבי לקדם את האינטרס שלהם כלפי מעסיקם. </w:t>
      </w:r>
      <w:r>
        <w:rPr>
          <w:rFonts w:hint="cs"/>
          <w:rtl/>
        </w:rPr>
        <w:t>ה</w:t>
      </w:r>
      <w:r w:rsidRPr="007232F9">
        <w:rPr>
          <w:rtl/>
        </w:rPr>
        <w:t xml:space="preserve">פתרון </w:t>
      </w:r>
      <w:r>
        <w:rPr>
          <w:rFonts w:hint="cs"/>
          <w:rtl/>
        </w:rPr>
        <w:t>של עריכת בחירות נקבע בפסיקה בפס"ד</w:t>
      </w:r>
      <w:r w:rsidRPr="007232F9">
        <w:rPr>
          <w:rtl/>
        </w:rPr>
        <w:t xml:space="preserve"> הפועל המזרחי </w:t>
      </w:r>
      <w:r>
        <w:rPr>
          <w:rFonts w:hint="cs"/>
          <w:rtl/>
        </w:rPr>
        <w:t xml:space="preserve">כאמור וכן בפסק הדין </w:t>
      </w:r>
      <w:r w:rsidRPr="007232F9">
        <w:rPr>
          <w:rtl/>
        </w:rPr>
        <w:t>בעניין סופרבוס (סב</w:t>
      </w:r>
      <w:r>
        <w:rPr>
          <w:rFonts w:hint="cs"/>
          <w:rtl/>
        </w:rPr>
        <w:t>"</w:t>
      </w:r>
      <w:r w:rsidRPr="007232F9">
        <w:rPr>
          <w:rtl/>
        </w:rPr>
        <w:t>א (ארצי) 18117-01-16 הסתדרות העובדים הכללית החדשה נ' כוח לעובדים ארגון עובדים דמוקרטי (28/6/2016)</w:t>
      </w:r>
      <w:r>
        <w:rPr>
          <w:rFonts w:hint="cs"/>
          <w:rtl/>
        </w:rPr>
        <w:t xml:space="preserve">, להלן </w:t>
      </w:r>
      <w:r>
        <w:rPr>
          <w:rtl/>
        </w:rPr>
        <w:t>–</w:t>
      </w:r>
      <w:r>
        <w:rPr>
          <w:rFonts w:hint="cs"/>
          <w:rtl/>
        </w:rPr>
        <w:t xml:space="preserve"> פס"ד סןפרבוס</w:t>
      </w:r>
      <w:r w:rsidRPr="007232F9">
        <w:rPr>
          <w:rtl/>
        </w:rPr>
        <w:t>)</w:t>
      </w:r>
      <w:r>
        <w:rPr>
          <w:rFonts w:hint="cs"/>
          <w:rtl/>
        </w:rPr>
        <w:t>,</w:t>
      </w:r>
      <w:r w:rsidRPr="007232F9">
        <w:rPr>
          <w:rtl/>
        </w:rPr>
        <w:t xml:space="preserve"> בו קבע נשיא בית הדין הארצי</w:t>
      </w:r>
      <w:r>
        <w:rPr>
          <w:rFonts w:hint="cs"/>
          <w:rtl/>
        </w:rPr>
        <w:t>,</w:t>
      </w:r>
      <w:r w:rsidRPr="007232F9">
        <w:rPr>
          <w:rtl/>
        </w:rPr>
        <w:t xml:space="preserve"> </w:t>
      </w:r>
      <w:r>
        <w:rPr>
          <w:rFonts w:hint="cs"/>
          <w:rtl/>
        </w:rPr>
        <w:t xml:space="preserve">השופט </w:t>
      </w:r>
      <w:r w:rsidRPr="007232F9">
        <w:rPr>
          <w:rtl/>
        </w:rPr>
        <w:t>יגאל פליטמן</w:t>
      </w:r>
      <w:r>
        <w:rPr>
          <w:rFonts w:hint="cs"/>
          <w:rtl/>
        </w:rPr>
        <w:t>,</w:t>
      </w:r>
      <w:r w:rsidRPr="007232F9">
        <w:rPr>
          <w:rtl/>
        </w:rPr>
        <w:t xml:space="preserve"> שיש לקיים בחירות כדי להכריע מי יהיה ארגון העובדים ה</w:t>
      </w:r>
      <w:bookmarkStart w:id="9" w:name="_GoBack"/>
      <w:bookmarkEnd w:id="9"/>
      <w:r w:rsidRPr="007232F9">
        <w:rPr>
          <w:rtl/>
        </w:rPr>
        <w:t>יציג : "בנסיבות העניין ונוכח האמור לעיל, אין מנוס אלא להורות על קיום בחירות חופשיות, שוויוניות, חשאיות, עם פיקוח, נטולות לחצים ואיומים מכל צד, לקביעת ארגון העובדים היציג"</w:t>
      </w:r>
      <w:r w:rsidRPr="007232F9">
        <w:rPr>
          <w:rFonts w:hint="cs"/>
          <w:rtl/>
        </w:rPr>
        <w:t xml:space="preserve"> </w:t>
      </w:r>
    </w:p>
    <w:p w14:paraId="3754744A" w14:textId="77777777" w:rsidR="00E31528" w:rsidRPr="007232F9" w:rsidRDefault="00E31528" w:rsidP="00E31528">
      <w:pPr>
        <w:pStyle w:val="Hesber"/>
        <w:rPr>
          <w:rtl/>
        </w:rPr>
      </w:pPr>
      <w:r w:rsidRPr="007232F9">
        <w:rPr>
          <w:rtl/>
        </w:rPr>
        <w:t>בחירות דמוקרטיות לועד העובדים ולארגון העובדים, המתקיימות כל תקופה קצובה, הולמות את תפקידיו של הו</w:t>
      </w:r>
      <w:r>
        <w:rPr>
          <w:rFonts w:hint="cs"/>
          <w:rtl/>
        </w:rPr>
        <w:t>ו</w:t>
      </w:r>
      <w:r w:rsidRPr="007232F9">
        <w:rPr>
          <w:rtl/>
        </w:rPr>
        <w:t xml:space="preserve">עד </w:t>
      </w:r>
      <w:r>
        <w:rPr>
          <w:rFonts w:hint="cs"/>
          <w:rtl/>
        </w:rPr>
        <w:t>כמייצג</w:t>
      </w:r>
      <w:r w:rsidRPr="007232F9">
        <w:rPr>
          <w:rtl/>
        </w:rPr>
        <w:t xml:space="preserve"> </w:t>
      </w:r>
      <w:r>
        <w:rPr>
          <w:rFonts w:hint="cs"/>
          <w:rtl/>
        </w:rPr>
        <w:t xml:space="preserve">של </w:t>
      </w:r>
      <w:r w:rsidRPr="007232F9">
        <w:rPr>
          <w:rtl/>
        </w:rPr>
        <w:t>ציבור</w:t>
      </w:r>
      <w:r>
        <w:rPr>
          <w:rFonts w:hint="cs"/>
          <w:rtl/>
        </w:rPr>
        <w:t xml:space="preserve"> העובדים</w:t>
      </w:r>
      <w:r w:rsidRPr="007232F9">
        <w:rPr>
          <w:rtl/>
        </w:rPr>
        <w:t xml:space="preserve">. הבחירות יאפשרו לעובדים להיות מיוצגים על ידי מי שייבחר על ידם ולא על ידי מי שבמקרה דאג להביא </w:t>
      </w:r>
      <w:r>
        <w:rPr>
          <w:rFonts w:hint="cs"/>
          <w:rtl/>
        </w:rPr>
        <w:t>ארגון עובדים קיים, כגון</w:t>
      </w:r>
      <w:r w:rsidRPr="007232F9">
        <w:rPr>
          <w:rtl/>
        </w:rPr>
        <w:t xml:space="preserve"> ההסתדרות הכללית </w:t>
      </w:r>
      <w:r>
        <w:rPr>
          <w:rFonts w:hint="cs"/>
          <w:rtl/>
        </w:rPr>
        <w:t xml:space="preserve">כדי </w:t>
      </w:r>
      <w:r w:rsidRPr="007232F9">
        <w:rPr>
          <w:rtl/>
        </w:rPr>
        <w:t>ל</w:t>
      </w:r>
      <w:r>
        <w:rPr>
          <w:rFonts w:hint="cs"/>
          <w:rtl/>
        </w:rPr>
        <w:t>סייע ב</w:t>
      </w:r>
      <w:r w:rsidRPr="007232F9">
        <w:rPr>
          <w:rtl/>
        </w:rPr>
        <w:t>ארג</w:t>
      </w:r>
      <w:r>
        <w:rPr>
          <w:rFonts w:hint="cs"/>
          <w:rtl/>
        </w:rPr>
        <w:t>ו</w:t>
      </w:r>
      <w:r w:rsidRPr="007232F9">
        <w:rPr>
          <w:rtl/>
        </w:rPr>
        <w:t>ן העובדים</w:t>
      </w:r>
      <w:r>
        <w:rPr>
          <w:rFonts w:hint="cs"/>
          <w:rtl/>
        </w:rPr>
        <w:t xml:space="preserve"> בפעם הראשונה</w:t>
      </w:r>
      <w:r w:rsidRPr="007232F9">
        <w:rPr>
          <w:rtl/>
        </w:rPr>
        <w:t xml:space="preserve">. העובדים יוכלו לקדם את עניינם </w:t>
      </w:r>
      <w:r>
        <w:rPr>
          <w:rFonts w:hint="cs"/>
          <w:rtl/>
        </w:rPr>
        <w:t xml:space="preserve">באמצעות </w:t>
      </w:r>
      <w:r w:rsidRPr="007232F9">
        <w:rPr>
          <w:rtl/>
        </w:rPr>
        <w:t xml:space="preserve"> ארגון עובדים שנציגיו מקובלים על רוב העובדים. בחירת ארגון עובדים תנטרל את הצורך במאבקי כוח בין ארגוני העובדים בתקופת ההתארגנות  ותפחית מאוד את התנגדות המתנגדים להתאגדות. הבחירות יאפשרו לעובדים לנהל את </w:t>
      </w:r>
      <w:r>
        <w:rPr>
          <w:rFonts w:hint="cs"/>
          <w:rtl/>
        </w:rPr>
        <w:t>המשא ומתן</w:t>
      </w:r>
      <w:r w:rsidRPr="007232F9">
        <w:rPr>
          <w:rtl/>
        </w:rPr>
        <w:t xml:space="preserve"> הקיבוצי עם המעסיק באופן שישקף את  עמדתם של כלל העובדים ולא רק של המקורבים </w:t>
      </w:r>
      <w:r>
        <w:rPr>
          <w:rFonts w:hint="cs"/>
          <w:rtl/>
        </w:rPr>
        <w:t>לארגון העובדים הוותיק כדוגמת הסתדרות העובדים הכללית החדשה</w:t>
      </w:r>
      <w:r w:rsidRPr="007232F9">
        <w:rPr>
          <w:rtl/>
        </w:rPr>
        <w:t xml:space="preserve">. </w:t>
      </w:r>
      <w:r>
        <w:rPr>
          <w:rFonts w:hint="cs"/>
          <w:rtl/>
        </w:rPr>
        <w:t>הבחירות גם</w:t>
      </w:r>
      <w:r w:rsidRPr="007232F9">
        <w:rPr>
          <w:rtl/>
        </w:rPr>
        <w:t xml:space="preserve"> יגדילו את מעורבות כלל העובדים בהשפעה הקיבוצית על עתידם המקצועי</w:t>
      </w:r>
      <w:r>
        <w:rPr>
          <w:rFonts w:hint="cs"/>
          <w:rtl/>
        </w:rPr>
        <w:t xml:space="preserve">, </w:t>
      </w:r>
      <w:r w:rsidRPr="007232F9">
        <w:rPr>
          <w:rtl/>
        </w:rPr>
        <w:t>יקרבו את האינטרס של העובד אל מקבלי ההחלטות בארגון העובדים</w:t>
      </w:r>
      <w:r>
        <w:rPr>
          <w:rFonts w:hint="cs"/>
          <w:rtl/>
        </w:rPr>
        <w:t>,</w:t>
      </w:r>
      <w:r w:rsidRPr="007232F9">
        <w:rPr>
          <w:rtl/>
        </w:rPr>
        <w:t xml:space="preserve"> יאפשרו הלימה והזדהות של העובד עם ארגון העובדים</w:t>
      </w:r>
      <w:r>
        <w:rPr>
          <w:rFonts w:hint="cs"/>
          <w:rtl/>
        </w:rPr>
        <w:t xml:space="preserve">, </w:t>
      </w:r>
      <w:r w:rsidRPr="007232F9">
        <w:rPr>
          <w:rtl/>
        </w:rPr>
        <w:t xml:space="preserve">יפחיתו את ההשפעות החיצוניות על העובדים במקום העבודה ולכן </w:t>
      </w:r>
      <w:r>
        <w:rPr>
          <w:rFonts w:hint="cs"/>
          <w:rtl/>
        </w:rPr>
        <w:t>אף יקטינו</w:t>
      </w:r>
      <w:r w:rsidRPr="007232F9">
        <w:rPr>
          <w:rtl/>
        </w:rPr>
        <w:t xml:space="preserve"> את התנגדות המעסיקים</w:t>
      </w:r>
      <w:r>
        <w:rPr>
          <w:rFonts w:hint="cs"/>
          <w:rtl/>
        </w:rPr>
        <w:t xml:space="preserve"> להתארגנות</w:t>
      </w:r>
      <w:r w:rsidRPr="007232F9">
        <w:rPr>
          <w:rtl/>
        </w:rPr>
        <w:t xml:space="preserve">. בחירות </w:t>
      </w:r>
      <w:r>
        <w:rPr>
          <w:rFonts w:hint="cs"/>
          <w:rtl/>
        </w:rPr>
        <w:t xml:space="preserve">גם </w:t>
      </w:r>
      <w:r w:rsidRPr="007232F9">
        <w:rPr>
          <w:rtl/>
        </w:rPr>
        <w:t xml:space="preserve">יגדילו את </w:t>
      </w:r>
      <w:r>
        <w:rPr>
          <w:rFonts w:hint="cs"/>
          <w:rtl/>
        </w:rPr>
        <w:t>מספר</w:t>
      </w:r>
      <w:r w:rsidRPr="007232F9">
        <w:rPr>
          <w:rtl/>
        </w:rPr>
        <w:t xml:space="preserve"> העובדים שיזמו </w:t>
      </w:r>
      <w:r>
        <w:rPr>
          <w:rFonts w:hint="cs"/>
          <w:rtl/>
        </w:rPr>
        <w:t xml:space="preserve">התארגנויות </w:t>
      </w:r>
      <w:r w:rsidRPr="007232F9">
        <w:rPr>
          <w:rtl/>
        </w:rPr>
        <w:t xml:space="preserve"> ואת מעורבות העובדים בהתארגנות</w:t>
      </w:r>
      <w:r>
        <w:rPr>
          <w:rFonts w:hint="cs"/>
          <w:rtl/>
        </w:rPr>
        <w:t>,</w:t>
      </w:r>
      <w:r w:rsidRPr="007232F9">
        <w:rPr>
          <w:rtl/>
        </w:rPr>
        <w:t xml:space="preserve"> שכן ה</w:t>
      </w:r>
      <w:r>
        <w:rPr>
          <w:rFonts w:hint="cs"/>
          <w:rtl/>
        </w:rPr>
        <w:t>עובדי</w:t>
      </w:r>
      <w:r w:rsidRPr="007232F9">
        <w:rPr>
          <w:rtl/>
        </w:rPr>
        <w:t>ם ידעו שבסופו של דבר רצונם של העובדים הוא זה שיקבע</w:t>
      </w:r>
      <w:r>
        <w:rPr>
          <w:rFonts w:hint="cs"/>
          <w:rtl/>
        </w:rPr>
        <w:t xml:space="preserve">. </w:t>
      </w:r>
      <w:r w:rsidRPr="007232F9">
        <w:rPr>
          <w:rtl/>
        </w:rPr>
        <w:t xml:space="preserve">. הבחירות יאפשרו למעסיקים לקבל את </w:t>
      </w:r>
      <w:r>
        <w:rPr>
          <w:rFonts w:hint="cs"/>
          <w:rtl/>
        </w:rPr>
        <w:t xml:space="preserve">ארגון </w:t>
      </w:r>
      <w:r w:rsidRPr="007232F9">
        <w:rPr>
          <w:rtl/>
        </w:rPr>
        <w:t>העובדים כשותף פרודוקטיבי</w:t>
      </w:r>
      <w:r>
        <w:rPr>
          <w:rFonts w:hint="cs"/>
          <w:rtl/>
        </w:rPr>
        <w:t>,</w:t>
      </w:r>
      <w:r w:rsidRPr="007232F9">
        <w:rPr>
          <w:rtl/>
        </w:rPr>
        <w:t xml:space="preserve"> שרתום למטרות העסקיות של מקום העבודה, </w:t>
      </w:r>
      <w:r>
        <w:rPr>
          <w:rFonts w:hint="cs"/>
          <w:rtl/>
        </w:rPr>
        <w:t>שותף המאפשר ל</w:t>
      </w:r>
      <w:r w:rsidRPr="007232F9">
        <w:rPr>
          <w:rtl/>
        </w:rPr>
        <w:t>ייצר את הוודאות והיציבות הנדרשים לעובד במקום עבודתו</w:t>
      </w:r>
      <w:r>
        <w:rPr>
          <w:rFonts w:hint="cs"/>
          <w:rtl/>
        </w:rPr>
        <w:t xml:space="preserve"> באמצעות</w:t>
      </w:r>
      <w:r w:rsidRPr="007232F9">
        <w:rPr>
          <w:rtl/>
        </w:rPr>
        <w:t xml:space="preserve"> חיזוק רווחי המעסיק ולא </w:t>
      </w:r>
      <w:r>
        <w:rPr>
          <w:rFonts w:hint="cs"/>
          <w:rtl/>
        </w:rPr>
        <w:t>באמצעות</w:t>
      </w:r>
      <w:r w:rsidRPr="007232F9">
        <w:rPr>
          <w:rtl/>
        </w:rPr>
        <w:t xml:space="preserve"> קביעות שמונעת קידמה ותקווה להתפתחות מקצועית.</w:t>
      </w:r>
    </w:p>
    <w:p w14:paraId="370540C2" w14:textId="77777777" w:rsidR="00C35AA2" w:rsidRDefault="00EB5D82" w:rsidP="00EB5D82">
      <w:pPr>
        <w:spacing w:before="0" w:line="240" w:lineRule="auto"/>
        <w:jc w:val="left"/>
      </w:pPr>
      <w:bookmarkStart w:id="10" w:name="selectedDocDateB"/>
      <w:bookmarkEnd w:id="10"/>
      <w:r>
        <w:rPr>
          <w:rFonts w:ascii="David" w:eastAsia="David" w:hAnsi="David" w:cs="David" w:hint="cs"/>
          <w:sz w:val="26"/>
          <w:szCs w:val="26"/>
          <w:rtl/>
        </w:rPr>
        <w:t>--------------------------------</w:t>
      </w:r>
    </w:p>
    <w:p w14:paraId="5F921C6E" w14:textId="77777777" w:rsidR="00C35AA2" w:rsidRDefault="00EB5D82" w:rsidP="00EB5D82">
      <w:pPr>
        <w:spacing w:before="0" w:line="240" w:lineRule="auto"/>
        <w:jc w:val="left"/>
      </w:pPr>
      <w:r>
        <w:rPr>
          <w:rFonts w:ascii="David" w:eastAsia="David" w:hAnsi="David" w:cs="David" w:hint="cs"/>
          <w:sz w:val="26"/>
          <w:szCs w:val="26"/>
          <w:rtl/>
        </w:rPr>
        <w:t>הוגשה ליו"ר הכנסת והסגנים</w:t>
      </w:r>
    </w:p>
    <w:p w14:paraId="03598C85" w14:textId="77777777" w:rsidR="00C35AA2" w:rsidRDefault="00EB5D82" w:rsidP="00EB5D82">
      <w:pPr>
        <w:spacing w:before="0" w:line="240" w:lineRule="auto"/>
        <w:jc w:val="left"/>
      </w:pPr>
      <w:r>
        <w:rPr>
          <w:rFonts w:ascii="David" w:eastAsia="David" w:hAnsi="David" w:cs="David" w:hint="cs"/>
          <w:sz w:val="26"/>
          <w:szCs w:val="26"/>
          <w:rtl/>
        </w:rPr>
        <w:t>והונחה על שולחן הכנסת ביום</w:t>
      </w:r>
    </w:p>
    <w:p w14:paraId="1D7074A7" w14:textId="77777777" w:rsidR="00C35AA2" w:rsidRDefault="00EB5D82" w:rsidP="00EB5D82">
      <w:pPr>
        <w:spacing w:before="0" w:line="240" w:lineRule="auto"/>
        <w:jc w:val="left"/>
      </w:pPr>
      <w:r>
        <w:rPr>
          <w:rFonts w:ascii="David" w:eastAsia="David" w:hAnsi="David" w:cs="David" w:hint="cs"/>
          <w:sz w:val="26"/>
          <w:szCs w:val="26"/>
          <w:rtl/>
        </w:rPr>
        <w:t xml:space="preserve">ו' באדר ב' התשפ"ב (09.03.2022) </w:t>
      </w:r>
    </w:p>
    <w:p w14:paraId="353E6DC0" w14:textId="77777777" w:rsidR="00C35AA2" w:rsidRDefault="00C35AA2">
      <w:pPr>
        <w:spacing w:before="0" w:line="276" w:lineRule="auto"/>
        <w:jc w:val="left"/>
      </w:pPr>
    </w:p>
    <w:sectPr w:rsidR="00C35AA2"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B5D8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FFB92ED" w14:textId="229F2EB8" w:rsidR="007232F9" w:rsidRDefault="007232F9">
      <w:pPr>
        <w:pStyle w:val="a4"/>
        <w:rPr>
          <w:rtl/>
        </w:rPr>
      </w:pPr>
      <w:r>
        <w:rPr>
          <w:rStyle w:val="a6"/>
        </w:rPr>
        <w:footnoteRef/>
      </w:r>
      <w:r>
        <w:rPr>
          <w:rtl/>
        </w:rPr>
        <w:t xml:space="preserve"> </w:t>
      </w:r>
      <w:r>
        <w:rPr>
          <w:rFonts w:hint="cs"/>
          <w:rtl/>
        </w:rPr>
        <w:t>ס"ח התשי"ז, עמ' 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51355C"/>
    <w:multiLevelType w:val="multilevel"/>
    <w:tmpl w:val="27BE0EE4"/>
    <w:lvl w:ilvl="0">
      <w:start w:val="1"/>
      <w:numFmt w:val="hebrew1"/>
      <w:pStyle w:val="16"/>
      <w:suff w:val="nothing"/>
      <w:lvlText w:val="פרק %1' - "/>
      <w:lvlJc w:val="left"/>
      <w:pPr>
        <w:ind w:left="567" w:hanging="567"/>
      </w:pPr>
      <w:rPr>
        <w:rFonts w:ascii="Times New Roman" w:hAnsi="Times New Roman" w:cs="David" w:hint="default"/>
        <w:b/>
        <w:bCs/>
        <w:i w:val="0"/>
        <w:iCs w:val="0"/>
        <w:sz w:val="22"/>
        <w:szCs w:val="28"/>
        <w:u w:val="double"/>
        <w:lang w:val="x-none"/>
      </w:rPr>
    </w:lvl>
    <w:lvl w:ilvl="1">
      <w:start w:val="1"/>
      <w:numFmt w:val="decimal"/>
      <w:lvlRestart w:val="0"/>
      <w:pStyle w:val="1"/>
      <w:isLgl/>
      <w:lvlText w:val="%2."/>
      <w:lvlJc w:val="right"/>
      <w:rPr>
        <w:rFonts w:ascii="Times New Roman" w:hAnsi="Times New Roman" w:cs="Times New Roman" w:hint="default"/>
        <w:b/>
        <w:bCs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ascii="Times New Roman" w:hAnsi="Times New Roman" w:cs="Times New Roman" w:hint="default"/>
        <w:bCs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ascii="Times New Roman" w:hAnsi="Times New Roman" w:cs="Times New Roman" w:hint="default"/>
        <w:b w:val="0"/>
        <w:bCs w:val="0"/>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2835"/>
        </w:tabs>
        <w:ind w:left="2835" w:hanging="1134"/>
      </w:pPr>
      <w:rPr>
        <w:rFonts w:ascii="Times New Roman" w:hAnsi="Times New Roman" w:cs="Times New Roman" w:hint="default"/>
      </w:rPr>
    </w:lvl>
    <w:lvl w:ilvl="5">
      <w:start w:val="1"/>
      <w:numFmt w:val="decimal"/>
      <w:lvlText w:val="%1.%2.%3.%4.%5.%6."/>
      <w:lvlJc w:val="left"/>
      <w:pPr>
        <w:tabs>
          <w:tab w:val="num" w:pos="2736"/>
        </w:tabs>
        <w:ind w:left="3402" w:hanging="567"/>
      </w:pPr>
      <w:rPr>
        <w:rFonts w:hint="default"/>
      </w:rPr>
    </w:lvl>
    <w:lvl w:ilvl="6">
      <w:start w:val="1"/>
      <w:numFmt w:val="decimal"/>
      <w:lvlText w:val="%1.%2.%3.%4.%5.%6.%7."/>
      <w:lvlJc w:val="left"/>
      <w:pPr>
        <w:tabs>
          <w:tab w:val="num" w:pos="3240"/>
        </w:tabs>
        <w:ind w:left="3969" w:hanging="567"/>
      </w:pPr>
      <w:rPr>
        <w:rFonts w:hint="default"/>
      </w:rPr>
    </w:lvl>
    <w:lvl w:ilvl="7">
      <w:start w:val="1"/>
      <w:numFmt w:val="decimal"/>
      <w:lvlText w:val="%1.%2.%3.%4.%5.%6.%7.%8."/>
      <w:lvlJc w:val="left"/>
      <w:pPr>
        <w:tabs>
          <w:tab w:val="num" w:pos="3744"/>
        </w:tabs>
        <w:ind w:left="4536" w:hanging="567"/>
      </w:pPr>
      <w:rPr>
        <w:rFonts w:hint="default"/>
      </w:rPr>
    </w:lvl>
    <w:lvl w:ilvl="8">
      <w:start w:val="1"/>
      <w:numFmt w:val="decimal"/>
      <w:lvlText w:val="%1.%2.%3.%4.%5.%6.%7.%8.%9."/>
      <w:lvlJc w:val="left"/>
      <w:pPr>
        <w:tabs>
          <w:tab w:val="num" w:pos="4320"/>
        </w:tabs>
        <w:ind w:left="5103" w:hanging="567"/>
      </w:pPr>
      <w:rPr>
        <w:rFonts w:hint="default"/>
      </w:r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166B5"/>
    <w:rsid w:val="00063A3E"/>
    <w:rsid w:val="00072CAC"/>
    <w:rsid w:val="0007681A"/>
    <w:rsid w:val="00094AE2"/>
    <w:rsid w:val="000A542E"/>
    <w:rsid w:val="00102B6B"/>
    <w:rsid w:val="001052D4"/>
    <w:rsid w:val="0010644B"/>
    <w:rsid w:val="00113098"/>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64CD1"/>
    <w:rsid w:val="003710F6"/>
    <w:rsid w:val="00386E88"/>
    <w:rsid w:val="00396585"/>
    <w:rsid w:val="003D623D"/>
    <w:rsid w:val="003D6E38"/>
    <w:rsid w:val="003D74A0"/>
    <w:rsid w:val="004033D8"/>
    <w:rsid w:val="004073F0"/>
    <w:rsid w:val="00412A7D"/>
    <w:rsid w:val="00416B4D"/>
    <w:rsid w:val="00417CFC"/>
    <w:rsid w:val="004746A6"/>
    <w:rsid w:val="004A06DC"/>
    <w:rsid w:val="004B24ED"/>
    <w:rsid w:val="004B6625"/>
    <w:rsid w:val="004D2D82"/>
    <w:rsid w:val="004D3876"/>
    <w:rsid w:val="004E4552"/>
    <w:rsid w:val="004E6CDF"/>
    <w:rsid w:val="0052668C"/>
    <w:rsid w:val="00553C9D"/>
    <w:rsid w:val="00562A66"/>
    <w:rsid w:val="005B064E"/>
    <w:rsid w:val="005D51AE"/>
    <w:rsid w:val="0062674B"/>
    <w:rsid w:val="006363B2"/>
    <w:rsid w:val="00644940"/>
    <w:rsid w:val="006818A9"/>
    <w:rsid w:val="00682FE8"/>
    <w:rsid w:val="006A2D81"/>
    <w:rsid w:val="006C1D0D"/>
    <w:rsid w:val="006E6A15"/>
    <w:rsid w:val="0070601E"/>
    <w:rsid w:val="00712C72"/>
    <w:rsid w:val="007232F9"/>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54F"/>
    <w:rsid w:val="00897879"/>
    <w:rsid w:val="008A6870"/>
    <w:rsid w:val="008C2DDC"/>
    <w:rsid w:val="008C3AD3"/>
    <w:rsid w:val="008C7516"/>
    <w:rsid w:val="008E6EC7"/>
    <w:rsid w:val="008F0D63"/>
    <w:rsid w:val="008F1308"/>
    <w:rsid w:val="008F2C35"/>
    <w:rsid w:val="008F44FE"/>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E00A6"/>
    <w:rsid w:val="00BF148D"/>
    <w:rsid w:val="00C062BD"/>
    <w:rsid w:val="00C23B1A"/>
    <w:rsid w:val="00C310EB"/>
    <w:rsid w:val="00C35AA2"/>
    <w:rsid w:val="00C9176A"/>
    <w:rsid w:val="00CF1AA2"/>
    <w:rsid w:val="00D142D3"/>
    <w:rsid w:val="00D17774"/>
    <w:rsid w:val="00D50ABB"/>
    <w:rsid w:val="00D63620"/>
    <w:rsid w:val="00D8410D"/>
    <w:rsid w:val="00D867D7"/>
    <w:rsid w:val="00DB7060"/>
    <w:rsid w:val="00DE3153"/>
    <w:rsid w:val="00E06736"/>
    <w:rsid w:val="00E13C27"/>
    <w:rsid w:val="00E31528"/>
    <w:rsid w:val="00E33BBD"/>
    <w:rsid w:val="00E374F2"/>
    <w:rsid w:val="00E45103"/>
    <w:rsid w:val="00E55A60"/>
    <w:rsid w:val="00E62778"/>
    <w:rsid w:val="00E635A2"/>
    <w:rsid w:val="00E63D38"/>
    <w:rsid w:val="00E665B9"/>
    <w:rsid w:val="00EA01E6"/>
    <w:rsid w:val="00EA3DE8"/>
    <w:rsid w:val="00EA758F"/>
    <w:rsid w:val="00EB5D82"/>
    <w:rsid w:val="00ED4A6F"/>
    <w:rsid w:val="00EF3A3A"/>
    <w:rsid w:val="00F221A2"/>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056BD27-B963-4531-8728-778AEFF5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default">
    <w:name w:val="default"/>
    <w:basedOn w:val="a0"/>
    <w:rsid w:val="004746A6"/>
    <w:rPr>
      <w:rFonts w:ascii="Times New Roman" w:hAnsi="Times New Roman" w:cs="Times New Roman"/>
      <w:sz w:val="26"/>
      <w:szCs w:val="26"/>
    </w:rPr>
  </w:style>
  <w:style w:type="paragraph" w:customStyle="1" w:styleId="tablesideheading0">
    <w:name w:val="tablesideheading"/>
    <w:basedOn w:val="a"/>
    <w:rsid w:val="00113098"/>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tabletext0">
    <w:name w:val="tabletext"/>
    <w:basedOn w:val="a"/>
    <w:rsid w:val="00113098"/>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tableblock0">
    <w:name w:val="tableblock"/>
    <w:basedOn w:val="a"/>
    <w:rsid w:val="00113098"/>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tableinnersideheading0">
    <w:name w:val="tableinnersideheading"/>
    <w:basedOn w:val="a"/>
    <w:rsid w:val="00113098"/>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a5">
    <w:name w:val="טקסט הערת שוליים תו"/>
    <w:basedOn w:val="a0"/>
    <w:link w:val="a4"/>
    <w:uiPriority w:val="99"/>
    <w:semiHidden/>
    <w:rsid w:val="00113098"/>
    <w:rPr>
      <w:rFonts w:ascii="Arial" w:eastAsia="Arial Unicode MS" w:hAnsi="Arial" w:cs="David"/>
      <w:snapToGrid w:val="0"/>
      <w:color w:val="000000"/>
      <w:sz w:val="14"/>
      <w:lang w:eastAsia="ja-JP"/>
    </w:rPr>
  </w:style>
  <w:style w:type="character" w:styleId="Hyperlink">
    <w:name w:val="Hyperlink"/>
    <w:uiPriority w:val="99"/>
    <w:rsid w:val="00113098"/>
    <w:rPr>
      <w:color w:val="0000FF"/>
      <w:u w:val="single"/>
    </w:rPr>
  </w:style>
  <w:style w:type="paragraph" w:customStyle="1" w:styleId="16">
    <w:name w:val="סגנון כותרת 1 + אחרי:  6 נק"/>
    <w:basedOn w:val="a"/>
    <w:rsid w:val="00113098"/>
    <w:pPr>
      <w:widowControl/>
      <w:numPr>
        <w:numId w:val="15"/>
      </w:numPr>
      <w:autoSpaceDE/>
      <w:autoSpaceDN/>
      <w:adjustRightInd/>
      <w:spacing w:before="240" w:line="240" w:lineRule="auto"/>
      <w:textAlignment w:val="auto"/>
    </w:pPr>
    <w:rPr>
      <w:rFonts w:ascii="Arial" w:eastAsia="Times New Roman" w:hAnsi="Arial" w:cs="Times New Roman"/>
      <w:color w:val="auto"/>
      <w:spacing w:val="0"/>
      <w:sz w:val="20"/>
      <w:szCs w:val="26"/>
      <w:lang w:val="x-none" w:eastAsia="x-none"/>
    </w:rPr>
  </w:style>
  <w:style w:type="paragraph" w:customStyle="1" w:styleId="1">
    <w:name w:val="סגנון1"/>
    <w:basedOn w:val="16"/>
    <w:link w:val="10"/>
    <w:qFormat/>
    <w:rsid w:val="00113098"/>
    <w:pPr>
      <w:numPr>
        <w:ilvl w:val="1"/>
      </w:numPr>
      <w:outlineLvl w:val="1"/>
    </w:pPr>
    <w:rPr>
      <w:rFonts w:ascii="Times New Roman" w:hAnsi="Times New Roman"/>
    </w:rPr>
  </w:style>
  <w:style w:type="character" w:customStyle="1" w:styleId="10">
    <w:name w:val="סגנון1 תו"/>
    <w:link w:val="1"/>
    <w:rsid w:val="00113098"/>
    <w:rPr>
      <w:rFonts w:eastAsia="Times New Roman"/>
      <w:szCs w:val="26"/>
      <w:lang w:val="x-none" w:eastAsia="x-none"/>
    </w:rPr>
  </w:style>
  <w:style w:type="character" w:styleId="ae">
    <w:name w:val="annotation reference"/>
    <w:basedOn w:val="a0"/>
    <w:semiHidden/>
    <w:unhideWhenUsed/>
    <w:rsid w:val="008C3AD3"/>
    <w:rPr>
      <w:sz w:val="16"/>
      <w:szCs w:val="16"/>
    </w:rPr>
  </w:style>
  <w:style w:type="paragraph" w:styleId="af">
    <w:name w:val="annotation text"/>
    <w:basedOn w:val="a"/>
    <w:link w:val="af0"/>
    <w:semiHidden/>
    <w:unhideWhenUsed/>
    <w:rsid w:val="008C3AD3"/>
    <w:pPr>
      <w:spacing w:line="240" w:lineRule="auto"/>
    </w:pPr>
    <w:rPr>
      <w:sz w:val="20"/>
      <w:szCs w:val="20"/>
    </w:rPr>
  </w:style>
  <w:style w:type="character" w:customStyle="1" w:styleId="af0">
    <w:name w:val="טקסט הערה תו"/>
    <w:basedOn w:val="a0"/>
    <w:link w:val="af"/>
    <w:semiHidden/>
    <w:rsid w:val="008C3AD3"/>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8C3AD3"/>
    <w:rPr>
      <w:b/>
      <w:bCs/>
    </w:rPr>
  </w:style>
  <w:style w:type="character" w:customStyle="1" w:styleId="af2">
    <w:name w:val="נושא הערה תו"/>
    <w:basedOn w:val="af0"/>
    <w:link w:val="af1"/>
    <w:semiHidden/>
    <w:rsid w:val="008C3AD3"/>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D2693-CC90-4D6A-89CA-AF91E9FC0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0A0B8D10-218A-4CC5-B6D7-3BDEC3F1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699</Words>
  <Characters>3990</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12</cp:revision>
  <cp:lastPrinted>2022-03-08T16:37:00Z</cp:lastPrinted>
  <dcterms:created xsi:type="dcterms:W3CDTF">2015-04-20T09:58:00Z</dcterms:created>
  <dcterms:modified xsi:type="dcterms:W3CDTF">2022-03-08T16:37:00Z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2190169</vt:r8>
  </property>
</Properties>
</file>