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5AF99" w14:textId="77777777" w:rsidR="00B36C42" w:rsidRPr="00E635A2" w:rsidRDefault="00B36C42" w:rsidP="00B36C4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2189715</w:t>
      </w:r>
      <w:bookmarkEnd w:id="0"/>
    </w:p>
    <w:p w14:paraId="220E7373" w14:textId="77777777" w:rsidR="00B36C42" w:rsidRPr="00DB7060" w:rsidRDefault="00B36C42" w:rsidP="00B36C42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1F6FC7B7" w14:textId="77777777" w:rsidR="00B36C42" w:rsidRPr="00F67051" w:rsidRDefault="00B36C42" w:rsidP="00B36C42">
      <w:pPr>
        <w:rPr>
          <w:b/>
          <w:bCs/>
          <w:sz w:val="26"/>
          <w:szCs w:val="26"/>
          <w:rtl/>
        </w:rPr>
      </w:pPr>
    </w:p>
    <w:p w14:paraId="1BAE0370" w14:textId="61960EAA" w:rsidR="00B36C42" w:rsidRPr="00CF1AA2" w:rsidRDefault="00B36C42" w:rsidP="00A1257C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עידית סילמן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אבי דיכטר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פטין מולא</w:t>
      </w:r>
      <w:bookmarkEnd w:id="3"/>
      <w:r w:rsidR="00211D0F">
        <w:rPr>
          <w:b/>
          <w:bCs/>
          <w:rtl/>
        </w:rPr>
        <w:tab/>
      </w:r>
      <w:bookmarkStart w:id="4" w:name="LGS_PM_NamesJoin"/>
      <w:r>
        <w:rPr>
          <w:rFonts w:hint="cs"/>
          <w:rtl/>
        </w:rPr>
        <w:t xml:space="preserve"> </w:t>
      </w:r>
      <w:bookmarkEnd w:id="4"/>
    </w:p>
    <w:p w14:paraId="7DC6921C" w14:textId="77777777" w:rsidR="00B36C42" w:rsidRPr="00904591" w:rsidRDefault="00B36C42" w:rsidP="00B36C42">
      <w:pPr>
        <w:pStyle w:val="David"/>
        <w:ind w:left="3544"/>
        <w:rPr>
          <w:sz w:val="4"/>
          <w:szCs w:val="4"/>
          <w:rtl/>
        </w:rPr>
      </w:pPr>
      <w:r>
        <w:t>______________________________________________</w:t>
      </w:r>
      <w:r w:rsidRPr="00E06736"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>
        <w:t xml:space="preserve">           </w:t>
      </w:r>
    </w:p>
    <w:p w14:paraId="45E045BD" w14:textId="54BD6F37" w:rsidR="00B36C42" w:rsidRPr="00E06736" w:rsidRDefault="00B36C42" w:rsidP="00A1257C">
      <w:pPr>
        <w:pStyle w:val="David"/>
        <w:spacing w:line="240" w:lineRule="auto"/>
        <w:ind w:left="6424" w:firstLine="56"/>
        <w:rPr>
          <w:rtl/>
        </w:rPr>
      </w:pPr>
      <w:bookmarkStart w:id="5" w:name="Private_Number"/>
      <w:r>
        <w:rPr>
          <w:rFonts w:hint="cs"/>
          <w:rtl/>
        </w:rPr>
        <w:t>פ/3576/24</w:t>
      </w:r>
      <w:bookmarkEnd w:id="5"/>
    </w:p>
    <w:p w14:paraId="03788896" w14:textId="3109FEE1" w:rsidR="00B36C42" w:rsidRPr="00F67051" w:rsidRDefault="00B36C42" w:rsidP="005E756C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 xml:space="preserve">הצעת חוק משפחות חיילים שנספו במערכה (תגמולים ושיקום) (תיקון – הטבות לאח הנספה), התשפ''ב–2022 </w:t>
      </w:r>
      <w:bookmarkEnd w:id="6"/>
    </w:p>
    <w:p w14:paraId="421C92D2" w14:textId="77777777" w:rsidR="00B36C42" w:rsidRDefault="00B36C42" w:rsidP="00B36C42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B36C42" w:rsidRPr="009748A6" w14:paraId="7E9E30D1" w14:textId="77777777" w:rsidTr="00A1257C">
        <w:trPr>
          <w:cantSplit/>
        </w:trPr>
        <w:tc>
          <w:tcPr>
            <w:tcW w:w="1871" w:type="dxa"/>
          </w:tcPr>
          <w:p w14:paraId="5D396232" w14:textId="77777777" w:rsidR="00B36C42" w:rsidRPr="00BA5ADB" w:rsidRDefault="00B36C42" w:rsidP="005D58B6">
            <w:pPr>
              <w:pStyle w:val="TableSideHeading"/>
            </w:pPr>
            <w:r>
              <w:rPr>
                <w:rFonts w:hint="cs"/>
                <w:rtl/>
              </w:rPr>
              <w:t xml:space="preserve">תיקון סעיף </w:t>
            </w:r>
            <w:r w:rsidRPr="00CF4C13">
              <w:rPr>
                <w:rtl/>
              </w:rPr>
              <w:t>15</w:t>
            </w:r>
            <w:r w:rsidRPr="00CF4C13">
              <w:rPr>
                <w:rFonts w:hint="eastAsia"/>
                <w:rtl/>
              </w:rPr>
              <w:t>ד</w:t>
            </w:r>
          </w:p>
        </w:tc>
        <w:tc>
          <w:tcPr>
            <w:tcW w:w="624" w:type="dxa"/>
          </w:tcPr>
          <w:p w14:paraId="7D79052E" w14:textId="77777777" w:rsidR="00B36C42" w:rsidRPr="00A1257C" w:rsidRDefault="00B36C42" w:rsidP="00A1257C">
            <w:pPr>
              <w:pStyle w:val="TableText"/>
              <w:jc w:val="both"/>
            </w:pPr>
            <w:r w:rsidRPr="00A1257C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26C8C0EE" w14:textId="77777777" w:rsidR="00B36C42" w:rsidRPr="00957DB5" w:rsidRDefault="00B36C42" w:rsidP="00A1257C">
            <w:pPr>
              <w:pStyle w:val="TableBlock"/>
            </w:pPr>
            <w:r w:rsidRPr="00957DB5">
              <w:rPr>
                <w:rtl/>
              </w:rPr>
              <w:t>בחוק משפחות חיילים שנספו במערכה (תגמולים ושיקום), התש"י–1950</w:t>
            </w:r>
            <w:r w:rsidRPr="00A1257C">
              <w:rPr>
                <w:rFonts w:ascii="David" w:hAnsi="David"/>
                <w:sz w:val="26"/>
                <w:szCs w:val="20"/>
                <w:vertAlign w:val="superscript"/>
                <w:rtl/>
              </w:rPr>
              <w:footnoteReference w:id="2"/>
            </w:r>
            <w:r w:rsidRPr="00957DB5">
              <w:rPr>
                <w:rtl/>
              </w:rPr>
              <w:t xml:space="preserve"> (להלן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  <w:r w:rsidRPr="00957DB5">
              <w:rPr>
                <w:rtl/>
              </w:rPr>
              <w:t xml:space="preserve"> החוק העי</w:t>
            </w:r>
            <w:bookmarkStart w:id="7" w:name="_GoBack"/>
            <w:bookmarkEnd w:id="7"/>
            <w:r w:rsidRPr="00957DB5">
              <w:rPr>
                <w:rtl/>
              </w:rPr>
              <w:t xml:space="preserve">קרי), </w:t>
            </w:r>
            <w:r w:rsidRPr="00957DB5">
              <w:rPr>
                <w:rFonts w:hint="eastAsia"/>
                <w:rtl/>
              </w:rPr>
              <w:t>בסעיף</w:t>
            </w:r>
            <w:r w:rsidRPr="00957DB5">
              <w:rPr>
                <w:rtl/>
              </w:rPr>
              <w:t xml:space="preserve"> 15ד(ד), המילים "שטרם מלאו להם 30 שנה" – יימחקו.</w:t>
            </w:r>
          </w:p>
        </w:tc>
      </w:tr>
      <w:tr w:rsidR="00B36C42" w:rsidRPr="009748A6" w14:paraId="481C6906" w14:textId="77777777" w:rsidTr="00A1257C">
        <w:trPr>
          <w:cantSplit/>
        </w:trPr>
        <w:tc>
          <w:tcPr>
            <w:tcW w:w="1871" w:type="dxa"/>
          </w:tcPr>
          <w:p w14:paraId="15C3B146" w14:textId="77777777" w:rsidR="00B36C42" w:rsidRPr="00A1257C" w:rsidRDefault="00B36C42" w:rsidP="00A1257C">
            <w:pPr>
              <w:pStyle w:val="TableSideHeading"/>
              <w:outlineLvl w:val="9"/>
              <w:rPr>
                <w:rtl/>
              </w:rPr>
            </w:pPr>
            <w:r w:rsidRPr="00A1257C">
              <w:rPr>
                <w:rFonts w:hint="cs"/>
                <w:rtl/>
              </w:rPr>
              <w:t xml:space="preserve">תיקון </w:t>
            </w:r>
            <w:r w:rsidRPr="00A1257C">
              <w:rPr>
                <w:rtl/>
              </w:rPr>
              <w:t>סעיף 15ז</w:t>
            </w:r>
          </w:p>
        </w:tc>
        <w:tc>
          <w:tcPr>
            <w:tcW w:w="624" w:type="dxa"/>
          </w:tcPr>
          <w:p w14:paraId="0F747AE9" w14:textId="77777777" w:rsidR="00B36C42" w:rsidRPr="009748A6" w:rsidRDefault="00B36C42" w:rsidP="005D58B6">
            <w:pPr>
              <w:pStyle w:val="TableText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2.</w:t>
            </w:r>
          </w:p>
        </w:tc>
        <w:tc>
          <w:tcPr>
            <w:tcW w:w="7143" w:type="dxa"/>
          </w:tcPr>
          <w:p w14:paraId="36572468" w14:textId="4A4A70CD" w:rsidR="00B36C42" w:rsidRPr="009748A6" w:rsidRDefault="00B36C42" w:rsidP="00A1257C">
            <w:pPr>
              <w:pStyle w:val="TableBlock"/>
              <w:rPr>
                <w:rFonts w:ascii="David" w:hAnsi="David"/>
                <w:noProof/>
                <w:rtl/>
                <w:lang w:eastAsia="he-IL"/>
              </w:rPr>
            </w:pPr>
            <w:r w:rsidRPr="00957DB5">
              <w:rPr>
                <w:rFonts w:ascii="David" w:eastAsia="MS Mincho" w:hAnsi="David"/>
                <w:noProof/>
                <w:spacing w:val="1"/>
                <w:rtl/>
                <w:lang w:eastAsia="he-IL"/>
              </w:rPr>
              <w:t>בסע</w:t>
            </w:r>
            <w:r w:rsidRPr="00A5356C">
              <w:rPr>
                <w:rFonts w:ascii="David" w:hAnsi="David"/>
                <w:noProof/>
                <w:rtl/>
                <w:lang w:eastAsia="he-IL"/>
              </w:rPr>
              <w:t>יף 15ז(ד)</w:t>
            </w:r>
            <w:r w:rsidRPr="00957DB5">
              <w:rPr>
                <w:rFonts w:ascii="David" w:eastAsia="MS Mincho" w:hAnsi="David"/>
                <w:noProof/>
                <w:spacing w:val="1"/>
                <w:lang w:eastAsia="he-IL"/>
              </w:rPr>
              <w:t xml:space="preserve"> </w:t>
            </w:r>
            <w:r w:rsidRPr="00957DB5">
              <w:rPr>
                <w:rtl/>
              </w:rPr>
              <w:t>לחוק</w:t>
            </w:r>
            <w:r w:rsidRPr="00957DB5">
              <w:rPr>
                <w:rFonts w:ascii="David" w:eastAsia="MS Mincho" w:hAnsi="David"/>
                <w:noProof/>
                <w:spacing w:val="1"/>
                <w:rtl/>
                <w:lang w:eastAsia="he-IL"/>
              </w:rPr>
              <w:t xml:space="preserve"> העיקרי, </w:t>
            </w:r>
            <w:r>
              <w:rPr>
                <w:rFonts w:ascii="David" w:hAnsi="David" w:hint="cs"/>
                <w:noProof/>
                <w:rtl/>
                <w:lang w:eastAsia="he-IL"/>
              </w:rPr>
              <w:t xml:space="preserve">אחרי </w:t>
            </w:r>
            <w:r w:rsidRPr="00957DB5">
              <w:rPr>
                <w:rFonts w:ascii="David" w:eastAsia="MS Mincho" w:hAnsi="David"/>
                <w:noProof/>
                <w:spacing w:val="1"/>
                <w:rtl/>
                <w:lang w:eastAsia="he-IL"/>
              </w:rPr>
              <w:t>"לשכול, לאלמנה"</w:t>
            </w:r>
            <w:r w:rsidRPr="00957DB5">
              <w:rPr>
                <w:rFonts w:ascii="David" w:eastAsia="MS Mincho" w:hAnsi="David"/>
                <w:noProof/>
                <w:spacing w:val="1"/>
                <w:lang w:eastAsia="he-IL"/>
              </w:rPr>
              <w:t xml:space="preserve"> </w:t>
            </w:r>
            <w:r>
              <w:rPr>
                <w:rFonts w:ascii="David" w:hAnsi="David" w:hint="cs"/>
                <w:noProof/>
                <w:rtl/>
                <w:lang w:eastAsia="he-IL"/>
              </w:rPr>
              <w:t>יבוא</w:t>
            </w:r>
            <w:r w:rsidRPr="00957DB5">
              <w:rPr>
                <w:rFonts w:ascii="David" w:eastAsia="MS Mincho" w:hAnsi="David"/>
                <w:noProof/>
                <w:spacing w:val="1"/>
                <w:rtl/>
                <w:lang w:eastAsia="he-IL"/>
              </w:rPr>
              <w:t xml:space="preserve"> "לאחי הנספה".</w:t>
            </w:r>
            <w:r w:rsidR="00A1257C">
              <w:rPr>
                <w:rFonts w:ascii="David" w:eastAsia="MS Mincho" w:hAnsi="David"/>
                <w:noProof/>
                <w:spacing w:val="1"/>
                <w:rtl/>
                <w:lang w:eastAsia="he-IL"/>
              </w:rPr>
              <w:t xml:space="preserve"> </w:t>
            </w:r>
          </w:p>
        </w:tc>
      </w:tr>
    </w:tbl>
    <w:p w14:paraId="04F5E15A" w14:textId="77777777" w:rsidR="00B36C42" w:rsidRPr="009748A6" w:rsidRDefault="00B36C42" w:rsidP="00B36C42">
      <w:pPr>
        <w:pStyle w:val="HeadDivreiHesber"/>
        <w:rPr>
          <w:rFonts w:ascii="David" w:hAnsi="David"/>
          <w:rtl/>
        </w:rPr>
      </w:pPr>
      <w:r w:rsidRPr="009748A6">
        <w:rPr>
          <w:rFonts w:ascii="David" w:hAnsi="David"/>
          <w:rtl/>
        </w:rPr>
        <w:t>דברי הסבר</w:t>
      </w:r>
    </w:p>
    <w:p w14:paraId="67D2E8D3" w14:textId="0F684DC2" w:rsidR="00B36C42" w:rsidRPr="00BA5ADB" w:rsidRDefault="00B36C42" w:rsidP="005E756C">
      <w:pPr>
        <w:pStyle w:val="Hesber"/>
        <w:rPr>
          <w:rtl/>
        </w:rPr>
      </w:pPr>
      <w:r w:rsidRPr="00BA5ADB">
        <w:rPr>
          <w:rtl/>
        </w:rPr>
        <w:t xml:space="preserve">אחים שכולים </w:t>
      </w:r>
      <w:r>
        <w:rPr>
          <w:rFonts w:hint="cs"/>
          <w:rtl/>
        </w:rPr>
        <w:t>ש</w:t>
      </w:r>
      <w:r w:rsidRPr="00BA5ADB">
        <w:rPr>
          <w:rtl/>
        </w:rPr>
        <w:t>ל</w:t>
      </w:r>
      <w:r>
        <w:rPr>
          <w:rFonts w:hint="cs"/>
          <w:rtl/>
        </w:rPr>
        <w:t xml:space="preserve"> חיילים שנספו במערכה</w:t>
      </w:r>
      <w:r w:rsidRPr="00BA5ADB">
        <w:rPr>
          <w:rtl/>
        </w:rPr>
        <w:t xml:space="preserve"> קופחו במשך שנים רבות </w:t>
      </w:r>
      <w:r w:rsidR="005E756C">
        <w:rPr>
          <w:rFonts w:hint="cs"/>
          <w:rtl/>
        </w:rPr>
        <w:t xml:space="preserve">בזכויות שניתנו להם במסגרת החקיקה שמעניקה </w:t>
      </w:r>
      <w:r w:rsidRPr="00BA5ADB">
        <w:rPr>
          <w:rtl/>
        </w:rPr>
        <w:t xml:space="preserve">זכויות </w:t>
      </w:r>
      <w:r>
        <w:rPr>
          <w:rFonts w:hint="cs"/>
          <w:rtl/>
        </w:rPr>
        <w:t>ל</w:t>
      </w:r>
      <w:r w:rsidRPr="00BA5ADB">
        <w:rPr>
          <w:rtl/>
        </w:rPr>
        <w:t xml:space="preserve">משפחת השכול </w:t>
      </w:r>
      <w:r>
        <w:rPr>
          <w:rFonts w:hint="cs"/>
          <w:rtl/>
        </w:rPr>
        <w:t xml:space="preserve">כך נוצר </w:t>
      </w:r>
      <w:r w:rsidRPr="00BA5ADB">
        <w:rPr>
          <w:rtl/>
        </w:rPr>
        <w:t xml:space="preserve">עיוות ופער בלתי צודק.  </w:t>
      </w:r>
    </w:p>
    <w:p w14:paraId="213ACA29" w14:textId="2F7BBC42" w:rsidR="00B36C42" w:rsidRPr="00BA5ADB" w:rsidRDefault="00B36C42" w:rsidP="00B36C42">
      <w:pPr>
        <w:pStyle w:val="Hesber"/>
        <w:rPr>
          <w:rtl/>
        </w:rPr>
      </w:pPr>
      <w:r w:rsidRPr="009748A6">
        <w:rPr>
          <w:rFonts w:ascii="David" w:hAnsi="David"/>
          <w:noProof/>
          <w:rtl/>
          <w:lang w:eastAsia="he-IL"/>
        </w:rPr>
        <w:t>חוק משפחות חיילים שנספו במערכה (תגמולים ושיקום), התש"י–1950</w:t>
      </w:r>
      <w:r>
        <w:rPr>
          <w:rFonts w:ascii="David" w:hAnsi="David" w:hint="cs"/>
          <w:noProof/>
          <w:rtl/>
          <w:lang w:eastAsia="he-IL"/>
        </w:rPr>
        <w:t xml:space="preserve"> </w:t>
      </w:r>
      <w:r>
        <w:rPr>
          <w:rFonts w:hint="cs"/>
          <w:rtl/>
        </w:rPr>
        <w:t xml:space="preserve">(להלן </w:t>
      </w:r>
      <w:r w:rsidR="005E756C">
        <w:rPr>
          <w:rtl/>
        </w:rPr>
        <w:t>–</w:t>
      </w:r>
      <w:r w:rsidR="005E756C">
        <w:rPr>
          <w:rFonts w:hint="cs"/>
          <w:rtl/>
        </w:rPr>
        <w:t xml:space="preserve"> החוק)</w:t>
      </w:r>
      <w:r>
        <w:rPr>
          <w:rFonts w:hint="cs"/>
          <w:rtl/>
        </w:rPr>
        <w:t xml:space="preserve"> יוצר כיום</w:t>
      </w:r>
      <w:r w:rsidR="005E756C">
        <w:rPr>
          <w:rFonts w:hint="cs"/>
          <w:rtl/>
        </w:rPr>
        <w:t xml:space="preserve"> בפועל </w:t>
      </w:r>
      <w:r>
        <w:rPr>
          <w:rFonts w:hint="cs"/>
          <w:rtl/>
        </w:rPr>
        <w:t xml:space="preserve"> </w:t>
      </w:r>
      <w:r w:rsidRPr="00BA5ADB">
        <w:rPr>
          <w:rtl/>
        </w:rPr>
        <w:t>מצב של חוסר שוויון בין קבוצות שונות של נפגעי מערכות ישראל, שהגורל צירפם תחת טיפול</w:t>
      </w:r>
      <w:r>
        <w:rPr>
          <w:rFonts w:hint="cs"/>
          <w:rtl/>
        </w:rPr>
        <w:t>ו של</w:t>
      </w:r>
      <w:r w:rsidRPr="00BA5ADB">
        <w:rPr>
          <w:rtl/>
        </w:rPr>
        <w:t xml:space="preserve"> משרד הב</w:t>
      </w:r>
      <w:r>
        <w:rPr>
          <w:rFonts w:hint="cs"/>
          <w:rtl/>
        </w:rPr>
        <w:t>י</w:t>
      </w:r>
      <w:r w:rsidRPr="00BA5ADB">
        <w:rPr>
          <w:rtl/>
        </w:rPr>
        <w:t xml:space="preserve">טחון. התיקון המוצע נועד לצמצם את חוסר השוויון בכל הנוגע </w:t>
      </w:r>
      <w:r>
        <w:rPr>
          <w:rFonts w:hint="cs"/>
          <w:rtl/>
        </w:rPr>
        <w:t>לזכויות</w:t>
      </w:r>
      <w:r w:rsidRPr="00BA5ADB">
        <w:rPr>
          <w:rtl/>
        </w:rPr>
        <w:t xml:space="preserve"> הניתנות לאחים שכולים.</w:t>
      </w:r>
    </w:p>
    <w:p w14:paraId="676A42C3" w14:textId="38F1ECF8" w:rsidR="00B36C42" w:rsidRPr="00BA5ADB" w:rsidRDefault="00B36C42" w:rsidP="00B36C42">
      <w:pPr>
        <w:pStyle w:val="Hesber"/>
        <w:rPr>
          <w:rtl/>
        </w:rPr>
      </w:pPr>
      <w:r w:rsidRPr="00BA5ADB">
        <w:rPr>
          <w:rtl/>
        </w:rPr>
        <w:t>סעיף 15ד(ד) לחוק קובע כי לשכול</w:t>
      </w:r>
      <w:r>
        <w:rPr>
          <w:rFonts w:hint="cs"/>
          <w:rtl/>
        </w:rPr>
        <w:t>, כלומר להורה הנספה,</w:t>
      </w:r>
      <w:r w:rsidRPr="00BA5ADB">
        <w:rPr>
          <w:rtl/>
        </w:rPr>
        <w:t xml:space="preserve"> יינתן סיוע במימון שכר לימוד</w:t>
      </w:r>
      <w:r>
        <w:rPr>
          <w:rFonts w:hint="cs"/>
          <w:rtl/>
        </w:rPr>
        <w:t xml:space="preserve"> </w:t>
      </w:r>
      <w:r w:rsidRPr="00BA5ADB">
        <w:rPr>
          <w:rtl/>
        </w:rPr>
        <w:t>במוסד אקדמי (</w:t>
      </w:r>
      <w:r w:rsidR="005E756C">
        <w:rPr>
          <w:rFonts w:hint="cs"/>
          <w:rtl/>
        </w:rPr>
        <w:t>ל</w:t>
      </w:r>
      <w:r w:rsidRPr="00BA5ADB">
        <w:rPr>
          <w:rtl/>
        </w:rPr>
        <w:t>תואר ראשון בלבד)</w:t>
      </w:r>
      <w:r w:rsidRPr="00BA5ADB">
        <w:t xml:space="preserve"> </w:t>
      </w:r>
      <w:r w:rsidRPr="00BA5ADB">
        <w:rPr>
          <w:rtl/>
        </w:rPr>
        <w:t>או במוסד על תיכוני</w:t>
      </w:r>
      <w:r w:rsidR="005E756C">
        <w:rPr>
          <w:rFonts w:hint="cs"/>
          <w:rtl/>
        </w:rPr>
        <w:t>,</w:t>
      </w:r>
      <w:r>
        <w:rPr>
          <w:rFonts w:hint="cs"/>
          <w:rtl/>
        </w:rPr>
        <w:t xml:space="preserve"> בעד האחים של הנספה</w:t>
      </w:r>
      <w:r w:rsidRPr="00BA5ADB">
        <w:rPr>
          <w:rtl/>
        </w:rPr>
        <w:t xml:space="preserve">. </w:t>
      </w:r>
      <w:r>
        <w:rPr>
          <w:rFonts w:hint="cs"/>
          <w:rtl/>
        </w:rPr>
        <w:t xml:space="preserve">כלומר </w:t>
      </w:r>
      <w:r w:rsidRPr="00BA5ADB">
        <w:rPr>
          <w:rtl/>
        </w:rPr>
        <w:t xml:space="preserve">הסעיף מקנה זכות </w:t>
      </w:r>
      <w:r>
        <w:rPr>
          <w:rFonts w:hint="cs"/>
          <w:rtl/>
        </w:rPr>
        <w:t xml:space="preserve">זו לשכול בעד לימודים של </w:t>
      </w:r>
      <w:r w:rsidRPr="00BA5ADB">
        <w:rPr>
          <w:rtl/>
        </w:rPr>
        <w:t xml:space="preserve">אח שכול, אך מסייג </w:t>
      </w:r>
      <w:r>
        <w:rPr>
          <w:rFonts w:hint="cs"/>
          <w:rtl/>
        </w:rPr>
        <w:t>את מתן ההטבה וקובע כי היא תינתן רק בעד אח שלא הגיע לגיל 30.</w:t>
      </w:r>
      <w:r w:rsidRPr="00BA5ADB">
        <w:rPr>
          <w:rtl/>
        </w:rPr>
        <w:t xml:space="preserve"> </w:t>
      </w:r>
    </w:p>
    <w:p w14:paraId="729011B2" w14:textId="0A658562" w:rsidR="00B36C42" w:rsidRPr="00BA5ADB" w:rsidRDefault="00B36C42" w:rsidP="00B41831">
      <w:pPr>
        <w:pStyle w:val="Hesber"/>
        <w:rPr>
          <w:rtl/>
        </w:rPr>
      </w:pPr>
      <w:r w:rsidRPr="00BA5ADB">
        <w:rPr>
          <w:rtl/>
        </w:rPr>
        <w:t xml:space="preserve">קשה להצביע על תכלית ראויה לסייג האמור, </w:t>
      </w:r>
      <w:r w:rsidR="005E756C">
        <w:rPr>
          <w:rFonts w:hint="cs"/>
          <w:rtl/>
        </w:rPr>
        <w:t>וניכר כי</w:t>
      </w:r>
      <w:r w:rsidRPr="00BA5ADB">
        <w:rPr>
          <w:rtl/>
        </w:rPr>
        <w:t xml:space="preserve"> הגבלה זו הינה חסרת הגיון או הצדקה</w:t>
      </w:r>
      <w:r>
        <w:rPr>
          <w:rFonts w:hint="cs"/>
          <w:rtl/>
        </w:rPr>
        <w:t xml:space="preserve">. </w:t>
      </w:r>
      <w:r w:rsidRPr="00BA5ADB">
        <w:rPr>
          <w:rtl/>
        </w:rPr>
        <w:t xml:space="preserve">נהפוך הוא – </w:t>
      </w:r>
      <w:r>
        <w:rPr>
          <w:rFonts w:hint="cs"/>
          <w:rtl/>
        </w:rPr>
        <w:t xml:space="preserve">במקרים רבים </w:t>
      </w:r>
      <w:r w:rsidRPr="00BA5ADB">
        <w:rPr>
          <w:rtl/>
        </w:rPr>
        <w:t>ה</w:t>
      </w:r>
      <w:r>
        <w:rPr>
          <w:rFonts w:hint="cs"/>
          <w:rtl/>
        </w:rPr>
        <w:t>התמודדות עם ה</w:t>
      </w:r>
      <w:r w:rsidRPr="00BA5ADB">
        <w:rPr>
          <w:rtl/>
        </w:rPr>
        <w:t xml:space="preserve">שכול </w:t>
      </w:r>
      <w:r>
        <w:rPr>
          <w:rFonts w:hint="cs"/>
          <w:rtl/>
        </w:rPr>
        <w:t xml:space="preserve">מובילה </w:t>
      </w:r>
      <w:r w:rsidRPr="00BA5ADB">
        <w:rPr>
          <w:rtl/>
        </w:rPr>
        <w:t xml:space="preserve">לעיכוב המימוש העצמי של בני המשפחה השכולה ואין לקפח זכות </w:t>
      </w:r>
      <w:r>
        <w:rPr>
          <w:rFonts w:hint="cs"/>
          <w:rtl/>
        </w:rPr>
        <w:t xml:space="preserve">בעד </w:t>
      </w:r>
      <w:r w:rsidRPr="00BA5ADB">
        <w:rPr>
          <w:rtl/>
        </w:rPr>
        <w:t xml:space="preserve">אח שכול לסיוע כאמור, רק בשל הגיל בו מצא </w:t>
      </w:r>
      <w:r>
        <w:rPr>
          <w:rFonts w:hint="cs"/>
          <w:rtl/>
        </w:rPr>
        <w:t xml:space="preserve">את </w:t>
      </w:r>
      <w:r w:rsidRPr="00BA5ADB">
        <w:rPr>
          <w:rtl/>
        </w:rPr>
        <w:t>הכוחות להמשיך בחייו</w:t>
      </w:r>
      <w:r w:rsidR="005E756C">
        <w:rPr>
          <w:rFonts w:hint="cs"/>
          <w:rtl/>
        </w:rPr>
        <w:t xml:space="preserve"> ולהתחיל לימודים לתואר אקדמי</w:t>
      </w:r>
      <w:r w:rsidRPr="00BA5ADB">
        <w:rPr>
          <w:rtl/>
        </w:rPr>
        <w:t>.</w:t>
      </w:r>
      <w:r w:rsidR="005E756C">
        <w:rPr>
          <w:rFonts w:hint="cs"/>
          <w:rtl/>
        </w:rPr>
        <w:t xml:space="preserve"> לפיכך מוצע לקבוע כי הזכאות למימון הלימודים כאמור תהיה בכל גיל של האח </w:t>
      </w:r>
      <w:r w:rsidR="005E756C">
        <w:rPr>
          <w:rFonts w:hint="cs"/>
          <w:rtl/>
        </w:rPr>
        <w:lastRenderedPageBreak/>
        <w:t xml:space="preserve">השכול. </w:t>
      </w:r>
    </w:p>
    <w:p w14:paraId="1C03D838" w14:textId="6CD8C0BA" w:rsidR="00B36C42" w:rsidRPr="00BA5ADB" w:rsidRDefault="005E756C" w:rsidP="00B41831">
      <w:pPr>
        <w:pStyle w:val="Hesber"/>
        <w:rPr>
          <w:rtl/>
        </w:rPr>
      </w:pPr>
      <w:r>
        <w:rPr>
          <w:rFonts w:hint="cs"/>
          <w:rtl/>
        </w:rPr>
        <w:t xml:space="preserve">בנוסף, </w:t>
      </w:r>
      <w:r w:rsidR="00B36C42" w:rsidRPr="00BA5ADB">
        <w:rPr>
          <w:rtl/>
        </w:rPr>
        <w:t xml:space="preserve">סעיף 15ז(ד) לחוק קובע כי עובד סוציאלי באגף רשאי לאשר </w:t>
      </w:r>
      <w:r w:rsidR="00B36C42">
        <w:rPr>
          <w:rFonts w:hint="cs"/>
          <w:rtl/>
        </w:rPr>
        <w:t xml:space="preserve">סיוע במימון </w:t>
      </w:r>
      <w:r w:rsidR="00B36C42" w:rsidRPr="00FD2FAF">
        <w:rPr>
          <w:rtl/>
        </w:rPr>
        <w:t>התערבויות לרווחה רגשית</w:t>
      </w:r>
      <w:r w:rsidR="00B36C42" w:rsidRPr="00BA5ADB">
        <w:rPr>
          <w:rtl/>
        </w:rPr>
        <w:t xml:space="preserve"> להורה שכול, לאלמנה וכן ליתום, במקום סיוע במימון טיפול נפשי</w:t>
      </w:r>
      <w:r>
        <w:rPr>
          <w:rFonts w:hint="cs"/>
          <w:rtl/>
        </w:rPr>
        <w:t>.</w:t>
      </w:r>
      <w:r w:rsidR="00B36C42">
        <w:rPr>
          <w:rFonts w:hint="cs"/>
          <w:rtl/>
        </w:rPr>
        <w:t xml:space="preserve"> במסגרת סעיף</w:t>
      </w:r>
      <w:r>
        <w:rPr>
          <w:rFonts w:hint="cs"/>
          <w:rtl/>
        </w:rPr>
        <w:t xml:space="preserve"> זה</w:t>
      </w:r>
      <w:r w:rsidR="00B36C42">
        <w:rPr>
          <w:rFonts w:hint="cs"/>
          <w:rtl/>
        </w:rPr>
        <w:t xml:space="preserve"> אין כל  התייחסות לאח שכול</w:t>
      </w:r>
      <w:r w:rsidR="00B36C42" w:rsidRPr="00BA5ADB">
        <w:rPr>
          <w:rtl/>
        </w:rPr>
        <w:t>.</w:t>
      </w:r>
    </w:p>
    <w:p w14:paraId="5A8AAE3D" w14:textId="0D20163A" w:rsidR="00B36C42" w:rsidRPr="00BA5ADB" w:rsidRDefault="00B36C42" w:rsidP="00B41831">
      <w:pPr>
        <w:pStyle w:val="Hesber"/>
        <w:rPr>
          <w:rtl/>
        </w:rPr>
      </w:pPr>
      <w:r w:rsidRPr="00BA5ADB">
        <w:rPr>
          <w:rtl/>
        </w:rPr>
        <w:t xml:space="preserve">הצעת החוק </w:t>
      </w:r>
      <w:r w:rsidR="005E756C">
        <w:rPr>
          <w:rFonts w:hint="cs"/>
          <w:rtl/>
        </w:rPr>
        <w:t>מבקשת לקבוע זכאות של אח שכול גם לסיוע במימון התערבויות לרווחה רגשית כאמור, בדומה ל</w:t>
      </w:r>
      <w:r w:rsidRPr="00BA5ADB">
        <w:rPr>
          <w:rtl/>
        </w:rPr>
        <w:t>הורים שכולים, אלמנות ויתומים. אין כל הצדקה</w:t>
      </w:r>
      <w:r w:rsidR="005E756C">
        <w:rPr>
          <w:rFonts w:hint="cs"/>
          <w:rtl/>
        </w:rPr>
        <w:t xml:space="preserve"> לקביעה שונה של זכאות</w:t>
      </w:r>
      <w:r w:rsidRPr="00BA5ADB">
        <w:rPr>
          <w:rtl/>
        </w:rPr>
        <w:t xml:space="preserve"> בכל הנוגע לצורך בסיוע במימון התערבויות לרווחה </w:t>
      </w:r>
      <w:r>
        <w:rPr>
          <w:rFonts w:hint="cs"/>
          <w:rtl/>
        </w:rPr>
        <w:t>ה</w:t>
      </w:r>
      <w:r w:rsidRPr="00BA5ADB">
        <w:rPr>
          <w:rtl/>
        </w:rPr>
        <w:t>רגשית</w:t>
      </w:r>
      <w:r>
        <w:rPr>
          <w:rFonts w:hint="cs"/>
          <w:rtl/>
        </w:rPr>
        <w:t xml:space="preserve"> של אח שכול</w:t>
      </w:r>
      <w:r w:rsidRPr="00BA5ADB">
        <w:rPr>
          <w:rtl/>
        </w:rPr>
        <w:t xml:space="preserve">. </w:t>
      </w:r>
    </w:p>
    <w:p w14:paraId="154B4875" w14:textId="77777777" w:rsidR="00B36C42" w:rsidRPr="00BA5ADB" w:rsidRDefault="00B36C42" w:rsidP="00B36C42">
      <w:pPr>
        <w:pStyle w:val="Hesber"/>
        <w:rPr>
          <w:rtl/>
        </w:rPr>
      </w:pPr>
      <w:r w:rsidRPr="00BA5ADB">
        <w:rPr>
          <w:rtl/>
        </w:rPr>
        <w:t xml:space="preserve">יתרה מזאת – הסיוע </w:t>
      </w:r>
      <w:r>
        <w:rPr>
          <w:rFonts w:hint="cs"/>
          <w:rtl/>
        </w:rPr>
        <w:t xml:space="preserve">המוצע של מימון </w:t>
      </w:r>
      <w:r w:rsidRPr="00FD2FAF">
        <w:rPr>
          <w:rtl/>
        </w:rPr>
        <w:t>התערבויות לרווחה רגשית</w:t>
      </w:r>
      <w:r w:rsidRPr="00BA5ADB">
        <w:rPr>
          <w:rtl/>
        </w:rPr>
        <w:t xml:space="preserve"> ניתן חלף </w:t>
      </w:r>
      <w:r>
        <w:rPr>
          <w:rFonts w:hint="cs"/>
          <w:rtl/>
        </w:rPr>
        <w:t>ה</w:t>
      </w:r>
      <w:r w:rsidRPr="00BA5ADB">
        <w:rPr>
          <w:rtl/>
        </w:rPr>
        <w:t xml:space="preserve">סיוע </w:t>
      </w:r>
      <w:r>
        <w:rPr>
          <w:rFonts w:hint="cs"/>
          <w:rtl/>
        </w:rPr>
        <w:t xml:space="preserve">של </w:t>
      </w:r>
      <w:r w:rsidRPr="00BA5ADB">
        <w:rPr>
          <w:rtl/>
        </w:rPr>
        <w:t xml:space="preserve">מימון טיפול נפשי. במצב דברים זה – כיוון שהסיוע </w:t>
      </w:r>
      <w:r>
        <w:rPr>
          <w:rFonts w:hint="cs"/>
          <w:rtl/>
        </w:rPr>
        <w:t xml:space="preserve">במימון טיפול נפשי </w:t>
      </w:r>
      <w:r w:rsidRPr="00BA5ADB">
        <w:rPr>
          <w:rtl/>
        </w:rPr>
        <w:t xml:space="preserve">ניתן כיום גם לאחים השכולים, </w:t>
      </w:r>
      <w:r>
        <w:rPr>
          <w:rFonts w:hint="cs"/>
          <w:rtl/>
        </w:rPr>
        <w:t xml:space="preserve">לא </w:t>
      </w:r>
      <w:r w:rsidRPr="00BA5ADB">
        <w:rPr>
          <w:rtl/>
        </w:rPr>
        <w:t xml:space="preserve">ברור מדוע האחים השכולים </w:t>
      </w:r>
      <w:r>
        <w:rPr>
          <w:rFonts w:hint="cs"/>
          <w:rtl/>
        </w:rPr>
        <w:t>אינם זכאים לקבל את ה</w:t>
      </w:r>
      <w:r w:rsidRPr="00BA5ADB">
        <w:rPr>
          <w:rtl/>
        </w:rPr>
        <w:t>סיוע החליפי</w:t>
      </w:r>
      <w:r>
        <w:rPr>
          <w:rFonts w:hint="cs"/>
          <w:rtl/>
        </w:rPr>
        <w:t xml:space="preserve"> של מימון התערבויות לרווחה רגשית. </w:t>
      </w:r>
    </w:p>
    <w:p w14:paraId="0427725F" w14:textId="77777777" w:rsidR="00B36C42" w:rsidRPr="00BA5ADB" w:rsidRDefault="00B36C42" w:rsidP="00B36C42">
      <w:pPr>
        <w:pStyle w:val="Hesber"/>
        <w:rPr>
          <w:rtl/>
        </w:rPr>
      </w:pPr>
    </w:p>
    <w:p w14:paraId="1C68A655" w14:textId="77777777" w:rsidR="009748A6" w:rsidRPr="00B36C42" w:rsidRDefault="009748A6" w:rsidP="00B36C42">
      <w:pPr>
        <w:rPr>
          <w:rtl/>
        </w:rPr>
      </w:pPr>
    </w:p>
    <w:p w14:paraId="5927D9FF" w14:textId="77777777" w:rsidR="001D680C" w:rsidRDefault="00A1257C">
      <w:pPr>
        <w:spacing w:line="276" w:lineRule="auto"/>
        <w:jc w:val="left"/>
      </w:pPr>
      <w:bookmarkStart w:id="8" w:name="selectedDocDateB"/>
      <w:bookmarkEnd w:id="8"/>
      <w:r>
        <w:rPr>
          <w:rFonts w:eastAsia="David" w:hint="cs"/>
          <w:sz w:val="26"/>
          <w:szCs w:val="26"/>
          <w:rtl/>
        </w:rPr>
        <w:t>--------------------------------</w:t>
      </w:r>
    </w:p>
    <w:p w14:paraId="68E2E83F" w14:textId="77777777" w:rsidR="001D680C" w:rsidRDefault="00A1257C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63F4A635" w14:textId="77777777" w:rsidR="001D680C" w:rsidRDefault="00A1257C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3B99199E" w14:textId="77777777" w:rsidR="001D680C" w:rsidRDefault="00A1257C">
      <w:pPr>
        <w:jc w:val="left"/>
      </w:pPr>
      <w:r>
        <w:rPr>
          <w:rFonts w:eastAsia="David" w:hint="cs"/>
          <w:sz w:val="26"/>
          <w:szCs w:val="26"/>
          <w:rtl/>
        </w:rPr>
        <w:t xml:space="preserve">ו' באדר ב' התשפ"ב (09.03.2022) </w:t>
      </w:r>
    </w:p>
    <w:p w14:paraId="7B789E7B" w14:textId="77777777" w:rsidR="001D680C" w:rsidRDefault="001D680C"/>
    <w:sectPr w:rsidR="001D680C" w:rsidSect="00A1257C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A1257C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A1257C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85B4D06" w14:textId="77777777" w:rsidR="00B36C42" w:rsidRDefault="00B36C42" w:rsidP="00B36C42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התש"י, עמ' 162.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81A19"/>
    <w:multiLevelType w:val="hybridMultilevel"/>
    <w:tmpl w:val="571AFE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32AD1"/>
    <w:multiLevelType w:val="hybridMultilevel"/>
    <w:tmpl w:val="E786BEF4"/>
    <w:lvl w:ilvl="0" w:tplc="6AD029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10"/>
  </w:num>
  <w:num w:numId="16">
    <w:abstractNumId w:val="14"/>
  </w:num>
  <w:num w:numId="17">
    <w:abstractNumId w:val="15"/>
  </w:num>
  <w:num w:numId="18">
    <w:abstractNumId w:val="15"/>
    <w:lvlOverride w:ilvl="0">
      <w:startOverride w:val="1"/>
    </w:lvlOverride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680C"/>
    <w:rsid w:val="001D7AAF"/>
    <w:rsid w:val="00203A7F"/>
    <w:rsid w:val="00211D0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1795E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5E756C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748A6"/>
    <w:rsid w:val="00982412"/>
    <w:rsid w:val="00983A8D"/>
    <w:rsid w:val="009A0DB8"/>
    <w:rsid w:val="009A7257"/>
    <w:rsid w:val="009D6E0A"/>
    <w:rsid w:val="009E1E33"/>
    <w:rsid w:val="00A1257C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E2D30"/>
    <w:rsid w:val="00B10265"/>
    <w:rsid w:val="00B16A99"/>
    <w:rsid w:val="00B21211"/>
    <w:rsid w:val="00B35784"/>
    <w:rsid w:val="00B36C42"/>
    <w:rsid w:val="00B41831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7B7BBB97-1069-4502-B6CB-B49CF0DA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57C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257C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A1257C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A1257C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A1257C"/>
    <w:pPr>
      <w:numPr>
        <w:numId w:val="20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1257C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A1257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1257C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A1257C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A1257C"/>
    <w:rPr>
      <w:sz w:val="36"/>
      <w:szCs w:val="52"/>
    </w:rPr>
  </w:style>
  <w:style w:type="paragraph" w:customStyle="1" w:styleId="Cover3-Haknesset">
    <w:name w:val="Cover 3-Haknesset"/>
    <w:basedOn w:val="Cover1-Reshumot"/>
    <w:rsid w:val="00A1257C"/>
    <w:rPr>
      <w:b/>
      <w:bCs/>
      <w:spacing w:val="60"/>
    </w:rPr>
  </w:style>
  <w:style w:type="paragraph" w:customStyle="1" w:styleId="Cover4-Date">
    <w:name w:val="Cover 4-Date"/>
    <w:basedOn w:val="a"/>
    <w:rsid w:val="00A1257C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A1257C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A1257C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A1257C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A1257C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A1257C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A1257C"/>
    <w:pPr>
      <w:outlineLvl w:val="2"/>
    </w:pPr>
  </w:style>
  <w:style w:type="paragraph" w:customStyle="1" w:styleId="TableBlock">
    <w:name w:val="Table Block"/>
    <w:basedOn w:val="TableText"/>
    <w:rsid w:val="00A1257C"/>
    <w:pPr>
      <w:jc w:val="both"/>
    </w:pPr>
  </w:style>
  <w:style w:type="paragraph" w:customStyle="1" w:styleId="TableHead">
    <w:name w:val="Table Head"/>
    <w:basedOn w:val="TableText"/>
    <w:rsid w:val="00A1257C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A1257C"/>
    <w:pPr>
      <w:outlineLvl w:val="9"/>
    </w:pPr>
  </w:style>
  <w:style w:type="paragraph" w:customStyle="1" w:styleId="Hesber">
    <w:name w:val="Hesber"/>
    <w:basedOn w:val="a"/>
    <w:rsid w:val="00A1257C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A1257C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A1257C"/>
    <w:rPr>
      <w:vertAlign w:val="superscript"/>
    </w:rPr>
  </w:style>
  <w:style w:type="paragraph" w:customStyle="1" w:styleId="HesberHeading">
    <w:name w:val="Hesber Heading"/>
    <w:basedOn w:val="Hesber"/>
    <w:rsid w:val="00A1257C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A1257C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A1257C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A1257C"/>
    <w:rPr>
      <w:vertAlign w:val="superscript"/>
    </w:rPr>
  </w:style>
  <w:style w:type="paragraph" w:customStyle="1" w:styleId="TableBlockOutdent">
    <w:name w:val="Table BlockOutdent"/>
    <w:basedOn w:val="TableBlock"/>
    <w:rsid w:val="00A1257C"/>
    <w:pPr>
      <w:ind w:left="624" w:hanging="624"/>
    </w:pPr>
  </w:style>
  <w:style w:type="paragraph" w:styleId="a7">
    <w:name w:val="header"/>
    <w:basedOn w:val="a"/>
    <w:rsid w:val="00A1257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A1257C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A1257C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A1257C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A1257C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paragraph" w:styleId="ad">
    <w:name w:val="List Paragraph"/>
    <w:basedOn w:val="a"/>
    <w:uiPriority w:val="34"/>
    <w:qFormat/>
    <w:rsid w:val="00A1257C"/>
    <w:pPr>
      <w:widowControl/>
      <w:spacing w:line="259" w:lineRule="auto"/>
    </w:pPr>
    <w:rPr>
      <w:rFonts w:asciiTheme="minorHAnsi" w:hAnsiTheme="minorHAnsi"/>
      <w:sz w:val="22"/>
    </w:rPr>
  </w:style>
  <w:style w:type="character" w:customStyle="1" w:styleId="10">
    <w:name w:val="כותרת 1 תו"/>
    <w:basedOn w:val="a0"/>
    <w:link w:val="1"/>
    <w:uiPriority w:val="9"/>
    <w:rsid w:val="00A1257C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A1257C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A1257C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A1257C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A1257C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A1257C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A1257C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A1257C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A1257C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A1257C"/>
    <w:pPr>
      <w:numPr>
        <w:numId w:val="23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A1257C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A1257C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A1257C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A1257C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A1257C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A1257C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A1257C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A1257C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A1257C"/>
    <w:rPr>
      <w:rFonts w:eastAsia="Times New Roman"/>
    </w:rPr>
  </w:style>
  <w:style w:type="table" w:styleId="af">
    <w:name w:val="Table Grid"/>
    <w:basedOn w:val="a1"/>
    <w:rsid w:val="00A1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A125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A125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A1257C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A1257C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613828-1665-4697-8A60-84CBBA156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4AD45-005F-4D4C-9C53-73B01A6A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11</cp:revision>
  <cp:lastPrinted>2022-02-16T12:25:00Z</cp:lastPrinted>
  <dcterms:created xsi:type="dcterms:W3CDTF">2015-04-20T09:58:00Z</dcterms:created>
  <dcterms:modified xsi:type="dcterms:W3CDTF">2022-03-08T09:16:00Z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2189715</vt:r8>
  </property>
</Properties>
</file>