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2190216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מיכל שיר סגמן</w:t>
      </w:r>
      <w:r>
        <w:br/>
      </w:r>
      <w:r>
        <w:rPr>
          <w:rFonts w:hint="cs"/>
          <w:b/>
          <w:bCs/>
          <w:rtl/>
        </w:rPr>
        <w:t xml:space="preserve"> </w:t>
      </w:r>
      <w:r>
        <w:tab/>
      </w:r>
      <w:r>
        <w:tab/>
      </w:r>
      <w:r>
        <w:tab/>
      </w:r>
      <w:r>
        <w:tab/>
      </w:r>
      <w:r>
        <w:rPr>
          <w:rFonts w:hint="cs"/>
          <w:b/>
          <w:bCs/>
          <w:rtl/>
        </w:rPr>
        <w:t>זאב בנימין בגין</w:t>
      </w:r>
      <w:r>
        <w:br/>
      </w:r>
      <w:r>
        <w:rPr>
          <w:rFonts w:hint="cs"/>
          <w:b/>
          <w:bCs/>
          <w:rtl/>
        </w:rPr>
        <w:t xml:space="preserve"> </w:t>
      </w:r>
      <w:r>
        <w:tab/>
      </w:r>
      <w:r>
        <w:tab/>
      </w:r>
      <w:r>
        <w:tab/>
      </w:r>
      <w:r>
        <w:tab/>
      </w:r>
      <w:r>
        <w:rPr>
          <w:rFonts w:hint="cs"/>
          <w:b/>
          <w:bCs/>
          <w:rtl/>
        </w:rPr>
        <w:t>שרן מרים השכל</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11F32880" w:rsidR="00E13C27" w:rsidRPr="00E06736" w:rsidRDefault="00904591" w:rsidP="00F33230">
      <w:pPr>
        <w:pStyle w:val="David"/>
        <w:spacing w:line="240" w:lineRule="auto"/>
        <w:ind w:left="6424" w:firstLine="56"/>
        <w:rPr>
          <w:rtl/>
        </w:rPr>
      </w:pPr>
      <w:bookmarkStart w:id="6" w:name="Private_Number"/>
      <w:r>
        <w:rPr>
          <w:rFonts w:hint="cs"/>
          <w:rtl/>
        </w:rPr>
        <w:t>פ/3599/24</w:t>
      </w:r>
      <w:bookmarkEnd w:id="6"/>
    </w:p>
    <w:p w14:paraId="7F6961AC" w14:textId="77777777" w:rsidR="00E13C27" w:rsidRDefault="00E13C27" w:rsidP="00E13C27">
      <w:pPr>
        <w:ind w:left="2880" w:firstLine="720"/>
        <w:rPr>
          <w:sz w:val="26"/>
          <w:szCs w:val="26"/>
          <w:rtl/>
        </w:rPr>
      </w:pPr>
    </w:p>
    <w:p w14:paraId="166AE070" w14:textId="2A0728A3" w:rsidR="001B7A51" w:rsidRDefault="001B7A51" w:rsidP="00F33230">
      <w:pPr>
        <w:pStyle w:val="HeadHatzaotHok"/>
        <w:rPr>
          <w:rtl/>
        </w:rPr>
      </w:pPr>
      <w:bookmarkStart w:id="7" w:name="LGS_Subject"/>
      <w:r>
        <w:rPr>
          <w:rFonts w:hint="cs"/>
          <w:rtl/>
        </w:rPr>
        <w:t>הצעת חוק להגדלת שיעור ההשתתפות בכוח העבודה ולצמצום פערים חברתיים (מענק עבודה) (תיקון – פטור מהשבת מענקים להתמודדות עם השלכות נגיף הקורונה לעסקים במחזור קטן), התשפ"ב–2022</w:t>
      </w:r>
    </w:p>
    <w:p w14:paraId="6008D1BC" w14:textId="77777777" w:rsidR="00490AE1" w:rsidRDefault="00490AE1" w:rsidP="00F33230">
      <w:pPr>
        <w:pStyle w:val="HeadHatzaotHok"/>
        <w:rPr>
          <w:rtl/>
        </w:rPr>
      </w:pPr>
    </w:p>
    <w:tbl>
      <w:tblPr>
        <w:bidiVisual/>
        <w:tblW w:w="9636" w:type="dxa"/>
        <w:tblLayout w:type="fixed"/>
        <w:tblCellMar>
          <w:top w:w="57" w:type="dxa"/>
          <w:left w:w="0" w:type="dxa"/>
          <w:bottom w:w="57" w:type="dxa"/>
          <w:right w:w="0" w:type="dxa"/>
        </w:tblCellMar>
        <w:tblLook w:val="01E0" w:firstRow="1" w:lastRow="1" w:firstColumn="1" w:lastColumn="1" w:noHBand="0" w:noVBand="0"/>
      </w:tblPr>
      <w:tblGrid>
        <w:gridCol w:w="1869"/>
        <w:gridCol w:w="623"/>
        <w:gridCol w:w="624"/>
        <w:gridCol w:w="624"/>
        <w:gridCol w:w="624"/>
        <w:gridCol w:w="624"/>
        <w:gridCol w:w="4648"/>
      </w:tblGrid>
      <w:tr w:rsidR="001B7A51" w14:paraId="30C182AC" w14:textId="77777777" w:rsidTr="00F33230">
        <w:trPr>
          <w:cantSplit/>
        </w:trPr>
        <w:tc>
          <w:tcPr>
            <w:tcW w:w="1869" w:type="dxa"/>
          </w:tcPr>
          <w:p w14:paraId="1D30EBC0" w14:textId="4C2CDE91" w:rsidR="001B7A51" w:rsidRPr="00BE14E2" w:rsidRDefault="0008363D" w:rsidP="00A36950">
            <w:pPr>
              <w:pStyle w:val="TableSideHeading"/>
              <w:keepLines w:val="0"/>
            </w:pPr>
            <w:r>
              <w:rPr>
                <w:rFonts w:hint="cs"/>
                <w:rtl/>
              </w:rPr>
              <w:t>החלפת</w:t>
            </w:r>
            <w:r w:rsidR="001B7A51">
              <w:rPr>
                <w:rFonts w:hint="cs"/>
                <w:rtl/>
              </w:rPr>
              <w:t xml:space="preserve"> סעיף 18כא</w:t>
            </w:r>
          </w:p>
        </w:tc>
        <w:tc>
          <w:tcPr>
            <w:tcW w:w="623" w:type="dxa"/>
          </w:tcPr>
          <w:p w14:paraId="78D0EE07" w14:textId="6299D965" w:rsidR="001B7A51" w:rsidRPr="00BE14E2" w:rsidRDefault="001B7A51" w:rsidP="006D6DAF">
            <w:pPr>
              <w:pStyle w:val="TableText"/>
              <w:keepLines w:val="0"/>
            </w:pPr>
            <w:r>
              <w:rPr>
                <w:rFonts w:hint="cs"/>
                <w:rtl/>
              </w:rPr>
              <w:t>1.</w:t>
            </w:r>
          </w:p>
        </w:tc>
        <w:tc>
          <w:tcPr>
            <w:tcW w:w="7144" w:type="dxa"/>
            <w:gridSpan w:val="5"/>
          </w:tcPr>
          <w:p w14:paraId="0248751D" w14:textId="0107AEFF" w:rsidR="001B7A51" w:rsidRPr="00BE14E2" w:rsidRDefault="0008363D" w:rsidP="00C44C48">
            <w:pPr>
              <w:pStyle w:val="TableHead"/>
              <w:jc w:val="both"/>
              <w:outlineLvl w:val="9"/>
              <w:rPr>
                <w:b w:val="0"/>
                <w:bCs w:val="0"/>
              </w:rPr>
            </w:pPr>
            <w:r w:rsidRPr="00BE14E2">
              <w:rPr>
                <w:rFonts w:hint="cs"/>
                <w:b w:val="0"/>
                <w:bCs w:val="0"/>
                <w:rtl/>
              </w:rPr>
              <w:t>ב</w:t>
            </w:r>
            <w:r w:rsidRPr="00BE14E2">
              <w:rPr>
                <w:b w:val="0"/>
                <w:bCs w:val="0"/>
                <w:rtl/>
              </w:rPr>
              <w:t>חוק להגדלת שיעור ההשתתפות בכוח העבודה ולצמצום פערים חברתיים</w:t>
            </w:r>
            <w:r>
              <w:rPr>
                <w:rFonts w:hint="cs"/>
                <w:b w:val="0"/>
                <w:bCs w:val="0"/>
                <w:rtl/>
              </w:rPr>
              <w:t xml:space="preserve"> </w:t>
            </w:r>
            <w:r w:rsidRPr="00BE14E2">
              <w:rPr>
                <w:b w:val="0"/>
                <w:bCs w:val="0"/>
                <w:rtl/>
              </w:rPr>
              <w:t xml:space="preserve"> (מענק עבודה), התשס"ח</w:t>
            </w:r>
            <w:r>
              <w:rPr>
                <w:rFonts w:hint="cs"/>
                <w:b w:val="0"/>
                <w:bCs w:val="0"/>
                <w:rtl/>
              </w:rPr>
              <w:t>–</w:t>
            </w:r>
            <w:r w:rsidRPr="00BE14E2">
              <w:rPr>
                <w:b w:val="0"/>
                <w:bCs w:val="0"/>
                <w:rtl/>
              </w:rPr>
              <w:t>2007</w:t>
            </w:r>
            <w:r w:rsidR="00A36950">
              <w:rPr>
                <w:rStyle w:val="a5"/>
                <w:b w:val="0"/>
                <w:bCs w:val="0"/>
                <w:rtl/>
              </w:rPr>
              <w:footnoteReference w:id="2"/>
            </w:r>
            <w:r w:rsidRPr="00BE14E2">
              <w:rPr>
                <w:rFonts w:hint="cs"/>
                <w:b w:val="0"/>
                <w:bCs w:val="0"/>
                <w:rtl/>
              </w:rPr>
              <w:t xml:space="preserve"> </w:t>
            </w:r>
            <w:r>
              <w:rPr>
                <w:rFonts w:hint="cs"/>
                <w:b w:val="0"/>
                <w:bCs w:val="0"/>
                <w:rtl/>
              </w:rPr>
              <w:t>(להלן – החוק העיקרי), במקום סעיף 18כא</w:t>
            </w:r>
            <w:r w:rsidR="00A36950">
              <w:rPr>
                <w:rFonts w:hint="cs"/>
                <w:b w:val="0"/>
                <w:bCs w:val="0"/>
                <w:rtl/>
              </w:rPr>
              <w:t xml:space="preserve"> יבוא</w:t>
            </w:r>
            <w:r w:rsidRPr="00BE14E2">
              <w:rPr>
                <w:rFonts w:hint="cs"/>
                <w:b w:val="0"/>
                <w:bCs w:val="0"/>
                <w:rtl/>
              </w:rPr>
              <w:t>:</w:t>
            </w:r>
          </w:p>
        </w:tc>
      </w:tr>
      <w:tr w:rsidR="0008363D" w14:paraId="17971C92" w14:textId="77777777" w:rsidTr="00F33230">
        <w:trPr>
          <w:cantSplit/>
        </w:trPr>
        <w:tc>
          <w:tcPr>
            <w:tcW w:w="1869" w:type="dxa"/>
          </w:tcPr>
          <w:p w14:paraId="43F2C4B1" w14:textId="77777777" w:rsidR="0008363D" w:rsidRDefault="0008363D">
            <w:pPr>
              <w:pStyle w:val="TableSideHeading"/>
              <w:keepLines w:val="0"/>
            </w:pPr>
          </w:p>
        </w:tc>
        <w:tc>
          <w:tcPr>
            <w:tcW w:w="623" w:type="dxa"/>
          </w:tcPr>
          <w:p w14:paraId="53708022" w14:textId="77777777" w:rsidR="0008363D" w:rsidRDefault="0008363D">
            <w:pPr>
              <w:pStyle w:val="TableText"/>
              <w:keepLines w:val="0"/>
            </w:pPr>
          </w:p>
        </w:tc>
        <w:tc>
          <w:tcPr>
            <w:tcW w:w="1872" w:type="dxa"/>
            <w:gridSpan w:val="3"/>
          </w:tcPr>
          <w:p w14:paraId="1DF07D48" w14:textId="5E6E18D7" w:rsidR="0008363D" w:rsidRDefault="0008363D">
            <w:pPr>
              <w:pStyle w:val="TableInnerSideHeading"/>
            </w:pPr>
            <w:r>
              <w:rPr>
                <w:rFonts w:hint="cs"/>
                <w:rtl/>
              </w:rPr>
              <w:t>"תשלום ביתר</w:t>
            </w:r>
          </w:p>
        </w:tc>
        <w:tc>
          <w:tcPr>
            <w:tcW w:w="624" w:type="dxa"/>
          </w:tcPr>
          <w:p w14:paraId="2E030055" w14:textId="1B2FC251" w:rsidR="0008363D" w:rsidRDefault="0008363D">
            <w:pPr>
              <w:pStyle w:val="TableText"/>
            </w:pPr>
            <w:r>
              <w:rPr>
                <w:rFonts w:hint="cs"/>
                <w:rtl/>
              </w:rPr>
              <w:t>18כא.</w:t>
            </w:r>
          </w:p>
        </w:tc>
        <w:tc>
          <w:tcPr>
            <w:tcW w:w="4648" w:type="dxa"/>
          </w:tcPr>
          <w:p w14:paraId="44309A2A" w14:textId="4C961210" w:rsidR="0008363D" w:rsidRDefault="0008363D" w:rsidP="006F76D8">
            <w:pPr>
              <w:pStyle w:val="TableBlock"/>
            </w:pPr>
            <w:r>
              <w:rPr>
                <w:rFonts w:hint="cs"/>
                <w:rtl/>
              </w:rPr>
              <w:t xml:space="preserve">על אף האמור בסעיף 13, הורה המנהל על השבת סכום היתר בגין מענק שניתן לפי </w:t>
            </w:r>
            <w:r w:rsidR="00C44C48">
              <w:rPr>
                <w:rFonts w:hint="cs"/>
                <w:rtl/>
              </w:rPr>
              <w:t xml:space="preserve">הוראות </w:t>
            </w:r>
            <w:r>
              <w:rPr>
                <w:rFonts w:hint="cs"/>
                <w:rtl/>
              </w:rPr>
              <w:t xml:space="preserve">פרק </w:t>
            </w:r>
            <w:r w:rsidR="00C44C48">
              <w:rPr>
                <w:rFonts w:hint="cs"/>
                <w:rtl/>
              </w:rPr>
              <w:t>זה</w:t>
            </w:r>
            <w:r>
              <w:rPr>
                <w:rFonts w:hint="cs"/>
                <w:rtl/>
              </w:rPr>
              <w:t xml:space="preserve">, לא יישא </w:t>
            </w:r>
            <w:r w:rsidR="006F5048">
              <w:rPr>
                <w:rFonts w:hint="cs"/>
                <w:rtl/>
              </w:rPr>
              <w:t xml:space="preserve">סכום היתר </w:t>
            </w:r>
            <w:r>
              <w:rPr>
                <w:rFonts w:hint="cs"/>
                <w:rtl/>
              </w:rPr>
              <w:t>הפרשי ריבית והצמדה, אלא אם כן שוכנע המנהל שסכום היתר שולם בשל מעשה או מחדל של העצמאי או בעל השליטה בחברת מעטים, בניסיון להשיג את המענק במרמה."</w:t>
            </w:r>
          </w:p>
        </w:tc>
      </w:tr>
      <w:tr w:rsidR="0008363D" w14:paraId="18B320CA" w14:textId="77777777" w:rsidTr="00F33230">
        <w:trPr>
          <w:cantSplit/>
        </w:trPr>
        <w:tc>
          <w:tcPr>
            <w:tcW w:w="1869" w:type="dxa"/>
          </w:tcPr>
          <w:p w14:paraId="03A2ED2A" w14:textId="5236F320" w:rsidR="0008363D" w:rsidRDefault="0008363D" w:rsidP="006D6DAF">
            <w:pPr>
              <w:pStyle w:val="TableSideHeading"/>
              <w:keepLines w:val="0"/>
              <w:rPr>
                <w:rtl/>
              </w:rPr>
            </w:pPr>
            <w:r>
              <w:rPr>
                <w:rFonts w:hint="cs"/>
                <w:rtl/>
              </w:rPr>
              <w:t>הוספת סעיף 18כא1</w:t>
            </w:r>
          </w:p>
        </w:tc>
        <w:tc>
          <w:tcPr>
            <w:tcW w:w="623" w:type="dxa"/>
          </w:tcPr>
          <w:p w14:paraId="1C7103A8" w14:textId="2530D20C" w:rsidR="0008363D" w:rsidRDefault="00042E26" w:rsidP="006D6DAF">
            <w:pPr>
              <w:pStyle w:val="TableText"/>
              <w:keepLines w:val="0"/>
              <w:rPr>
                <w:rtl/>
              </w:rPr>
            </w:pPr>
            <w:r>
              <w:rPr>
                <w:rFonts w:hint="cs"/>
                <w:rtl/>
              </w:rPr>
              <w:t>2.</w:t>
            </w:r>
          </w:p>
        </w:tc>
        <w:tc>
          <w:tcPr>
            <w:tcW w:w="7144" w:type="dxa"/>
            <w:gridSpan w:val="5"/>
          </w:tcPr>
          <w:p w14:paraId="36A5FBA1" w14:textId="32A20652" w:rsidR="0008363D" w:rsidRPr="00A36950" w:rsidRDefault="00042E26" w:rsidP="006F76D8">
            <w:pPr>
              <w:pStyle w:val="TableBlock"/>
              <w:rPr>
                <w:rtl/>
              </w:rPr>
            </w:pPr>
            <w:r w:rsidRPr="00BE14E2">
              <w:rPr>
                <w:rFonts w:hint="cs"/>
                <w:rtl/>
              </w:rPr>
              <w:t xml:space="preserve">אחרי סעיף </w:t>
            </w:r>
            <w:r w:rsidRPr="007F3E12">
              <w:rPr>
                <w:rFonts w:hint="cs"/>
                <w:rtl/>
              </w:rPr>
              <w:t>18</w:t>
            </w:r>
            <w:r w:rsidR="00A36950">
              <w:rPr>
                <w:rFonts w:hint="cs"/>
                <w:rtl/>
              </w:rPr>
              <w:t>כא</w:t>
            </w:r>
            <w:r w:rsidRPr="00BE14E2">
              <w:rPr>
                <w:rFonts w:hint="cs"/>
                <w:rtl/>
              </w:rPr>
              <w:t xml:space="preserve"> </w:t>
            </w:r>
            <w:r>
              <w:rPr>
                <w:rFonts w:hint="cs"/>
                <w:rtl/>
              </w:rPr>
              <w:t>לחוק העיקר</w:t>
            </w:r>
            <w:r w:rsidR="00A36950">
              <w:rPr>
                <w:rFonts w:hint="cs"/>
                <w:rtl/>
              </w:rPr>
              <w:t>י</w:t>
            </w:r>
            <w:r>
              <w:rPr>
                <w:rFonts w:hint="cs"/>
                <w:rtl/>
              </w:rPr>
              <w:t xml:space="preserve"> </w:t>
            </w:r>
            <w:r w:rsidRPr="00BE14E2">
              <w:rPr>
                <w:rFonts w:hint="cs"/>
                <w:rtl/>
              </w:rPr>
              <w:t>יבוא:</w:t>
            </w:r>
          </w:p>
        </w:tc>
      </w:tr>
      <w:tr w:rsidR="00042E26" w14:paraId="7B1DFB7B" w14:textId="77777777" w:rsidTr="00F33230">
        <w:trPr>
          <w:cantSplit/>
        </w:trPr>
        <w:tc>
          <w:tcPr>
            <w:tcW w:w="1869" w:type="dxa"/>
          </w:tcPr>
          <w:p w14:paraId="07B6BF37" w14:textId="77777777" w:rsidR="00042E26" w:rsidRDefault="00042E26" w:rsidP="00B7029C">
            <w:pPr>
              <w:pStyle w:val="TableSideHeading"/>
              <w:outlineLvl w:val="9"/>
            </w:pPr>
          </w:p>
        </w:tc>
        <w:tc>
          <w:tcPr>
            <w:tcW w:w="623" w:type="dxa"/>
          </w:tcPr>
          <w:p w14:paraId="08D24E04" w14:textId="77777777" w:rsidR="00042E26" w:rsidRDefault="00042E26" w:rsidP="00B7029C">
            <w:pPr>
              <w:pStyle w:val="TableText"/>
              <w:jc w:val="both"/>
            </w:pPr>
          </w:p>
        </w:tc>
        <w:tc>
          <w:tcPr>
            <w:tcW w:w="1872" w:type="dxa"/>
            <w:gridSpan w:val="3"/>
          </w:tcPr>
          <w:p w14:paraId="0707A94D" w14:textId="3B7D1E9E" w:rsidR="00042E26" w:rsidRPr="00F33230" w:rsidRDefault="00042E26" w:rsidP="00F33230">
            <w:pPr>
              <w:pStyle w:val="TableInnerSideHeading"/>
            </w:pPr>
            <w:r w:rsidRPr="00F33230">
              <w:rPr>
                <w:rFonts w:hint="cs"/>
                <w:rtl/>
              </w:rPr>
              <w:t>"פטור מהשבת תשלום ביתר ששולם לעצמאי ולשכיר בעל שליטה בחברת מעטים</w:t>
            </w:r>
          </w:p>
        </w:tc>
        <w:tc>
          <w:tcPr>
            <w:tcW w:w="624" w:type="dxa"/>
          </w:tcPr>
          <w:p w14:paraId="4BF6AB24" w14:textId="3E4B174C" w:rsidR="00042E26" w:rsidRPr="00F33230" w:rsidRDefault="00042E26" w:rsidP="00B7029C">
            <w:pPr>
              <w:pStyle w:val="TableBlock"/>
              <w:rPr>
                <w:spacing w:val="-10"/>
              </w:rPr>
            </w:pPr>
            <w:r w:rsidRPr="00F33230">
              <w:rPr>
                <w:rFonts w:hint="cs"/>
                <w:spacing w:val="-10"/>
                <w:rtl/>
              </w:rPr>
              <w:t>18כא1.</w:t>
            </w:r>
          </w:p>
        </w:tc>
        <w:tc>
          <w:tcPr>
            <w:tcW w:w="4648" w:type="dxa"/>
          </w:tcPr>
          <w:p w14:paraId="51105872" w14:textId="4766FD61" w:rsidR="00042E26" w:rsidRDefault="00042E26" w:rsidP="006F76D8">
            <w:pPr>
              <w:pStyle w:val="TableBlock"/>
            </w:pPr>
            <w:r>
              <w:rPr>
                <w:rFonts w:hint="cs"/>
                <w:rtl/>
              </w:rPr>
              <w:t>ע</w:t>
            </w:r>
            <w:r>
              <w:rPr>
                <w:rtl/>
              </w:rPr>
              <w:t xml:space="preserve">ל אף האמור בסעיף </w:t>
            </w:r>
            <w:r>
              <w:rPr>
                <w:rFonts w:hint="cs"/>
                <w:rtl/>
              </w:rPr>
              <w:t>13</w:t>
            </w:r>
            <w:r>
              <w:rPr>
                <w:rtl/>
              </w:rPr>
              <w:t xml:space="preserve">, </w:t>
            </w:r>
            <w:r>
              <w:rPr>
                <w:rFonts w:hint="cs"/>
                <w:rtl/>
              </w:rPr>
              <w:t xml:space="preserve">עצמאי או שכיר בעל שליטה בחברת מעטים שקיבל מענק סיוע בסכום העולה על המענק שהיה זכאי לו לפי הוראות פרק </w:t>
            </w:r>
            <w:r w:rsidR="006F5048">
              <w:rPr>
                <w:rFonts w:hint="cs"/>
                <w:rtl/>
              </w:rPr>
              <w:t>זה</w:t>
            </w:r>
            <w:r>
              <w:rPr>
                <w:rFonts w:hint="cs"/>
                <w:rtl/>
              </w:rPr>
              <w:t>, יהיה פטור מהחזרת המענק, כולו או חלקו, אם מתקיים בו אחד מאלה:</w:t>
            </w:r>
          </w:p>
        </w:tc>
      </w:tr>
      <w:tr w:rsidR="00F33230" w14:paraId="620E5E3F" w14:textId="77777777" w:rsidTr="00F33230">
        <w:trPr>
          <w:cantSplit/>
          <w:trHeight w:val="60"/>
        </w:trPr>
        <w:tc>
          <w:tcPr>
            <w:tcW w:w="1869" w:type="dxa"/>
          </w:tcPr>
          <w:p w14:paraId="0E0B2645" w14:textId="77777777" w:rsidR="00F33230" w:rsidRDefault="00F33230" w:rsidP="00F33230">
            <w:pPr>
              <w:pStyle w:val="TableSideHeading"/>
            </w:pPr>
          </w:p>
        </w:tc>
        <w:tc>
          <w:tcPr>
            <w:tcW w:w="623" w:type="dxa"/>
          </w:tcPr>
          <w:p w14:paraId="5CC7E833" w14:textId="77777777" w:rsidR="00F33230" w:rsidRDefault="00F33230" w:rsidP="00F33230">
            <w:pPr>
              <w:pStyle w:val="TableText"/>
            </w:pPr>
          </w:p>
        </w:tc>
        <w:tc>
          <w:tcPr>
            <w:tcW w:w="624" w:type="dxa"/>
          </w:tcPr>
          <w:p w14:paraId="7C23E323" w14:textId="77777777" w:rsidR="00F33230" w:rsidRDefault="00F33230" w:rsidP="00F33230">
            <w:pPr>
              <w:pStyle w:val="TableText"/>
            </w:pPr>
          </w:p>
        </w:tc>
        <w:tc>
          <w:tcPr>
            <w:tcW w:w="624" w:type="dxa"/>
          </w:tcPr>
          <w:p w14:paraId="07CDA42A" w14:textId="77777777" w:rsidR="00F33230" w:rsidRDefault="00F33230" w:rsidP="00F33230">
            <w:pPr>
              <w:pStyle w:val="TableText"/>
            </w:pPr>
          </w:p>
        </w:tc>
        <w:tc>
          <w:tcPr>
            <w:tcW w:w="624" w:type="dxa"/>
          </w:tcPr>
          <w:p w14:paraId="771F88D7" w14:textId="77777777" w:rsidR="00F33230" w:rsidRDefault="00F33230" w:rsidP="00F33230">
            <w:pPr>
              <w:pStyle w:val="TableText"/>
            </w:pPr>
          </w:p>
        </w:tc>
        <w:tc>
          <w:tcPr>
            <w:tcW w:w="624" w:type="dxa"/>
          </w:tcPr>
          <w:p w14:paraId="0FD1990B" w14:textId="77777777" w:rsidR="00F33230" w:rsidRDefault="00F33230" w:rsidP="00F33230">
            <w:pPr>
              <w:pStyle w:val="TableText"/>
            </w:pPr>
          </w:p>
        </w:tc>
        <w:tc>
          <w:tcPr>
            <w:tcW w:w="4648" w:type="dxa"/>
          </w:tcPr>
          <w:p w14:paraId="76E8F510" w14:textId="0EB6F39A" w:rsidR="00F33230" w:rsidRDefault="00F33230" w:rsidP="00F33230">
            <w:pPr>
              <w:pStyle w:val="TableBlock"/>
            </w:pPr>
            <w:r>
              <w:rPr>
                <w:rFonts w:hint="cs"/>
                <w:rtl/>
              </w:rPr>
              <w:t>(1)</w:t>
            </w:r>
            <w:r>
              <w:rPr>
                <w:rtl/>
              </w:rPr>
              <w:tab/>
            </w:r>
            <w:r w:rsidRPr="00BE14E2">
              <w:rPr>
                <w:rFonts w:hint="cs"/>
                <w:rtl/>
              </w:rPr>
              <w:t>מחזור עסקאותיו</w:t>
            </w:r>
            <w:r>
              <w:rPr>
                <w:rFonts w:hint="cs"/>
                <w:rtl/>
              </w:rPr>
              <w:t xml:space="preserve"> ב</w:t>
            </w:r>
            <w:r w:rsidRPr="00BE14E2">
              <w:rPr>
                <w:rFonts w:hint="cs"/>
                <w:rtl/>
              </w:rPr>
              <w:t xml:space="preserve">שנת 2020 </w:t>
            </w:r>
            <w:r>
              <w:rPr>
                <w:rFonts w:hint="cs"/>
                <w:rtl/>
              </w:rPr>
              <w:t>אינו עולה</w:t>
            </w:r>
            <w:r w:rsidRPr="00BE14E2">
              <w:rPr>
                <w:rFonts w:hint="cs"/>
                <w:rtl/>
              </w:rPr>
              <w:t xml:space="preserve"> על </w:t>
            </w:r>
            <w:r>
              <w:rPr>
                <w:rFonts w:hint="cs"/>
                <w:rtl/>
              </w:rPr>
              <w:t>135</w:t>
            </w:r>
            <w:r w:rsidRPr="00BE14E2">
              <w:rPr>
                <w:rFonts w:hint="cs"/>
                <w:rtl/>
              </w:rPr>
              <w:t xml:space="preserve"> אלף שקלים חדשים</w:t>
            </w:r>
            <w:r>
              <w:rPr>
                <w:rFonts w:hint="cs"/>
                <w:rtl/>
              </w:rPr>
              <w:t>;</w:t>
            </w:r>
          </w:p>
        </w:tc>
      </w:tr>
      <w:tr w:rsidR="00F33230" w14:paraId="05025A90" w14:textId="77777777" w:rsidTr="00F33230">
        <w:trPr>
          <w:cantSplit/>
        </w:trPr>
        <w:tc>
          <w:tcPr>
            <w:tcW w:w="1869" w:type="dxa"/>
          </w:tcPr>
          <w:p w14:paraId="5A16D07C" w14:textId="77777777" w:rsidR="00F33230" w:rsidRDefault="00F33230" w:rsidP="00F33230">
            <w:pPr>
              <w:pStyle w:val="TableSideHeading"/>
            </w:pPr>
          </w:p>
        </w:tc>
        <w:tc>
          <w:tcPr>
            <w:tcW w:w="623" w:type="dxa"/>
          </w:tcPr>
          <w:p w14:paraId="3848FDFD" w14:textId="77777777" w:rsidR="00F33230" w:rsidRDefault="00F33230" w:rsidP="00F33230">
            <w:pPr>
              <w:pStyle w:val="TableText"/>
            </w:pPr>
          </w:p>
        </w:tc>
        <w:tc>
          <w:tcPr>
            <w:tcW w:w="624" w:type="dxa"/>
          </w:tcPr>
          <w:p w14:paraId="63449DB0" w14:textId="77777777" w:rsidR="00F33230" w:rsidRDefault="00F33230" w:rsidP="00F33230">
            <w:pPr>
              <w:pStyle w:val="TableText"/>
            </w:pPr>
          </w:p>
        </w:tc>
        <w:tc>
          <w:tcPr>
            <w:tcW w:w="624" w:type="dxa"/>
          </w:tcPr>
          <w:p w14:paraId="5A624D6A" w14:textId="77777777" w:rsidR="00F33230" w:rsidRDefault="00F33230" w:rsidP="00F33230">
            <w:pPr>
              <w:pStyle w:val="TableText"/>
            </w:pPr>
          </w:p>
        </w:tc>
        <w:tc>
          <w:tcPr>
            <w:tcW w:w="624" w:type="dxa"/>
          </w:tcPr>
          <w:p w14:paraId="0840CB9B" w14:textId="77777777" w:rsidR="00F33230" w:rsidRDefault="00F33230" w:rsidP="00F33230">
            <w:pPr>
              <w:pStyle w:val="TableText"/>
            </w:pPr>
          </w:p>
        </w:tc>
        <w:tc>
          <w:tcPr>
            <w:tcW w:w="624" w:type="dxa"/>
          </w:tcPr>
          <w:p w14:paraId="38CFA298" w14:textId="77777777" w:rsidR="00F33230" w:rsidRDefault="00F33230" w:rsidP="00F33230">
            <w:pPr>
              <w:pStyle w:val="TableText"/>
            </w:pPr>
          </w:p>
        </w:tc>
        <w:tc>
          <w:tcPr>
            <w:tcW w:w="4648" w:type="dxa"/>
          </w:tcPr>
          <w:p w14:paraId="109D7E48" w14:textId="4E77836D" w:rsidR="00F33230" w:rsidRDefault="00F33230" w:rsidP="00F33230">
            <w:pPr>
              <w:pStyle w:val="TableBlock"/>
            </w:pPr>
            <w:r>
              <w:rPr>
                <w:rFonts w:hint="cs"/>
                <w:rtl/>
              </w:rPr>
              <w:t>(2)</w:t>
            </w:r>
            <w:r>
              <w:rPr>
                <w:rtl/>
              </w:rPr>
              <w:tab/>
            </w:r>
            <w:r>
              <w:rPr>
                <w:rFonts w:hint="cs"/>
                <w:rtl/>
              </w:rPr>
              <w:t>הוא דיווח לרשות המסים על הפסקת פעילותו העסקית או סגירת עסקו בתקופה שמיום ד' בטבת התש"ף (1 בינואר 2020) עד יום כ"ז בטבת התשפ"ב (31 בדצמבר 2021)."</w:t>
            </w:r>
          </w:p>
        </w:tc>
      </w:tr>
      <w:tr w:rsidR="00F33230" w14:paraId="401ABBD5" w14:textId="77777777" w:rsidTr="00F33230">
        <w:trPr>
          <w:cantSplit/>
        </w:trPr>
        <w:tc>
          <w:tcPr>
            <w:tcW w:w="1869" w:type="dxa"/>
          </w:tcPr>
          <w:p w14:paraId="16D30D2C" w14:textId="30FD6896" w:rsidR="00F33230" w:rsidRDefault="00F33230" w:rsidP="00F33230">
            <w:pPr>
              <w:pStyle w:val="TableSideHeading"/>
              <w:keepLines w:val="0"/>
              <w:rPr>
                <w:rtl/>
              </w:rPr>
            </w:pPr>
            <w:r>
              <w:rPr>
                <w:rFonts w:hint="cs"/>
                <w:rtl/>
              </w:rPr>
              <w:t>החלפת סעיף 18לג</w:t>
            </w:r>
          </w:p>
        </w:tc>
        <w:tc>
          <w:tcPr>
            <w:tcW w:w="623" w:type="dxa"/>
          </w:tcPr>
          <w:p w14:paraId="39ACFEC4" w14:textId="031163C3" w:rsidR="00F33230" w:rsidRPr="00BE14E2" w:rsidRDefault="00F33230" w:rsidP="00F33230">
            <w:pPr>
              <w:pStyle w:val="TableText"/>
              <w:keepLines w:val="0"/>
              <w:rPr>
                <w:rtl/>
              </w:rPr>
            </w:pPr>
            <w:r>
              <w:rPr>
                <w:rFonts w:hint="cs"/>
                <w:rtl/>
              </w:rPr>
              <w:t>3</w:t>
            </w:r>
            <w:r w:rsidRPr="00BE14E2">
              <w:rPr>
                <w:rFonts w:hint="cs"/>
                <w:rtl/>
              </w:rPr>
              <w:t>.</w:t>
            </w:r>
          </w:p>
        </w:tc>
        <w:tc>
          <w:tcPr>
            <w:tcW w:w="7144" w:type="dxa"/>
            <w:gridSpan w:val="5"/>
          </w:tcPr>
          <w:p w14:paraId="3CB67E5E" w14:textId="0CD94B6A" w:rsidR="00F33230" w:rsidRPr="00A36950" w:rsidRDefault="00F33230" w:rsidP="00F33230">
            <w:pPr>
              <w:pStyle w:val="TableBlock"/>
              <w:rPr>
                <w:rtl/>
              </w:rPr>
            </w:pPr>
            <w:r>
              <w:rPr>
                <w:rFonts w:hint="cs"/>
                <w:rtl/>
              </w:rPr>
              <w:t>במקום סעיף 18לג לחוק העיקרי יבוא</w:t>
            </w:r>
            <w:r w:rsidRPr="00BE14E2">
              <w:rPr>
                <w:rFonts w:hint="cs"/>
                <w:rtl/>
              </w:rPr>
              <w:t>:</w:t>
            </w:r>
          </w:p>
        </w:tc>
      </w:tr>
      <w:tr w:rsidR="00F33230" w14:paraId="718DEE81" w14:textId="77777777" w:rsidTr="00F33230">
        <w:trPr>
          <w:cantSplit/>
        </w:trPr>
        <w:tc>
          <w:tcPr>
            <w:tcW w:w="1869" w:type="dxa"/>
          </w:tcPr>
          <w:p w14:paraId="0ABECF9D" w14:textId="77777777" w:rsidR="00F33230" w:rsidRDefault="00F33230" w:rsidP="00F33230">
            <w:pPr>
              <w:pStyle w:val="TableSideHeading"/>
              <w:keepLines w:val="0"/>
            </w:pPr>
          </w:p>
        </w:tc>
        <w:tc>
          <w:tcPr>
            <w:tcW w:w="623" w:type="dxa"/>
          </w:tcPr>
          <w:p w14:paraId="552F7D52" w14:textId="77777777" w:rsidR="00F33230" w:rsidRDefault="00F33230" w:rsidP="00F33230">
            <w:pPr>
              <w:pStyle w:val="TableText"/>
              <w:keepLines w:val="0"/>
            </w:pPr>
          </w:p>
        </w:tc>
        <w:tc>
          <w:tcPr>
            <w:tcW w:w="1872" w:type="dxa"/>
            <w:gridSpan w:val="3"/>
          </w:tcPr>
          <w:p w14:paraId="19E790FA" w14:textId="77777777" w:rsidR="00F33230" w:rsidRDefault="00F33230" w:rsidP="00F33230">
            <w:pPr>
              <w:pStyle w:val="TableInnerSideHeading"/>
            </w:pPr>
            <w:r>
              <w:rPr>
                <w:rFonts w:hint="cs"/>
                <w:rtl/>
              </w:rPr>
              <w:t>"תשלום ביתר</w:t>
            </w:r>
          </w:p>
        </w:tc>
        <w:tc>
          <w:tcPr>
            <w:tcW w:w="624" w:type="dxa"/>
          </w:tcPr>
          <w:p w14:paraId="63B186A8" w14:textId="77777777" w:rsidR="00F33230" w:rsidRDefault="00F33230" w:rsidP="00F33230">
            <w:pPr>
              <w:pStyle w:val="TableText"/>
            </w:pPr>
            <w:r>
              <w:rPr>
                <w:rFonts w:hint="cs"/>
                <w:rtl/>
              </w:rPr>
              <w:t>18לג.</w:t>
            </w:r>
          </w:p>
        </w:tc>
        <w:tc>
          <w:tcPr>
            <w:tcW w:w="4648" w:type="dxa"/>
          </w:tcPr>
          <w:p w14:paraId="2C87D1F2" w14:textId="6D9E2FB5" w:rsidR="00F33230" w:rsidRDefault="00F33230" w:rsidP="00F33230">
            <w:pPr>
              <w:pStyle w:val="TableBlock"/>
            </w:pPr>
            <w:r>
              <w:rPr>
                <w:rFonts w:hint="cs"/>
                <w:rtl/>
              </w:rPr>
              <w:t>על אף האמור בסעיף 13, הורה המנהל על השבת סכום היתר בגין מענק שניתן לפי הוראות פרק זה, לא יישא סכום היתר הפרשי ריבית והצמדה, אלא אם כן שוכנע המנהל שסכום היתר שולם בשל מעשה או מחדל של העצמאי או בעל השליטה בחברת מעטים, בניסיון להשיג את המענק במרמה."</w:t>
            </w:r>
          </w:p>
        </w:tc>
      </w:tr>
      <w:tr w:rsidR="00F33230" w14:paraId="77AADCE9" w14:textId="77777777" w:rsidTr="00F33230">
        <w:trPr>
          <w:cantSplit/>
        </w:trPr>
        <w:tc>
          <w:tcPr>
            <w:tcW w:w="1869" w:type="dxa"/>
          </w:tcPr>
          <w:p w14:paraId="6D03B08A" w14:textId="77777777" w:rsidR="00F33230" w:rsidRPr="00BE14E2" w:rsidRDefault="00F33230" w:rsidP="00F33230">
            <w:pPr>
              <w:pStyle w:val="TableSideHeading"/>
              <w:keepLines w:val="0"/>
              <w:rPr>
                <w:rtl/>
              </w:rPr>
            </w:pPr>
            <w:r w:rsidRPr="00BE14E2">
              <w:rPr>
                <w:rFonts w:hint="cs"/>
                <w:rtl/>
              </w:rPr>
              <w:t>הוספת סעיף 1</w:t>
            </w:r>
            <w:r>
              <w:rPr>
                <w:rFonts w:hint="cs"/>
                <w:rtl/>
              </w:rPr>
              <w:t>8לג1</w:t>
            </w:r>
          </w:p>
        </w:tc>
        <w:tc>
          <w:tcPr>
            <w:tcW w:w="623" w:type="dxa"/>
          </w:tcPr>
          <w:p w14:paraId="41988AB4" w14:textId="5294D6DE" w:rsidR="00F33230" w:rsidRPr="00BE14E2" w:rsidRDefault="00F33230" w:rsidP="00F33230">
            <w:pPr>
              <w:pStyle w:val="TableText"/>
              <w:keepLines w:val="0"/>
              <w:rPr>
                <w:rtl/>
              </w:rPr>
            </w:pPr>
            <w:r>
              <w:rPr>
                <w:rFonts w:hint="cs"/>
                <w:rtl/>
              </w:rPr>
              <w:t>4.</w:t>
            </w:r>
          </w:p>
        </w:tc>
        <w:tc>
          <w:tcPr>
            <w:tcW w:w="7144" w:type="dxa"/>
            <w:gridSpan w:val="5"/>
          </w:tcPr>
          <w:p w14:paraId="140DFCE0" w14:textId="072EC9E6" w:rsidR="00F33230" w:rsidRPr="00D56838" w:rsidRDefault="00F33230" w:rsidP="00F33230">
            <w:pPr>
              <w:pStyle w:val="TableBlock"/>
              <w:rPr>
                <w:rtl/>
              </w:rPr>
            </w:pPr>
            <w:r w:rsidRPr="00BE14E2">
              <w:rPr>
                <w:rFonts w:hint="cs"/>
                <w:rtl/>
              </w:rPr>
              <w:t xml:space="preserve">אחרי סעיף </w:t>
            </w:r>
            <w:r w:rsidRPr="007F3E12">
              <w:rPr>
                <w:rFonts w:hint="cs"/>
                <w:rtl/>
              </w:rPr>
              <w:t>18לג</w:t>
            </w:r>
            <w:r w:rsidRPr="00BE14E2">
              <w:rPr>
                <w:rFonts w:hint="cs"/>
                <w:rtl/>
              </w:rPr>
              <w:t xml:space="preserve"> </w:t>
            </w:r>
            <w:r>
              <w:rPr>
                <w:rFonts w:hint="cs"/>
                <w:rtl/>
              </w:rPr>
              <w:t xml:space="preserve">לחוק העיקרי </w:t>
            </w:r>
            <w:r w:rsidRPr="00BE14E2">
              <w:rPr>
                <w:rFonts w:hint="cs"/>
                <w:rtl/>
              </w:rPr>
              <w:t>יבוא:</w:t>
            </w:r>
          </w:p>
        </w:tc>
      </w:tr>
      <w:tr w:rsidR="00F33230" w14:paraId="506E8DF9" w14:textId="77777777" w:rsidTr="00F33230">
        <w:trPr>
          <w:cantSplit/>
        </w:trPr>
        <w:tc>
          <w:tcPr>
            <w:tcW w:w="1869" w:type="dxa"/>
          </w:tcPr>
          <w:p w14:paraId="70E9D80B" w14:textId="77777777" w:rsidR="00F33230" w:rsidRDefault="00F33230" w:rsidP="00F33230">
            <w:pPr>
              <w:pStyle w:val="TableSideHeading"/>
              <w:keepLines w:val="0"/>
            </w:pPr>
          </w:p>
        </w:tc>
        <w:tc>
          <w:tcPr>
            <w:tcW w:w="623" w:type="dxa"/>
          </w:tcPr>
          <w:p w14:paraId="56121282" w14:textId="77777777" w:rsidR="00F33230" w:rsidRDefault="00F33230" w:rsidP="00F33230">
            <w:pPr>
              <w:pStyle w:val="TableText"/>
              <w:keepLines w:val="0"/>
            </w:pPr>
          </w:p>
        </w:tc>
        <w:tc>
          <w:tcPr>
            <w:tcW w:w="1872" w:type="dxa"/>
            <w:gridSpan w:val="3"/>
          </w:tcPr>
          <w:p w14:paraId="0E5CF074" w14:textId="77777777" w:rsidR="00F33230" w:rsidRDefault="00F33230" w:rsidP="00F33230">
            <w:pPr>
              <w:pStyle w:val="TableInnerSideHeading"/>
            </w:pPr>
            <w:r>
              <w:rPr>
                <w:rFonts w:hint="cs"/>
                <w:rtl/>
              </w:rPr>
              <w:t xml:space="preserve">"פטור מהשבת תשלום ביתר ששולם לעצמאי ולשכיר בעל שליטה בחברת מעטים </w:t>
            </w:r>
          </w:p>
        </w:tc>
        <w:tc>
          <w:tcPr>
            <w:tcW w:w="624" w:type="dxa"/>
          </w:tcPr>
          <w:p w14:paraId="1E8142D9" w14:textId="77777777" w:rsidR="00F33230" w:rsidRDefault="00F33230" w:rsidP="00F33230">
            <w:pPr>
              <w:pStyle w:val="TableText"/>
            </w:pPr>
            <w:r>
              <w:rPr>
                <w:rFonts w:hint="cs"/>
                <w:rtl/>
              </w:rPr>
              <w:t>18לג1.</w:t>
            </w:r>
          </w:p>
        </w:tc>
        <w:tc>
          <w:tcPr>
            <w:tcW w:w="4648" w:type="dxa"/>
          </w:tcPr>
          <w:p w14:paraId="5FEE34DB" w14:textId="49220EFA" w:rsidR="00F33230" w:rsidRDefault="00F33230" w:rsidP="00F33230">
            <w:pPr>
              <w:pStyle w:val="TableBlock"/>
            </w:pPr>
            <w:r>
              <w:rPr>
                <w:rFonts w:hint="cs"/>
                <w:rtl/>
              </w:rPr>
              <w:t>ע</w:t>
            </w:r>
            <w:r>
              <w:rPr>
                <w:rtl/>
              </w:rPr>
              <w:t xml:space="preserve">ל אף האמור בסעיף </w:t>
            </w:r>
            <w:r>
              <w:rPr>
                <w:rFonts w:hint="cs"/>
                <w:rtl/>
              </w:rPr>
              <w:t>13</w:t>
            </w:r>
            <w:r>
              <w:rPr>
                <w:rtl/>
              </w:rPr>
              <w:t xml:space="preserve">, </w:t>
            </w:r>
            <w:r>
              <w:rPr>
                <w:rFonts w:hint="cs"/>
                <w:rtl/>
              </w:rPr>
              <w:t xml:space="preserve">עצמאי או שכיר בעל שליטה בחברת מעטים שקיבל מענק סיוע בסכום העולה על המענק שהיה זכאי לו לפי הוראות פרק זה, יהיה פטור מהחזרת המענק, כולו או חלקו, אם מתקיים בו אחד מאלה: </w:t>
            </w:r>
          </w:p>
        </w:tc>
      </w:tr>
      <w:tr w:rsidR="00F33230" w14:paraId="709308D8" w14:textId="77777777" w:rsidTr="00F33230">
        <w:trPr>
          <w:cantSplit/>
        </w:trPr>
        <w:tc>
          <w:tcPr>
            <w:tcW w:w="1869" w:type="dxa"/>
          </w:tcPr>
          <w:p w14:paraId="3C49702F" w14:textId="77777777" w:rsidR="00F33230" w:rsidRDefault="00F33230" w:rsidP="00F33230">
            <w:pPr>
              <w:pStyle w:val="TableSideHeading"/>
            </w:pPr>
          </w:p>
        </w:tc>
        <w:tc>
          <w:tcPr>
            <w:tcW w:w="623" w:type="dxa"/>
          </w:tcPr>
          <w:p w14:paraId="68619609" w14:textId="77777777" w:rsidR="00F33230" w:rsidRDefault="00F33230" w:rsidP="00F33230">
            <w:pPr>
              <w:pStyle w:val="TableText"/>
            </w:pPr>
          </w:p>
        </w:tc>
        <w:tc>
          <w:tcPr>
            <w:tcW w:w="624" w:type="dxa"/>
          </w:tcPr>
          <w:p w14:paraId="02C5C4BE" w14:textId="77777777" w:rsidR="00F33230" w:rsidRDefault="00F33230" w:rsidP="00F33230">
            <w:pPr>
              <w:pStyle w:val="TableText"/>
            </w:pPr>
          </w:p>
        </w:tc>
        <w:tc>
          <w:tcPr>
            <w:tcW w:w="624" w:type="dxa"/>
          </w:tcPr>
          <w:p w14:paraId="78196EF5" w14:textId="77777777" w:rsidR="00F33230" w:rsidRDefault="00F33230" w:rsidP="00F33230">
            <w:pPr>
              <w:pStyle w:val="TableText"/>
            </w:pPr>
          </w:p>
        </w:tc>
        <w:tc>
          <w:tcPr>
            <w:tcW w:w="624" w:type="dxa"/>
          </w:tcPr>
          <w:p w14:paraId="02C2A738" w14:textId="77777777" w:rsidR="00F33230" w:rsidRDefault="00F33230" w:rsidP="00F33230">
            <w:pPr>
              <w:pStyle w:val="TableText"/>
            </w:pPr>
          </w:p>
        </w:tc>
        <w:tc>
          <w:tcPr>
            <w:tcW w:w="624" w:type="dxa"/>
          </w:tcPr>
          <w:p w14:paraId="0095BD47" w14:textId="77777777" w:rsidR="00F33230" w:rsidRDefault="00F33230" w:rsidP="00F33230">
            <w:pPr>
              <w:pStyle w:val="TableText"/>
            </w:pPr>
          </w:p>
        </w:tc>
        <w:tc>
          <w:tcPr>
            <w:tcW w:w="4648" w:type="dxa"/>
          </w:tcPr>
          <w:p w14:paraId="0B8B0D89" w14:textId="77777777" w:rsidR="00F33230" w:rsidRDefault="00F33230" w:rsidP="00F33230">
            <w:pPr>
              <w:pStyle w:val="TableBlock"/>
            </w:pPr>
            <w:r>
              <w:rPr>
                <w:rFonts w:hint="cs"/>
                <w:rtl/>
              </w:rPr>
              <w:t>(1)</w:t>
            </w:r>
            <w:r>
              <w:rPr>
                <w:rtl/>
              </w:rPr>
              <w:tab/>
            </w:r>
            <w:r w:rsidRPr="00BE14E2">
              <w:rPr>
                <w:rFonts w:hint="cs"/>
                <w:rtl/>
              </w:rPr>
              <w:t>מחזור עסקאותיו</w:t>
            </w:r>
            <w:r>
              <w:rPr>
                <w:rFonts w:hint="cs"/>
                <w:rtl/>
              </w:rPr>
              <w:t xml:space="preserve"> ב</w:t>
            </w:r>
            <w:r w:rsidRPr="00BE14E2">
              <w:rPr>
                <w:rFonts w:hint="cs"/>
                <w:rtl/>
              </w:rPr>
              <w:t xml:space="preserve">שנת 2020 </w:t>
            </w:r>
            <w:r>
              <w:rPr>
                <w:rFonts w:hint="cs"/>
                <w:rtl/>
              </w:rPr>
              <w:t>אינו עולה</w:t>
            </w:r>
            <w:r w:rsidRPr="00BE14E2">
              <w:rPr>
                <w:rFonts w:hint="cs"/>
                <w:rtl/>
              </w:rPr>
              <w:t xml:space="preserve"> על </w:t>
            </w:r>
            <w:r>
              <w:rPr>
                <w:rFonts w:hint="cs"/>
                <w:rtl/>
              </w:rPr>
              <w:t>135</w:t>
            </w:r>
            <w:r w:rsidRPr="00BE14E2">
              <w:rPr>
                <w:rFonts w:hint="cs"/>
                <w:rtl/>
              </w:rPr>
              <w:t xml:space="preserve"> אלף שקלים חדשים</w:t>
            </w:r>
            <w:r>
              <w:rPr>
                <w:rFonts w:hint="cs"/>
                <w:rtl/>
              </w:rPr>
              <w:t>;</w:t>
            </w:r>
          </w:p>
        </w:tc>
      </w:tr>
      <w:tr w:rsidR="00F33230" w14:paraId="325C4F8B" w14:textId="77777777" w:rsidTr="00F33230">
        <w:trPr>
          <w:cantSplit/>
        </w:trPr>
        <w:tc>
          <w:tcPr>
            <w:tcW w:w="1869" w:type="dxa"/>
          </w:tcPr>
          <w:p w14:paraId="53C72981" w14:textId="77777777" w:rsidR="00F33230" w:rsidRDefault="00F33230" w:rsidP="00F33230">
            <w:pPr>
              <w:pStyle w:val="TableSideHeading"/>
            </w:pPr>
          </w:p>
        </w:tc>
        <w:tc>
          <w:tcPr>
            <w:tcW w:w="623" w:type="dxa"/>
          </w:tcPr>
          <w:p w14:paraId="1A902098" w14:textId="77777777" w:rsidR="00F33230" w:rsidRDefault="00F33230" w:rsidP="00F33230">
            <w:pPr>
              <w:pStyle w:val="TableText"/>
            </w:pPr>
          </w:p>
        </w:tc>
        <w:tc>
          <w:tcPr>
            <w:tcW w:w="624" w:type="dxa"/>
          </w:tcPr>
          <w:p w14:paraId="263F1BD2" w14:textId="77777777" w:rsidR="00F33230" w:rsidRDefault="00F33230" w:rsidP="00F33230">
            <w:pPr>
              <w:pStyle w:val="TableText"/>
            </w:pPr>
          </w:p>
        </w:tc>
        <w:tc>
          <w:tcPr>
            <w:tcW w:w="624" w:type="dxa"/>
          </w:tcPr>
          <w:p w14:paraId="5E1B0E65" w14:textId="77777777" w:rsidR="00F33230" w:rsidRDefault="00F33230" w:rsidP="00F33230">
            <w:pPr>
              <w:pStyle w:val="TableText"/>
            </w:pPr>
          </w:p>
        </w:tc>
        <w:tc>
          <w:tcPr>
            <w:tcW w:w="624" w:type="dxa"/>
          </w:tcPr>
          <w:p w14:paraId="4F0420FE" w14:textId="77777777" w:rsidR="00F33230" w:rsidRDefault="00F33230" w:rsidP="00F33230">
            <w:pPr>
              <w:pStyle w:val="TableText"/>
            </w:pPr>
          </w:p>
        </w:tc>
        <w:tc>
          <w:tcPr>
            <w:tcW w:w="624" w:type="dxa"/>
          </w:tcPr>
          <w:p w14:paraId="6C72841E" w14:textId="77777777" w:rsidR="00F33230" w:rsidRDefault="00F33230" w:rsidP="00F33230">
            <w:pPr>
              <w:pStyle w:val="TableText"/>
            </w:pPr>
          </w:p>
        </w:tc>
        <w:tc>
          <w:tcPr>
            <w:tcW w:w="4648" w:type="dxa"/>
          </w:tcPr>
          <w:p w14:paraId="0043568F" w14:textId="77777777" w:rsidR="00F33230" w:rsidRDefault="00F33230" w:rsidP="00F33230">
            <w:pPr>
              <w:pStyle w:val="TableBlock"/>
              <w:rPr>
                <w:rtl/>
              </w:rPr>
            </w:pPr>
            <w:r>
              <w:rPr>
                <w:rFonts w:hint="cs"/>
                <w:rtl/>
              </w:rPr>
              <w:t>(2)</w:t>
            </w:r>
            <w:r>
              <w:rPr>
                <w:rtl/>
              </w:rPr>
              <w:tab/>
            </w:r>
            <w:r>
              <w:rPr>
                <w:rFonts w:hint="cs"/>
                <w:rtl/>
              </w:rPr>
              <w:t xml:space="preserve">הוא דיווח לרשות המסים על הפסקת פעילותו העסקית או סגירת עסקו בתקופה שמיום ד' בטבת התש"ף (1 בינואר 2020) עד יום כ"ז בטבת התשפ"ב (31 בדצמבר 2021)." </w:t>
            </w:r>
          </w:p>
        </w:tc>
      </w:tr>
      <w:tr w:rsidR="00F33230" w14:paraId="7BE02277" w14:textId="77777777" w:rsidTr="00F33230">
        <w:trPr>
          <w:cantSplit/>
        </w:trPr>
        <w:tc>
          <w:tcPr>
            <w:tcW w:w="1869" w:type="dxa"/>
          </w:tcPr>
          <w:p w14:paraId="1A6445B1" w14:textId="77777777" w:rsidR="00F33230" w:rsidRDefault="00F33230" w:rsidP="00F33230">
            <w:pPr>
              <w:pStyle w:val="TableSideHeading"/>
            </w:pPr>
            <w:r>
              <w:rPr>
                <w:rFonts w:hint="cs"/>
                <w:rtl/>
              </w:rPr>
              <w:t>תחילה</w:t>
            </w:r>
          </w:p>
        </w:tc>
        <w:tc>
          <w:tcPr>
            <w:tcW w:w="623" w:type="dxa"/>
          </w:tcPr>
          <w:p w14:paraId="13D25006" w14:textId="3642982D" w:rsidR="00F33230" w:rsidRDefault="00F33230" w:rsidP="00F33230">
            <w:pPr>
              <w:pStyle w:val="TableText"/>
            </w:pPr>
            <w:r>
              <w:rPr>
                <w:rFonts w:hint="cs"/>
                <w:rtl/>
              </w:rPr>
              <w:t>5.</w:t>
            </w:r>
          </w:p>
        </w:tc>
        <w:tc>
          <w:tcPr>
            <w:tcW w:w="7144" w:type="dxa"/>
            <w:gridSpan w:val="5"/>
          </w:tcPr>
          <w:p w14:paraId="0654BCEA" w14:textId="77777777" w:rsidR="00F33230" w:rsidRDefault="00F33230" w:rsidP="00F33230">
            <w:pPr>
              <w:pStyle w:val="TableBlock"/>
              <w:rPr>
                <w:rtl/>
              </w:rPr>
            </w:pPr>
            <w:r>
              <w:rPr>
                <w:rFonts w:hint="cs"/>
                <w:rtl/>
              </w:rPr>
              <w:t xml:space="preserve">תחילתו של חוק זה ביום ל' בניסן התש"ף (24 באפריל 2020). </w:t>
            </w:r>
          </w:p>
        </w:tc>
      </w:tr>
    </w:tbl>
    <w:bookmarkEnd w:id="7"/>
    <w:p w14:paraId="7F6961CA" w14:textId="77777777" w:rsidR="002D1EE3" w:rsidRDefault="002D1EE3" w:rsidP="002D1EE3">
      <w:pPr>
        <w:pStyle w:val="HeadDivreiHesber"/>
        <w:rPr>
          <w:rtl/>
        </w:rPr>
      </w:pPr>
      <w:r w:rsidRPr="0027450A">
        <w:rPr>
          <w:rFonts w:hint="cs"/>
          <w:rtl/>
        </w:rPr>
        <w:t>דברי הסבר</w:t>
      </w:r>
    </w:p>
    <w:p w14:paraId="7895B392" w14:textId="6B1BEB1D" w:rsidR="008254C1" w:rsidRPr="00244599" w:rsidRDefault="00535556" w:rsidP="00204357">
      <w:pPr>
        <w:pStyle w:val="Hesber"/>
        <w:rPr>
          <w:rtl/>
        </w:rPr>
      </w:pPr>
      <w:r>
        <w:rPr>
          <w:rFonts w:hint="cs"/>
          <w:rtl/>
        </w:rPr>
        <w:t>במסגרת ההתמודדות</w:t>
      </w:r>
      <w:r w:rsidR="008254C1" w:rsidRPr="00244599">
        <w:rPr>
          <w:rFonts w:hint="cs"/>
          <w:rtl/>
        </w:rPr>
        <w:t xml:space="preserve"> עם התחלואה בנגיף הקורונה</w:t>
      </w:r>
      <w:r>
        <w:rPr>
          <w:rFonts w:hint="cs"/>
          <w:rtl/>
        </w:rPr>
        <w:t>,</w:t>
      </w:r>
      <w:r w:rsidR="008254C1" w:rsidRPr="00244599">
        <w:rPr>
          <w:rFonts w:hint="cs"/>
          <w:rtl/>
        </w:rPr>
        <w:t xml:space="preserve"> </w:t>
      </w:r>
      <w:r w:rsidR="001E5C52" w:rsidRPr="00244599">
        <w:rPr>
          <w:rFonts w:hint="cs"/>
          <w:rtl/>
        </w:rPr>
        <w:t>ה</w:t>
      </w:r>
      <w:r w:rsidR="001E5C52">
        <w:rPr>
          <w:rFonts w:hint="cs"/>
          <w:rtl/>
        </w:rPr>
        <w:t>טילה</w:t>
      </w:r>
      <w:r w:rsidR="001E5C52" w:rsidRPr="00244599">
        <w:rPr>
          <w:rFonts w:hint="cs"/>
          <w:rtl/>
        </w:rPr>
        <w:t xml:space="preserve"> </w:t>
      </w:r>
      <w:r w:rsidR="008254C1" w:rsidRPr="00244599">
        <w:rPr>
          <w:rFonts w:hint="cs"/>
          <w:rtl/>
        </w:rPr>
        <w:t xml:space="preserve">הממשלה </w:t>
      </w:r>
      <w:r>
        <w:rPr>
          <w:rFonts w:hint="cs"/>
          <w:rtl/>
        </w:rPr>
        <w:t>שורה של</w:t>
      </w:r>
      <w:r w:rsidRPr="00244599">
        <w:rPr>
          <w:rFonts w:hint="cs"/>
          <w:rtl/>
        </w:rPr>
        <w:t xml:space="preserve"> </w:t>
      </w:r>
      <w:r w:rsidR="008254C1" w:rsidRPr="00244599">
        <w:rPr>
          <w:rFonts w:hint="cs"/>
          <w:rtl/>
        </w:rPr>
        <w:t xml:space="preserve">הגבלות על אזרחים ועל </w:t>
      </w:r>
      <w:r w:rsidR="001E5C52">
        <w:rPr>
          <w:rFonts w:hint="cs"/>
          <w:rtl/>
        </w:rPr>
        <w:t xml:space="preserve">בעלי </w:t>
      </w:r>
      <w:r w:rsidR="008254C1" w:rsidRPr="00244599">
        <w:rPr>
          <w:rFonts w:hint="cs"/>
          <w:rtl/>
        </w:rPr>
        <w:t>עסקים</w:t>
      </w:r>
      <w:r w:rsidR="001E5C52">
        <w:rPr>
          <w:rFonts w:hint="cs"/>
          <w:rtl/>
        </w:rPr>
        <w:t xml:space="preserve"> אשר הביאו</w:t>
      </w:r>
      <w:r w:rsidR="008254C1" w:rsidRPr="00244599">
        <w:rPr>
          <w:rFonts w:hint="cs"/>
          <w:rtl/>
        </w:rPr>
        <w:t xml:space="preserve"> לפגיעה </w:t>
      </w:r>
      <w:r w:rsidR="001E5C52">
        <w:rPr>
          <w:rFonts w:hint="cs"/>
          <w:rtl/>
        </w:rPr>
        <w:t>ב</w:t>
      </w:r>
      <w:r w:rsidR="008254C1" w:rsidRPr="00244599">
        <w:rPr>
          <w:rFonts w:hint="cs"/>
          <w:rtl/>
        </w:rPr>
        <w:t>הכנסותיהם ו</w:t>
      </w:r>
      <w:r w:rsidR="001E5C52">
        <w:rPr>
          <w:rFonts w:hint="cs"/>
          <w:rtl/>
        </w:rPr>
        <w:t>ב</w:t>
      </w:r>
      <w:r w:rsidR="008254C1" w:rsidRPr="00244599">
        <w:rPr>
          <w:rFonts w:hint="cs"/>
          <w:rtl/>
        </w:rPr>
        <w:t xml:space="preserve">היקף </w:t>
      </w:r>
      <w:r w:rsidR="001E5C52" w:rsidRPr="00244599">
        <w:rPr>
          <w:rFonts w:hint="cs"/>
          <w:rtl/>
        </w:rPr>
        <w:t>פע</w:t>
      </w:r>
      <w:r w:rsidR="001E5C52">
        <w:rPr>
          <w:rFonts w:hint="cs"/>
          <w:rtl/>
        </w:rPr>
        <w:t>י</w:t>
      </w:r>
      <w:r w:rsidR="001E5C52" w:rsidRPr="00244599">
        <w:rPr>
          <w:rFonts w:hint="cs"/>
          <w:rtl/>
        </w:rPr>
        <w:t>ל</w:t>
      </w:r>
      <w:r w:rsidR="001E5C52">
        <w:rPr>
          <w:rFonts w:hint="cs"/>
          <w:rtl/>
        </w:rPr>
        <w:t>ו</w:t>
      </w:r>
      <w:r w:rsidR="001E5C52" w:rsidRPr="00244599">
        <w:rPr>
          <w:rFonts w:hint="cs"/>
          <w:rtl/>
        </w:rPr>
        <w:t>תם</w:t>
      </w:r>
      <w:r w:rsidR="001E5C52">
        <w:rPr>
          <w:rFonts w:hint="cs"/>
          <w:rtl/>
        </w:rPr>
        <w:t xml:space="preserve">. על מנת לאפשר לעצמאים ולשכירים בעלי שליטה </w:t>
      </w:r>
      <w:r w:rsidR="00075C9D">
        <w:rPr>
          <w:rFonts w:hint="cs"/>
          <w:rtl/>
        </w:rPr>
        <w:t xml:space="preserve">בחברת מעטים להתמודד עם הפגיעה הכלכלית, </w:t>
      </w:r>
      <w:r w:rsidR="001E5C52">
        <w:rPr>
          <w:rFonts w:hint="cs"/>
          <w:rtl/>
        </w:rPr>
        <w:t>גיבשה</w:t>
      </w:r>
      <w:r w:rsidR="008254C1" w:rsidRPr="00244599">
        <w:rPr>
          <w:rFonts w:hint="cs"/>
          <w:rtl/>
        </w:rPr>
        <w:t xml:space="preserve"> הממשלה תכנית סיוע ומתן מענקים</w:t>
      </w:r>
      <w:r w:rsidR="00075C9D">
        <w:rPr>
          <w:rFonts w:hint="cs"/>
          <w:rtl/>
        </w:rPr>
        <w:t xml:space="preserve">. </w:t>
      </w:r>
      <w:r w:rsidR="008254C1" w:rsidRPr="00244599">
        <w:rPr>
          <w:rFonts w:hint="cs"/>
          <w:rtl/>
        </w:rPr>
        <w:t xml:space="preserve">חלק מהמענקים ניתנו ביתר </w:t>
      </w:r>
      <w:r w:rsidR="007F67DF" w:rsidRPr="00244599">
        <w:rPr>
          <w:rFonts w:hint="cs"/>
          <w:rtl/>
        </w:rPr>
        <w:t>ו</w:t>
      </w:r>
      <w:r w:rsidR="008254C1" w:rsidRPr="00244599">
        <w:rPr>
          <w:rFonts w:hint="cs"/>
          <w:rtl/>
        </w:rPr>
        <w:t>בעל</w:t>
      </w:r>
      <w:r w:rsidR="007F67DF" w:rsidRPr="00244599">
        <w:rPr>
          <w:rFonts w:hint="cs"/>
          <w:rtl/>
        </w:rPr>
        <w:t>י עסקים רבים נדרשים</w:t>
      </w:r>
      <w:r w:rsidR="00E119A4">
        <w:rPr>
          <w:rFonts w:hint="cs"/>
          <w:rtl/>
        </w:rPr>
        <w:t xml:space="preserve"> </w:t>
      </w:r>
      <w:r w:rsidR="001E5C52">
        <w:rPr>
          <w:rFonts w:hint="cs"/>
          <w:rtl/>
        </w:rPr>
        <w:t>להשיבם</w:t>
      </w:r>
      <w:r w:rsidR="007F67DF" w:rsidRPr="00244599">
        <w:rPr>
          <w:rFonts w:hint="cs"/>
          <w:rtl/>
        </w:rPr>
        <w:t xml:space="preserve">, בעת שהם עדיין </w:t>
      </w:r>
      <w:r w:rsidR="007F67DF" w:rsidRPr="00244599">
        <w:rPr>
          <w:rFonts w:hint="cs"/>
          <w:rtl/>
        </w:rPr>
        <w:lastRenderedPageBreak/>
        <w:t xml:space="preserve">מתמודדים עם </w:t>
      </w:r>
      <w:r w:rsidR="00075C9D">
        <w:rPr>
          <w:rFonts w:hint="cs"/>
          <w:rtl/>
        </w:rPr>
        <w:t>השלכותיו של משבר הקורונה</w:t>
      </w:r>
      <w:r w:rsidR="007F67DF" w:rsidRPr="00244599">
        <w:rPr>
          <w:rFonts w:hint="cs"/>
          <w:rtl/>
        </w:rPr>
        <w:t>.</w:t>
      </w:r>
    </w:p>
    <w:p w14:paraId="2216EB64" w14:textId="2802638B" w:rsidR="008254C1" w:rsidRPr="00244599" w:rsidRDefault="007F67DF" w:rsidP="00204357">
      <w:pPr>
        <w:pStyle w:val="Hesber"/>
        <w:rPr>
          <w:rtl/>
        </w:rPr>
      </w:pPr>
      <w:r w:rsidRPr="00244599">
        <w:rPr>
          <w:rFonts w:hint="cs"/>
          <w:rtl/>
        </w:rPr>
        <w:t xml:space="preserve">מטרת </w:t>
      </w:r>
      <w:r w:rsidR="008254C1" w:rsidRPr="00244599">
        <w:rPr>
          <w:rFonts w:hint="cs"/>
          <w:rtl/>
        </w:rPr>
        <w:t xml:space="preserve">הצעת </w:t>
      </w:r>
      <w:r w:rsidR="00E119A4">
        <w:rPr>
          <w:rFonts w:hint="cs"/>
          <w:rtl/>
        </w:rPr>
        <w:t>ה</w:t>
      </w:r>
      <w:r w:rsidR="008254C1" w:rsidRPr="00244599">
        <w:rPr>
          <w:rFonts w:hint="cs"/>
          <w:rtl/>
        </w:rPr>
        <w:t xml:space="preserve">חוק </w:t>
      </w:r>
      <w:r w:rsidR="00E119A4">
        <w:rPr>
          <w:rFonts w:hint="cs"/>
          <w:rtl/>
        </w:rPr>
        <w:t>היא</w:t>
      </w:r>
      <w:r w:rsidR="00E119A4" w:rsidRPr="00244599">
        <w:rPr>
          <w:rFonts w:hint="cs"/>
          <w:rtl/>
        </w:rPr>
        <w:t xml:space="preserve"> </w:t>
      </w:r>
      <w:r w:rsidR="008254C1" w:rsidRPr="00244599">
        <w:rPr>
          <w:rFonts w:hint="cs"/>
          <w:rtl/>
        </w:rPr>
        <w:t>להקל</w:t>
      </w:r>
      <w:r w:rsidRPr="00244599">
        <w:rPr>
          <w:rFonts w:hint="cs"/>
          <w:rtl/>
        </w:rPr>
        <w:t xml:space="preserve"> </w:t>
      </w:r>
      <w:r w:rsidR="00E119A4">
        <w:rPr>
          <w:rFonts w:hint="cs"/>
          <w:rtl/>
        </w:rPr>
        <w:t xml:space="preserve">על </w:t>
      </w:r>
      <w:r w:rsidR="008215B4">
        <w:rPr>
          <w:rFonts w:hint="cs"/>
          <w:rtl/>
        </w:rPr>
        <w:t>עצמאים ועל שכירים בעלי שליטה בחברת מעטים</w:t>
      </w:r>
      <w:r w:rsidR="00E119A4">
        <w:rPr>
          <w:rFonts w:hint="cs"/>
          <w:rtl/>
        </w:rPr>
        <w:t xml:space="preserve"> </w:t>
      </w:r>
      <w:r w:rsidR="00075C9D">
        <w:rPr>
          <w:rFonts w:hint="cs"/>
          <w:rtl/>
        </w:rPr>
        <w:t>ב</w:t>
      </w:r>
      <w:r w:rsidRPr="00244599">
        <w:rPr>
          <w:rFonts w:hint="cs"/>
          <w:rtl/>
        </w:rPr>
        <w:t xml:space="preserve">התמודדות </w:t>
      </w:r>
      <w:r w:rsidR="00E119A4">
        <w:rPr>
          <w:rFonts w:hint="cs"/>
          <w:rtl/>
        </w:rPr>
        <w:t>עם</w:t>
      </w:r>
      <w:r w:rsidR="00E119A4" w:rsidRPr="00244599">
        <w:rPr>
          <w:rFonts w:hint="cs"/>
          <w:rtl/>
        </w:rPr>
        <w:t xml:space="preserve"> </w:t>
      </w:r>
      <w:r w:rsidRPr="00244599">
        <w:rPr>
          <w:rFonts w:hint="cs"/>
          <w:rtl/>
        </w:rPr>
        <w:t>ה</w:t>
      </w:r>
      <w:r w:rsidR="00075C9D">
        <w:rPr>
          <w:rFonts w:hint="cs"/>
          <w:rtl/>
        </w:rPr>
        <w:t>שפעותיו הכלכליות של משבר הקורונה</w:t>
      </w:r>
      <w:r w:rsidRPr="00244599">
        <w:rPr>
          <w:rFonts w:hint="cs"/>
          <w:rtl/>
        </w:rPr>
        <w:t xml:space="preserve">, </w:t>
      </w:r>
      <w:r w:rsidR="005772BD" w:rsidRPr="00244599">
        <w:rPr>
          <w:rFonts w:hint="cs"/>
          <w:rtl/>
        </w:rPr>
        <w:t>ו</w:t>
      </w:r>
      <w:r w:rsidR="008215B4">
        <w:rPr>
          <w:rFonts w:hint="cs"/>
          <w:rtl/>
        </w:rPr>
        <w:t xml:space="preserve">כן </w:t>
      </w:r>
      <w:r w:rsidR="005772BD" w:rsidRPr="00244599">
        <w:rPr>
          <w:rFonts w:hint="cs"/>
          <w:rtl/>
        </w:rPr>
        <w:t>למנוע את סגירת</w:t>
      </w:r>
      <w:r w:rsidR="008215B4">
        <w:rPr>
          <w:rFonts w:hint="cs"/>
          <w:rtl/>
        </w:rPr>
        <w:t xml:space="preserve"> עסקיהם</w:t>
      </w:r>
      <w:r w:rsidR="00E119A4">
        <w:rPr>
          <w:rFonts w:hint="cs"/>
          <w:rtl/>
        </w:rPr>
        <w:t xml:space="preserve">. </w:t>
      </w:r>
    </w:p>
    <w:p w14:paraId="4C5C3855" w14:textId="0F5FA7FA" w:rsidR="00A06A5E" w:rsidRPr="00244599" w:rsidRDefault="00A30726" w:rsidP="007F3E12">
      <w:pPr>
        <w:pStyle w:val="Hesber"/>
      </w:pPr>
      <w:r>
        <w:rPr>
          <w:rFonts w:hint="cs"/>
          <w:rtl/>
        </w:rPr>
        <w:t>לפי</w:t>
      </w:r>
      <w:r w:rsidR="00075C9D">
        <w:rPr>
          <w:rFonts w:hint="cs"/>
          <w:rtl/>
        </w:rPr>
        <w:t>כך</w:t>
      </w:r>
      <w:r w:rsidR="009E4B8B">
        <w:rPr>
          <w:rFonts w:hint="cs"/>
          <w:rtl/>
        </w:rPr>
        <w:t>,</w:t>
      </w:r>
      <w:r w:rsidR="00075C9D">
        <w:rPr>
          <w:rFonts w:hint="cs"/>
          <w:rtl/>
        </w:rPr>
        <w:t xml:space="preserve"> מוצע ל</w:t>
      </w:r>
      <w:r w:rsidR="001C547C">
        <w:rPr>
          <w:rFonts w:hint="cs"/>
          <w:rtl/>
        </w:rPr>
        <w:t xml:space="preserve">פטור </w:t>
      </w:r>
      <w:r w:rsidR="00075C9D">
        <w:rPr>
          <w:rFonts w:hint="cs"/>
          <w:rtl/>
        </w:rPr>
        <w:t xml:space="preserve">עצמאים ושכירים בעלי שליטה בחברת מעטים </w:t>
      </w:r>
      <w:r w:rsidR="001C547C">
        <w:rPr>
          <w:rFonts w:hint="cs"/>
          <w:rtl/>
        </w:rPr>
        <w:t>מהשבת מענקי הסיוע</w:t>
      </w:r>
      <w:r w:rsidR="00075C9D">
        <w:rPr>
          <w:rFonts w:hint="cs"/>
          <w:rtl/>
        </w:rPr>
        <w:t xml:space="preserve"> שניתנו להם</w:t>
      </w:r>
      <w:r w:rsidR="001C547C">
        <w:rPr>
          <w:rFonts w:hint="cs"/>
          <w:rtl/>
        </w:rPr>
        <w:t xml:space="preserve"> בשל נגיף הקורונה, </w:t>
      </w:r>
      <w:r w:rsidR="00075C9D">
        <w:rPr>
          <w:rFonts w:hint="cs"/>
          <w:rtl/>
        </w:rPr>
        <w:t xml:space="preserve">אם </w:t>
      </w:r>
      <w:r w:rsidR="001C547C">
        <w:rPr>
          <w:rFonts w:hint="cs"/>
          <w:rtl/>
        </w:rPr>
        <w:t xml:space="preserve">מחזור עסקאותיהם בשנת 2020 אינו עולה על 135 אלף שקלים חדשים, </w:t>
      </w:r>
      <w:r w:rsidR="00075C9D">
        <w:rPr>
          <w:rFonts w:hint="cs"/>
          <w:rtl/>
        </w:rPr>
        <w:t>או</w:t>
      </w:r>
      <w:r w:rsidR="003F2C7F">
        <w:rPr>
          <w:rFonts w:hint="cs"/>
          <w:rtl/>
        </w:rPr>
        <w:t xml:space="preserve"> </w:t>
      </w:r>
      <w:r w:rsidR="00D07CCF">
        <w:rPr>
          <w:rFonts w:hint="cs"/>
          <w:rtl/>
        </w:rPr>
        <w:t xml:space="preserve">אם </w:t>
      </w:r>
      <w:r w:rsidR="003F2C7F">
        <w:rPr>
          <w:rFonts w:hint="cs"/>
          <w:rtl/>
        </w:rPr>
        <w:t>נאלצו לסגור את עסקיהם</w:t>
      </w:r>
      <w:r w:rsidR="006B4F9B">
        <w:rPr>
          <w:rFonts w:hint="cs"/>
          <w:rtl/>
        </w:rPr>
        <w:t xml:space="preserve">. כמו כן, מוצע לקבוע כי </w:t>
      </w:r>
      <w:r w:rsidR="0013761E">
        <w:rPr>
          <w:rFonts w:hint="cs"/>
          <w:rtl/>
        </w:rPr>
        <w:t xml:space="preserve">עצמאי או שכיר בעל שליטה בחברת מעטים אשר קיבל מענק סיוע בגין נגיף הקורונה בסכום העולה על הסכום שהיה זכאי לו, ונדרש בשל כך להחזיר את סכום היתר שניתן לו, לא יישא בתוספת ריבית והצמדה על סכום היתר שישיב. </w:t>
      </w:r>
    </w:p>
    <w:p w14:paraId="7024CA3A" w14:textId="50ABA462" w:rsidR="005772BD" w:rsidRPr="00244599" w:rsidRDefault="005772BD" w:rsidP="00204357">
      <w:pPr>
        <w:pStyle w:val="Hesber"/>
        <w:rPr>
          <w:rtl/>
        </w:rPr>
      </w:pPr>
      <w:r w:rsidRPr="00244599">
        <w:rPr>
          <w:rFonts w:hint="cs"/>
          <w:rtl/>
        </w:rPr>
        <w:t xml:space="preserve">תיקוני </w:t>
      </w:r>
      <w:r w:rsidR="00075C9D">
        <w:rPr>
          <w:rFonts w:hint="cs"/>
          <w:rtl/>
        </w:rPr>
        <w:t>ה</w:t>
      </w:r>
      <w:r w:rsidRPr="00244599">
        <w:rPr>
          <w:rFonts w:hint="cs"/>
          <w:rtl/>
        </w:rPr>
        <w:t xml:space="preserve">חקיקה </w:t>
      </w:r>
      <w:r w:rsidR="00D07CCF">
        <w:rPr>
          <w:rFonts w:hint="cs"/>
          <w:rtl/>
        </w:rPr>
        <w:t>ה</w:t>
      </w:r>
      <w:r w:rsidR="00075C9D">
        <w:rPr>
          <w:rFonts w:hint="cs"/>
          <w:rtl/>
        </w:rPr>
        <w:t>מוצעים</w:t>
      </w:r>
      <w:r w:rsidR="00075C9D" w:rsidRPr="00244599">
        <w:rPr>
          <w:rFonts w:hint="cs"/>
          <w:rtl/>
        </w:rPr>
        <w:t xml:space="preserve"> </w:t>
      </w:r>
      <w:r w:rsidR="003F2C7F">
        <w:rPr>
          <w:rFonts w:hint="cs"/>
          <w:rtl/>
        </w:rPr>
        <w:t xml:space="preserve">מתבקשים לאור </w:t>
      </w:r>
      <w:r w:rsidRPr="00244599">
        <w:rPr>
          <w:rFonts w:hint="cs"/>
          <w:rtl/>
        </w:rPr>
        <w:t xml:space="preserve">המציאות הכלכלית </w:t>
      </w:r>
      <w:r w:rsidR="003F2C7F">
        <w:rPr>
          <w:rFonts w:hint="cs"/>
          <w:rtl/>
        </w:rPr>
        <w:t>שאליה נקלעו בעלי עסקים,</w:t>
      </w:r>
      <w:r w:rsidRPr="00244599">
        <w:rPr>
          <w:rFonts w:hint="cs"/>
          <w:rtl/>
        </w:rPr>
        <w:t xml:space="preserve"> </w:t>
      </w:r>
      <w:r w:rsidR="003F2C7F">
        <w:rPr>
          <w:rFonts w:hint="cs"/>
          <w:rtl/>
        </w:rPr>
        <w:t>ציבור העצמאים והשכירים בעלי שליטה בחברת מעטים, ו</w:t>
      </w:r>
      <w:r w:rsidRPr="00244599">
        <w:rPr>
          <w:rFonts w:hint="cs"/>
          <w:rtl/>
        </w:rPr>
        <w:t xml:space="preserve">כפועל יוצא של התכנית </w:t>
      </w:r>
      <w:r w:rsidR="00A30726">
        <w:rPr>
          <w:rFonts w:hint="cs"/>
          <w:rtl/>
        </w:rPr>
        <w:t>ה</w:t>
      </w:r>
      <w:r w:rsidRPr="00244599">
        <w:rPr>
          <w:rFonts w:hint="cs"/>
          <w:rtl/>
        </w:rPr>
        <w:t>כלכלית להתמודדות עם המגיפה והשלכותיה הכלכליות</w:t>
      </w:r>
      <w:r w:rsidR="003F2C7F">
        <w:rPr>
          <w:rFonts w:hint="cs"/>
          <w:rtl/>
        </w:rPr>
        <w:t>.</w:t>
      </w:r>
    </w:p>
    <w:p w14:paraId="4D6311A2" w14:textId="77777777" w:rsidR="00490AE1" w:rsidRDefault="00490AE1">
      <w:pPr>
        <w:jc w:val="left"/>
        <w:rPr>
          <w:rFonts w:eastAsia="David"/>
          <w:sz w:val="26"/>
          <w:szCs w:val="26"/>
          <w:rtl/>
        </w:rPr>
      </w:pPr>
      <w:bookmarkStart w:id="8" w:name="selectedDocDateB"/>
      <w:bookmarkEnd w:id="8"/>
    </w:p>
    <w:p w14:paraId="6CA842C0" w14:textId="77777777" w:rsidR="00490AE1" w:rsidRDefault="00490AE1">
      <w:pPr>
        <w:jc w:val="left"/>
        <w:rPr>
          <w:rFonts w:eastAsia="David"/>
          <w:sz w:val="26"/>
          <w:szCs w:val="26"/>
          <w:rtl/>
        </w:rPr>
      </w:pPr>
    </w:p>
    <w:p w14:paraId="0E15A3DC" w14:textId="77777777" w:rsidR="00490AE1" w:rsidRDefault="00490AE1">
      <w:pPr>
        <w:jc w:val="left"/>
        <w:rPr>
          <w:rFonts w:eastAsia="David"/>
          <w:sz w:val="26"/>
          <w:szCs w:val="26"/>
          <w:rtl/>
        </w:rPr>
      </w:pPr>
    </w:p>
    <w:p w14:paraId="6F3BD5CF" w14:textId="77777777" w:rsidR="00490AE1" w:rsidRDefault="00490AE1">
      <w:pPr>
        <w:jc w:val="left"/>
        <w:rPr>
          <w:rFonts w:eastAsia="David"/>
          <w:sz w:val="26"/>
          <w:szCs w:val="26"/>
          <w:rtl/>
        </w:rPr>
      </w:pPr>
    </w:p>
    <w:p w14:paraId="65864A74" w14:textId="77777777" w:rsidR="00490AE1" w:rsidRDefault="00490AE1">
      <w:pPr>
        <w:jc w:val="left"/>
        <w:rPr>
          <w:rFonts w:eastAsia="David"/>
          <w:sz w:val="26"/>
          <w:szCs w:val="26"/>
          <w:rtl/>
        </w:rPr>
      </w:pPr>
    </w:p>
    <w:p w14:paraId="241251CE" w14:textId="77777777" w:rsidR="0092455A" w:rsidRDefault="00490AE1">
      <w:pPr>
        <w:jc w:val="left"/>
      </w:pPr>
      <w:bookmarkStart w:id="9" w:name="_GoBack"/>
      <w:bookmarkEnd w:id="9"/>
      <w:r>
        <w:rPr>
          <w:rFonts w:eastAsia="David" w:hint="cs"/>
          <w:sz w:val="26"/>
          <w:szCs w:val="26"/>
          <w:rtl/>
        </w:rPr>
        <w:t>--------------------------------</w:t>
      </w:r>
    </w:p>
    <w:p w14:paraId="6DD9248C" w14:textId="77777777" w:rsidR="0092455A" w:rsidRDefault="00490AE1">
      <w:pPr>
        <w:jc w:val="left"/>
      </w:pPr>
      <w:r>
        <w:rPr>
          <w:rFonts w:eastAsia="David" w:hint="cs"/>
          <w:sz w:val="26"/>
          <w:szCs w:val="26"/>
          <w:rtl/>
        </w:rPr>
        <w:t>הוגשה ליו"ר הכנסת והסגנים</w:t>
      </w:r>
    </w:p>
    <w:p w14:paraId="3E5C1176" w14:textId="77777777" w:rsidR="0092455A" w:rsidRDefault="00490AE1">
      <w:pPr>
        <w:jc w:val="left"/>
      </w:pPr>
      <w:r>
        <w:rPr>
          <w:rFonts w:eastAsia="David" w:hint="cs"/>
          <w:sz w:val="26"/>
          <w:szCs w:val="26"/>
          <w:rtl/>
        </w:rPr>
        <w:t>והונחה על שולחן הכנסת ביום</w:t>
      </w:r>
    </w:p>
    <w:p w14:paraId="6D16A66B" w14:textId="77777777" w:rsidR="0092455A" w:rsidRDefault="00490AE1">
      <w:pPr>
        <w:jc w:val="left"/>
      </w:pPr>
      <w:r>
        <w:rPr>
          <w:rFonts w:eastAsia="David" w:hint="cs"/>
          <w:sz w:val="26"/>
          <w:szCs w:val="26"/>
          <w:rtl/>
        </w:rPr>
        <w:t xml:space="preserve">ו' באדר ב' התשפ"ב (09.03.2022) </w:t>
      </w:r>
    </w:p>
    <w:p w14:paraId="49498223" w14:textId="77777777" w:rsidR="0092455A" w:rsidRDefault="0092455A">
      <w:pPr>
        <w:spacing w:line="276" w:lineRule="auto"/>
        <w:jc w:val="left"/>
      </w:pPr>
    </w:p>
    <w:sectPr w:rsidR="0092455A" w:rsidSect="00B7029C">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490AE1">
      <w:rPr>
        <w:rStyle w:val="aa"/>
        <w:noProof/>
        <w:rtl/>
      </w:rPr>
      <w:t>3</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A36950">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87C3AD4" w14:textId="18A74824" w:rsidR="00A36950" w:rsidRDefault="00A36950">
      <w:pPr>
        <w:pStyle w:val="a4"/>
        <w:rPr>
          <w:rtl/>
        </w:rPr>
      </w:pPr>
      <w:r>
        <w:rPr>
          <w:rStyle w:val="a5"/>
        </w:rPr>
        <w:footnoteRef/>
      </w:r>
      <w:r>
        <w:rPr>
          <w:rtl/>
        </w:rPr>
        <w:t xml:space="preserve"> </w:t>
      </w:r>
      <w:r>
        <w:rPr>
          <w:rFonts w:hint="cs"/>
          <w:rtl/>
        </w:rPr>
        <w:t xml:space="preserve">ס"ח התשס"ח, עמ' 84.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42E26"/>
    <w:rsid w:val="00063A3E"/>
    <w:rsid w:val="0007196B"/>
    <w:rsid w:val="00072CAC"/>
    <w:rsid w:val="00075C9D"/>
    <w:rsid w:val="0007681A"/>
    <w:rsid w:val="0008363D"/>
    <w:rsid w:val="0008511A"/>
    <w:rsid w:val="000A542E"/>
    <w:rsid w:val="000C7781"/>
    <w:rsid w:val="00102B6B"/>
    <w:rsid w:val="001052D4"/>
    <w:rsid w:val="0010644B"/>
    <w:rsid w:val="00117C46"/>
    <w:rsid w:val="001207F8"/>
    <w:rsid w:val="00121924"/>
    <w:rsid w:val="001279A8"/>
    <w:rsid w:val="0013761E"/>
    <w:rsid w:val="0014195F"/>
    <w:rsid w:val="00152609"/>
    <w:rsid w:val="00153E1B"/>
    <w:rsid w:val="001A0623"/>
    <w:rsid w:val="001A7CB9"/>
    <w:rsid w:val="001B314B"/>
    <w:rsid w:val="001B7A51"/>
    <w:rsid w:val="001C23B0"/>
    <w:rsid w:val="001C547C"/>
    <w:rsid w:val="001D7AAF"/>
    <w:rsid w:val="001E5C52"/>
    <w:rsid w:val="001F51A5"/>
    <w:rsid w:val="00203A7F"/>
    <w:rsid w:val="00204357"/>
    <w:rsid w:val="0021633A"/>
    <w:rsid w:val="002200A1"/>
    <w:rsid w:val="002362BF"/>
    <w:rsid w:val="00241B97"/>
    <w:rsid w:val="002425D1"/>
    <w:rsid w:val="00244599"/>
    <w:rsid w:val="00246756"/>
    <w:rsid w:val="00251E58"/>
    <w:rsid w:val="00254605"/>
    <w:rsid w:val="00266D86"/>
    <w:rsid w:val="002728B4"/>
    <w:rsid w:val="0027600C"/>
    <w:rsid w:val="00292712"/>
    <w:rsid w:val="00297518"/>
    <w:rsid w:val="002A487D"/>
    <w:rsid w:val="002B7651"/>
    <w:rsid w:val="002C2E29"/>
    <w:rsid w:val="002C3041"/>
    <w:rsid w:val="002D1EE3"/>
    <w:rsid w:val="002F1D80"/>
    <w:rsid w:val="003135EE"/>
    <w:rsid w:val="00322B42"/>
    <w:rsid w:val="003232A2"/>
    <w:rsid w:val="00325C14"/>
    <w:rsid w:val="00330806"/>
    <w:rsid w:val="0036422C"/>
    <w:rsid w:val="003710F6"/>
    <w:rsid w:val="003723B1"/>
    <w:rsid w:val="00384456"/>
    <w:rsid w:val="00386E88"/>
    <w:rsid w:val="00396585"/>
    <w:rsid w:val="003D6E38"/>
    <w:rsid w:val="003D74A0"/>
    <w:rsid w:val="003F2C7F"/>
    <w:rsid w:val="004033D8"/>
    <w:rsid w:val="004073F0"/>
    <w:rsid w:val="00412A7D"/>
    <w:rsid w:val="00416B4D"/>
    <w:rsid w:val="00417CFC"/>
    <w:rsid w:val="00424A5C"/>
    <w:rsid w:val="00490AE1"/>
    <w:rsid w:val="004A06DC"/>
    <w:rsid w:val="004B24ED"/>
    <w:rsid w:val="004B6625"/>
    <w:rsid w:val="004D2D82"/>
    <w:rsid w:val="004D3876"/>
    <w:rsid w:val="004E4552"/>
    <w:rsid w:val="004E6CDF"/>
    <w:rsid w:val="00532B4B"/>
    <w:rsid w:val="00535556"/>
    <w:rsid w:val="00553C9D"/>
    <w:rsid w:val="00562A66"/>
    <w:rsid w:val="005772BD"/>
    <w:rsid w:val="005B064E"/>
    <w:rsid w:val="005D51AE"/>
    <w:rsid w:val="0062674B"/>
    <w:rsid w:val="00632CB7"/>
    <w:rsid w:val="006363B2"/>
    <w:rsid w:val="00644940"/>
    <w:rsid w:val="00661F1E"/>
    <w:rsid w:val="006645FC"/>
    <w:rsid w:val="006818A9"/>
    <w:rsid w:val="006A2C6F"/>
    <w:rsid w:val="006A2D81"/>
    <w:rsid w:val="006B3D8B"/>
    <w:rsid w:val="006B4F9B"/>
    <w:rsid w:val="006C1B1C"/>
    <w:rsid w:val="006C1D0D"/>
    <w:rsid w:val="006E417B"/>
    <w:rsid w:val="006F5048"/>
    <w:rsid w:val="006F76D8"/>
    <w:rsid w:val="0070601E"/>
    <w:rsid w:val="00712C72"/>
    <w:rsid w:val="00713893"/>
    <w:rsid w:val="00735FE9"/>
    <w:rsid w:val="00752A6E"/>
    <w:rsid w:val="00763CAA"/>
    <w:rsid w:val="00765F66"/>
    <w:rsid w:val="0078664F"/>
    <w:rsid w:val="007A27CE"/>
    <w:rsid w:val="007C3FA6"/>
    <w:rsid w:val="007D585A"/>
    <w:rsid w:val="007D5A12"/>
    <w:rsid w:val="007E4055"/>
    <w:rsid w:val="007E59F9"/>
    <w:rsid w:val="007F3E12"/>
    <w:rsid w:val="007F4A3B"/>
    <w:rsid w:val="007F67DF"/>
    <w:rsid w:val="00810BCD"/>
    <w:rsid w:val="00812C98"/>
    <w:rsid w:val="00814D92"/>
    <w:rsid w:val="008215B4"/>
    <w:rsid w:val="008254C1"/>
    <w:rsid w:val="0083181D"/>
    <w:rsid w:val="00843EB2"/>
    <w:rsid w:val="008443C1"/>
    <w:rsid w:val="00865572"/>
    <w:rsid w:val="00874BBC"/>
    <w:rsid w:val="00892135"/>
    <w:rsid w:val="00895449"/>
    <w:rsid w:val="00897879"/>
    <w:rsid w:val="008A6870"/>
    <w:rsid w:val="008C2DDC"/>
    <w:rsid w:val="008C44CB"/>
    <w:rsid w:val="008C7516"/>
    <w:rsid w:val="008E439E"/>
    <w:rsid w:val="008E6EC7"/>
    <w:rsid w:val="008F0D63"/>
    <w:rsid w:val="008F1308"/>
    <w:rsid w:val="008F2C35"/>
    <w:rsid w:val="008F6665"/>
    <w:rsid w:val="00904591"/>
    <w:rsid w:val="00905E5F"/>
    <w:rsid w:val="0091204F"/>
    <w:rsid w:val="009203DB"/>
    <w:rsid w:val="00923CD4"/>
    <w:rsid w:val="0092455A"/>
    <w:rsid w:val="00930EFE"/>
    <w:rsid w:val="00943386"/>
    <w:rsid w:val="009456B6"/>
    <w:rsid w:val="00957589"/>
    <w:rsid w:val="00966D06"/>
    <w:rsid w:val="00971807"/>
    <w:rsid w:val="00982412"/>
    <w:rsid w:val="00983A8D"/>
    <w:rsid w:val="009A0DB8"/>
    <w:rsid w:val="009A2086"/>
    <w:rsid w:val="009A7257"/>
    <w:rsid w:val="009D6E0A"/>
    <w:rsid w:val="009E1E33"/>
    <w:rsid w:val="009E4B8B"/>
    <w:rsid w:val="009F0EC1"/>
    <w:rsid w:val="00A06A5E"/>
    <w:rsid w:val="00A14672"/>
    <w:rsid w:val="00A26BD6"/>
    <w:rsid w:val="00A30726"/>
    <w:rsid w:val="00A36950"/>
    <w:rsid w:val="00A443CF"/>
    <w:rsid w:val="00A5776D"/>
    <w:rsid w:val="00A6611D"/>
    <w:rsid w:val="00A81CDB"/>
    <w:rsid w:val="00A82CB7"/>
    <w:rsid w:val="00A942C1"/>
    <w:rsid w:val="00AA2F03"/>
    <w:rsid w:val="00AC36F7"/>
    <w:rsid w:val="00AC63A4"/>
    <w:rsid w:val="00AD239E"/>
    <w:rsid w:val="00B10265"/>
    <w:rsid w:val="00B16A99"/>
    <w:rsid w:val="00B21211"/>
    <w:rsid w:val="00B35784"/>
    <w:rsid w:val="00B613CA"/>
    <w:rsid w:val="00B7029C"/>
    <w:rsid w:val="00B733A7"/>
    <w:rsid w:val="00B75C91"/>
    <w:rsid w:val="00B975AD"/>
    <w:rsid w:val="00BC45FB"/>
    <w:rsid w:val="00BE14E2"/>
    <w:rsid w:val="00BF148D"/>
    <w:rsid w:val="00C23B1A"/>
    <w:rsid w:val="00C310EB"/>
    <w:rsid w:val="00C44C48"/>
    <w:rsid w:val="00C54852"/>
    <w:rsid w:val="00C802E4"/>
    <w:rsid w:val="00C9176A"/>
    <w:rsid w:val="00CB4D99"/>
    <w:rsid w:val="00CE7105"/>
    <w:rsid w:val="00CF1AA2"/>
    <w:rsid w:val="00CF3F1E"/>
    <w:rsid w:val="00D07CCF"/>
    <w:rsid w:val="00D142D3"/>
    <w:rsid w:val="00D17774"/>
    <w:rsid w:val="00D56838"/>
    <w:rsid w:val="00D63620"/>
    <w:rsid w:val="00D8410D"/>
    <w:rsid w:val="00D867D7"/>
    <w:rsid w:val="00DB105A"/>
    <w:rsid w:val="00DB7060"/>
    <w:rsid w:val="00DD4384"/>
    <w:rsid w:val="00DE3153"/>
    <w:rsid w:val="00E06736"/>
    <w:rsid w:val="00E119A4"/>
    <w:rsid w:val="00E136C1"/>
    <w:rsid w:val="00E13C27"/>
    <w:rsid w:val="00E33BBD"/>
    <w:rsid w:val="00E34579"/>
    <w:rsid w:val="00E36F39"/>
    <w:rsid w:val="00E374F2"/>
    <w:rsid w:val="00E3781E"/>
    <w:rsid w:val="00E413CB"/>
    <w:rsid w:val="00E45103"/>
    <w:rsid w:val="00E55A60"/>
    <w:rsid w:val="00E62778"/>
    <w:rsid w:val="00E635A2"/>
    <w:rsid w:val="00E63D38"/>
    <w:rsid w:val="00E665B9"/>
    <w:rsid w:val="00EA01E6"/>
    <w:rsid w:val="00EA3DE8"/>
    <w:rsid w:val="00EA758F"/>
    <w:rsid w:val="00ED4A6F"/>
    <w:rsid w:val="00EF3A3A"/>
    <w:rsid w:val="00EF5B7C"/>
    <w:rsid w:val="00F33230"/>
    <w:rsid w:val="00F628D6"/>
    <w:rsid w:val="00F67051"/>
    <w:rsid w:val="00F86A1E"/>
    <w:rsid w:val="00FA5E88"/>
    <w:rsid w:val="00FB1269"/>
    <w:rsid w:val="00FE49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226A89F-037F-440E-872E-1D59DC6D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29C"/>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B7029C"/>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B7029C"/>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B7029C"/>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B7029C"/>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B7029C"/>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7029C"/>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B7029C"/>
    <w:rPr>
      <w:sz w:val="36"/>
      <w:szCs w:val="52"/>
    </w:rPr>
  </w:style>
  <w:style w:type="paragraph" w:customStyle="1" w:styleId="Cover3-Haknesset">
    <w:name w:val="Cover 3-Haknesset"/>
    <w:basedOn w:val="Cover1-Reshumot"/>
    <w:rsid w:val="00B7029C"/>
    <w:rPr>
      <w:b/>
      <w:bCs/>
      <w:spacing w:val="60"/>
    </w:rPr>
  </w:style>
  <w:style w:type="paragraph" w:customStyle="1" w:styleId="Cover4-Date">
    <w:name w:val="Cover 4-Date"/>
    <w:basedOn w:val="a"/>
    <w:rsid w:val="00B7029C"/>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7029C"/>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B7029C"/>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B7029C"/>
    <w:pPr>
      <w:spacing w:before="120" w:after="120"/>
    </w:pPr>
    <w:rPr>
      <w:color w:val="FF0000"/>
      <w:w w:val="80"/>
    </w:rPr>
  </w:style>
  <w:style w:type="paragraph" w:styleId="a3">
    <w:name w:val="endnote text"/>
    <w:basedOn w:val="a"/>
    <w:semiHidden/>
    <w:rsid w:val="00B7029C"/>
    <w:pPr>
      <w:ind w:left="227" w:hanging="227"/>
    </w:pPr>
    <w:rPr>
      <w:sz w:val="14"/>
      <w:szCs w:val="22"/>
    </w:rPr>
  </w:style>
  <w:style w:type="paragraph" w:customStyle="1" w:styleId="TableText">
    <w:name w:val="Table Text"/>
    <w:basedOn w:val="a"/>
    <w:rsid w:val="00B7029C"/>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B7029C"/>
    <w:pPr>
      <w:outlineLvl w:val="2"/>
    </w:pPr>
  </w:style>
  <w:style w:type="paragraph" w:customStyle="1" w:styleId="TableBlock">
    <w:name w:val="Table Block"/>
    <w:basedOn w:val="TableText"/>
    <w:rsid w:val="00B7029C"/>
    <w:pPr>
      <w:jc w:val="both"/>
    </w:pPr>
  </w:style>
  <w:style w:type="paragraph" w:customStyle="1" w:styleId="TableHead">
    <w:name w:val="Table Head"/>
    <w:basedOn w:val="TableText"/>
    <w:rsid w:val="00B7029C"/>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7029C"/>
    <w:pPr>
      <w:outlineLvl w:val="9"/>
    </w:pPr>
  </w:style>
  <w:style w:type="paragraph" w:customStyle="1" w:styleId="Hesber">
    <w:name w:val="Hesber"/>
    <w:basedOn w:val="a"/>
    <w:rsid w:val="00B7029C"/>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B7029C"/>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B7029C"/>
    <w:rPr>
      <w:vertAlign w:val="superscript"/>
    </w:rPr>
  </w:style>
  <w:style w:type="paragraph" w:customStyle="1" w:styleId="HesberHeading">
    <w:name w:val="Hesber Heading"/>
    <w:basedOn w:val="Hesber"/>
    <w:rsid w:val="00B7029C"/>
    <w:pPr>
      <w:tabs>
        <w:tab w:val="left" w:pos="624"/>
        <w:tab w:val="left" w:pos="1247"/>
      </w:tabs>
    </w:pPr>
    <w:rPr>
      <w:b/>
      <w:bCs/>
    </w:rPr>
  </w:style>
  <w:style w:type="paragraph" w:customStyle="1" w:styleId="HesberWriters">
    <w:name w:val="Hesber Writers"/>
    <w:basedOn w:val="Hesber"/>
    <w:rsid w:val="00B7029C"/>
    <w:pPr>
      <w:spacing w:before="120" w:after="120"/>
      <w:ind w:left="1418"/>
      <w:jc w:val="right"/>
    </w:pPr>
    <w:rPr>
      <w:b/>
      <w:bCs/>
    </w:rPr>
  </w:style>
  <w:style w:type="paragraph" w:customStyle="1" w:styleId="Hesber1st">
    <w:name w:val="Hesber 1st"/>
    <w:basedOn w:val="Hesber"/>
    <w:rsid w:val="00B7029C"/>
    <w:pPr>
      <w:tabs>
        <w:tab w:val="left" w:pos="680"/>
        <w:tab w:val="left" w:pos="1020"/>
      </w:tabs>
      <w:ind w:firstLine="0"/>
    </w:pPr>
  </w:style>
  <w:style w:type="character" w:styleId="a6">
    <w:name w:val="endnote reference"/>
    <w:basedOn w:val="a0"/>
    <w:semiHidden/>
    <w:rsid w:val="00B7029C"/>
    <w:rPr>
      <w:vertAlign w:val="superscript"/>
    </w:rPr>
  </w:style>
  <w:style w:type="paragraph" w:customStyle="1" w:styleId="TableBlockOutdent">
    <w:name w:val="Table BlockOutdent"/>
    <w:basedOn w:val="TableBlock"/>
    <w:rsid w:val="00B7029C"/>
    <w:pPr>
      <w:ind w:left="624" w:hanging="624"/>
    </w:pPr>
  </w:style>
  <w:style w:type="paragraph" w:styleId="a7">
    <w:name w:val="header"/>
    <w:basedOn w:val="a"/>
    <w:rsid w:val="00B7029C"/>
    <w:pPr>
      <w:tabs>
        <w:tab w:val="center" w:pos="4153"/>
        <w:tab w:val="right" w:pos="8306"/>
      </w:tabs>
    </w:pPr>
  </w:style>
  <w:style w:type="paragraph" w:styleId="a8">
    <w:name w:val="footer"/>
    <w:basedOn w:val="a"/>
    <w:rsid w:val="00B7029C"/>
    <w:pPr>
      <w:tabs>
        <w:tab w:val="center" w:pos="4153"/>
        <w:tab w:val="right" w:pos="8306"/>
      </w:tabs>
    </w:pPr>
  </w:style>
  <w:style w:type="paragraph" w:customStyle="1" w:styleId="HeadDivreiHesber">
    <w:name w:val="Head DivreiHesber"/>
    <w:basedOn w:val="a"/>
    <w:rsid w:val="00B7029C"/>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B7029C"/>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B7029C"/>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B7029C"/>
    <w:rPr>
      <w:rFonts w:asciiTheme="majorHAnsi" w:eastAsiaTheme="majorEastAsia" w:hAnsiTheme="majorHAnsi" w:cs="David"/>
      <w:bCs/>
      <w:sz w:val="32"/>
      <w:szCs w:val="36"/>
    </w:rPr>
  </w:style>
  <w:style w:type="character" w:customStyle="1" w:styleId="20">
    <w:name w:val="כותרת 2 תו"/>
    <w:basedOn w:val="a0"/>
    <w:link w:val="2"/>
    <w:rsid w:val="00B7029C"/>
    <w:rPr>
      <w:rFonts w:asciiTheme="majorHAnsi" w:eastAsiaTheme="majorEastAsia" w:hAnsiTheme="majorHAnsi" w:cs="David"/>
      <w:bCs/>
      <w:sz w:val="26"/>
      <w:szCs w:val="36"/>
      <w:u w:val="single"/>
    </w:rPr>
  </w:style>
  <w:style w:type="character" w:customStyle="1" w:styleId="30">
    <w:name w:val="כותרת 3 תו"/>
    <w:basedOn w:val="a0"/>
    <w:link w:val="3"/>
    <w:rsid w:val="00B7029C"/>
    <w:rPr>
      <w:rFonts w:asciiTheme="majorHAnsi" w:eastAsiaTheme="majorEastAsia" w:hAnsiTheme="majorHAnsi" w:cs="David"/>
      <w:sz w:val="24"/>
      <w:szCs w:val="28"/>
      <w:u w:val="double"/>
    </w:rPr>
  </w:style>
  <w:style w:type="character" w:customStyle="1" w:styleId="40">
    <w:name w:val="כותרת 4 תו"/>
    <w:basedOn w:val="a0"/>
    <w:link w:val="4"/>
    <w:uiPriority w:val="9"/>
    <w:rsid w:val="00B7029C"/>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B7029C"/>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B7029C"/>
    <w:pPr>
      <w:widowControl/>
      <w:spacing w:before="120" w:after="120"/>
      <w:outlineLvl w:val="9"/>
    </w:pPr>
    <w:rPr>
      <w:rtl/>
      <w:cs/>
    </w:rPr>
  </w:style>
  <w:style w:type="paragraph" w:styleId="TOC1">
    <w:name w:val="toc 1"/>
    <w:basedOn w:val="a"/>
    <w:next w:val="a"/>
    <w:autoRedefine/>
    <w:uiPriority w:val="39"/>
    <w:unhideWhenUsed/>
    <w:rsid w:val="00B7029C"/>
    <w:pPr>
      <w:tabs>
        <w:tab w:val="right" w:leader="dot" w:pos="9629"/>
      </w:tabs>
      <w:spacing w:after="100"/>
    </w:pPr>
    <w:rPr>
      <w:bCs/>
      <w:szCs w:val="22"/>
    </w:rPr>
  </w:style>
  <w:style w:type="paragraph" w:styleId="TOC2">
    <w:name w:val="toc 2"/>
    <w:basedOn w:val="a"/>
    <w:next w:val="a"/>
    <w:uiPriority w:val="39"/>
    <w:unhideWhenUsed/>
    <w:rsid w:val="00B7029C"/>
    <w:pPr>
      <w:tabs>
        <w:tab w:val="right" w:leader="dot" w:pos="9628"/>
      </w:tabs>
      <w:spacing w:after="100"/>
    </w:pPr>
    <w:rPr>
      <w:szCs w:val="22"/>
    </w:rPr>
  </w:style>
  <w:style w:type="character" w:styleId="Hyperlink">
    <w:name w:val="Hyperlink"/>
    <w:basedOn w:val="a0"/>
    <w:uiPriority w:val="99"/>
    <w:unhideWhenUsed/>
    <w:rsid w:val="00B7029C"/>
    <w:rPr>
      <w:color w:val="0000FF" w:themeColor="hyperlink"/>
      <w:u w:val="single"/>
    </w:rPr>
  </w:style>
  <w:style w:type="paragraph" w:styleId="TOC3">
    <w:name w:val="toc 3"/>
    <w:basedOn w:val="a"/>
    <w:next w:val="a"/>
    <w:uiPriority w:val="39"/>
    <w:unhideWhenUsed/>
    <w:rsid w:val="00B7029C"/>
    <w:pPr>
      <w:tabs>
        <w:tab w:val="right" w:leader="dot" w:pos="9629"/>
      </w:tabs>
      <w:spacing w:after="100"/>
      <w:ind w:left="567"/>
    </w:pPr>
    <w:rPr>
      <w:szCs w:val="22"/>
    </w:rPr>
  </w:style>
  <w:style w:type="paragraph" w:styleId="TOC4">
    <w:name w:val="toc 4"/>
    <w:basedOn w:val="a"/>
    <w:next w:val="a"/>
    <w:autoRedefine/>
    <w:unhideWhenUsed/>
    <w:qFormat/>
    <w:rsid w:val="00B7029C"/>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B7029C"/>
    <w:pPr>
      <w:tabs>
        <w:tab w:val="right" w:leader="dot" w:pos="9628"/>
      </w:tabs>
      <w:spacing w:after="100"/>
      <w:ind w:left="567"/>
    </w:pPr>
    <w:rPr>
      <w:szCs w:val="22"/>
    </w:rPr>
  </w:style>
  <w:style w:type="paragraph" w:styleId="TOC6">
    <w:name w:val="toc 6"/>
    <w:basedOn w:val="a"/>
    <w:next w:val="a"/>
    <w:autoRedefine/>
    <w:semiHidden/>
    <w:unhideWhenUsed/>
    <w:rsid w:val="00B7029C"/>
    <w:pPr>
      <w:spacing w:after="100"/>
      <w:ind w:left="850"/>
    </w:pPr>
  </w:style>
  <w:style w:type="paragraph" w:styleId="TOC7">
    <w:name w:val="toc 7"/>
    <w:basedOn w:val="a"/>
    <w:next w:val="a"/>
    <w:autoRedefine/>
    <w:semiHidden/>
    <w:unhideWhenUsed/>
    <w:rsid w:val="00B7029C"/>
    <w:pPr>
      <w:spacing w:after="100"/>
      <w:ind w:left="1020"/>
    </w:pPr>
  </w:style>
  <w:style w:type="paragraph" w:styleId="TOC8">
    <w:name w:val="toc 8"/>
    <w:basedOn w:val="a"/>
    <w:next w:val="a"/>
    <w:autoRedefine/>
    <w:semiHidden/>
    <w:unhideWhenUsed/>
    <w:rsid w:val="00B7029C"/>
    <w:pPr>
      <w:spacing w:after="100"/>
      <w:ind w:left="1190"/>
    </w:pPr>
  </w:style>
  <w:style w:type="paragraph" w:styleId="TOC9">
    <w:name w:val="toc 9"/>
    <w:basedOn w:val="a"/>
    <w:next w:val="a"/>
    <w:autoRedefine/>
    <w:semiHidden/>
    <w:unhideWhenUsed/>
    <w:rsid w:val="00B7029C"/>
    <w:pPr>
      <w:spacing w:after="100"/>
      <w:ind w:left="1360"/>
    </w:pPr>
  </w:style>
  <w:style w:type="paragraph" w:customStyle="1" w:styleId="TableHead2">
    <w:name w:val="Table Head2"/>
    <w:basedOn w:val="TableHead"/>
    <w:qFormat/>
    <w:rsid w:val="00B7029C"/>
    <w:pPr>
      <w:outlineLvl w:val="9"/>
    </w:pPr>
  </w:style>
  <w:style w:type="paragraph" w:customStyle="1" w:styleId="TableSideHeading2">
    <w:name w:val="Table SideHeading2"/>
    <w:basedOn w:val="TableSideHeading"/>
    <w:autoRedefine/>
    <w:qFormat/>
    <w:rsid w:val="00B7029C"/>
    <w:pPr>
      <w:keepLines w:val="0"/>
      <w:outlineLvl w:val="9"/>
    </w:pPr>
  </w:style>
  <w:style w:type="paragraph" w:customStyle="1" w:styleId="0">
    <w:name w:val="סגנון שורה ראשונה:  0  ס''מ"/>
    <w:basedOn w:val="2"/>
    <w:rsid w:val="00B7029C"/>
    <w:rPr>
      <w:rFonts w:eastAsia="Times New Roman"/>
    </w:rPr>
  </w:style>
  <w:style w:type="paragraph" w:styleId="ae">
    <w:name w:val="List Paragraph"/>
    <w:basedOn w:val="a"/>
    <w:uiPriority w:val="34"/>
    <w:qFormat/>
    <w:rsid w:val="00B7029C"/>
    <w:pPr>
      <w:widowControl/>
      <w:spacing w:line="259" w:lineRule="auto"/>
    </w:pPr>
    <w:rPr>
      <w:rFonts w:asciiTheme="minorHAnsi" w:hAnsiTheme="minorHAnsi"/>
      <w:sz w:val="22"/>
    </w:rPr>
  </w:style>
  <w:style w:type="table" w:styleId="af">
    <w:name w:val="Table Grid"/>
    <w:basedOn w:val="a1"/>
    <w:rsid w:val="00B70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B702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B702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B7029C"/>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B7029C"/>
    <w:tblPr/>
    <w:tblStylePr w:type="firstCol">
      <w:pPr>
        <w:keepNext w:val="0"/>
        <w:keepLines/>
        <w:pageBreakBefore w:val="0"/>
        <w:widowControl w:val="0"/>
        <w:suppressLineNumbers w:val="0"/>
        <w:suppressAutoHyphens w:val="0"/>
        <w:wordWrap/>
      </w:pPr>
    </w:tblStylePr>
  </w:style>
  <w:style w:type="character" w:styleId="af1">
    <w:name w:val="annotation reference"/>
    <w:basedOn w:val="a0"/>
    <w:semiHidden/>
    <w:unhideWhenUsed/>
    <w:rsid w:val="009A2086"/>
    <w:rPr>
      <w:sz w:val="16"/>
      <w:szCs w:val="16"/>
    </w:rPr>
  </w:style>
  <w:style w:type="paragraph" w:styleId="af2">
    <w:name w:val="annotation text"/>
    <w:basedOn w:val="a"/>
    <w:link w:val="af3"/>
    <w:semiHidden/>
    <w:unhideWhenUsed/>
    <w:rsid w:val="009A2086"/>
    <w:pPr>
      <w:spacing w:line="240" w:lineRule="auto"/>
    </w:pPr>
    <w:rPr>
      <w:sz w:val="20"/>
      <w:szCs w:val="20"/>
    </w:rPr>
  </w:style>
  <w:style w:type="character" w:customStyle="1" w:styleId="af3">
    <w:name w:val="טקסט הערה תו"/>
    <w:basedOn w:val="a0"/>
    <w:link w:val="af2"/>
    <w:semiHidden/>
    <w:rsid w:val="009A2086"/>
    <w:rPr>
      <w:rFonts w:ascii="David" w:eastAsiaTheme="minorHAnsi" w:hAnsi="David" w:cs="David"/>
    </w:rPr>
  </w:style>
  <w:style w:type="paragraph" w:styleId="af4">
    <w:name w:val="annotation subject"/>
    <w:basedOn w:val="af2"/>
    <w:next w:val="af2"/>
    <w:link w:val="af5"/>
    <w:semiHidden/>
    <w:unhideWhenUsed/>
    <w:rsid w:val="009A2086"/>
    <w:rPr>
      <w:b/>
      <w:bCs/>
    </w:rPr>
  </w:style>
  <w:style w:type="character" w:customStyle="1" w:styleId="af5">
    <w:name w:val="נושא הערה תו"/>
    <w:basedOn w:val="af3"/>
    <w:link w:val="af4"/>
    <w:semiHidden/>
    <w:rsid w:val="009A2086"/>
    <w:rPr>
      <w:rFonts w:ascii="David" w:eastAsiaTheme="minorHAnsi" w:hAnsi="David"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12536">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7F081E0D-9491-4EE2-9806-EB6AE7F5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290d5b49-c690-4c6f-bbb9-1e50dab33eee"/>
  </ds:schemaRefs>
</ds:datastoreItem>
</file>

<file path=customXml/itemProps4.xml><?xml version="1.0" encoding="utf-8"?>
<ds:datastoreItem xmlns:ds="http://schemas.openxmlformats.org/officeDocument/2006/customXml" ds:itemID="{3B3EBF3B-F7CF-4580-B950-75D54841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3</Pages>
  <Words>586</Words>
  <Characters>2930</Characters>
  <Application>Microsoft Office Word</Application>
  <DocSecurity>0</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59</cp:revision>
  <cp:lastPrinted>2022-03-08T11:09:00Z</cp:lastPrinted>
  <dcterms:created xsi:type="dcterms:W3CDTF">2015-04-20T09:58:00Z</dcterms:created>
  <dcterms:modified xsi:type="dcterms:W3CDTF">2022-03-08T11:09:00Z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2190216</vt:r8>
  </property>
</Properties>
</file>