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2170137</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יוזמים:      חברי הכנסת</w:t>
      </w:r>
      <w:bookmarkEnd w:id="2"/>
      <w:r w:rsidRPr="00F67051" w:rsidR="00B35784">
        <w:rPr>
          <w:b/>
          <w:bCs/>
        </w:rPr>
        <w:tab/>
      </w:r>
      <w:bookmarkStart w:name="LGS_PM_Names" w:id="3"/>
      <w:r>
        <w:rPr>
          <w:rFonts w:hint="cs"/>
          <w:b/>
          <w:bCs/>
          <w:rtl/>
        </w:rPr>
        <w:t>יוראי להב הרצנו</w:t>
      </w:r>
      <w:r>
        <w:br/>
      </w:r>
      <w:r>
        <w:rPr>
          <w:rFonts w:hint="cs"/>
          <w:b/>
          <w:bCs/>
          <w:rtl/>
        </w:rPr>
        <w:t xml:space="preserve"> </w:t>
      </w:r>
      <w:r>
        <w:tab/>
      </w:r>
      <w:r>
        <w:tab/>
      </w:r>
      <w:r>
        <w:tab/>
      </w:r>
      <w:r>
        <w:tab/>
      </w:r>
      <w:r>
        <w:rPr>
          <w:rFonts w:hint="cs"/>
          <w:b/>
          <w:bCs/>
          <w:rtl/>
        </w:rPr>
        <w:t>יסמין פרידמן</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מיכל שיר סגמן</w:t>
      </w:r>
      <w:r>
        <w:br/>
      </w:r>
      <w:r>
        <w:rPr>
          <w:rFonts w:hint="cs"/>
          <w:b/>
          <w:bCs/>
          <w:rtl/>
        </w:rPr>
        <w:t xml:space="preserve"> </w:t>
      </w:r>
      <w:r>
        <w:tab/>
      </w:r>
      <w:r>
        <w:tab/>
      </w:r>
      <w:r>
        <w:tab/>
      </w:r>
      <w:r>
        <w:tab/>
      </w:r>
      <w:r>
        <w:rPr>
          <w:rFonts w:hint="cs"/>
          <w:b/>
          <w:bCs/>
          <w:rtl/>
        </w:rPr>
        <w:t>מאי גולן</w:t>
      </w:r>
      <w:r>
        <w:br/>
      </w:r>
      <w:r>
        <w:rPr>
          <w:rFonts w:hint="cs"/>
          <w:b/>
          <w:bCs/>
          <w:rtl/>
        </w:rPr>
        <w:t xml:space="preserve"> </w:t>
      </w:r>
      <w:r>
        <w:tab/>
      </w:r>
      <w:r>
        <w:tab/>
      </w:r>
      <w:r>
        <w:tab/>
      </w:r>
      <w:r>
        <w:tab/>
      </w:r>
      <w:r>
        <w:rPr>
          <w:rFonts w:hint="cs"/>
          <w:b/>
          <w:bCs/>
          <w:rtl/>
        </w:rPr>
        <w:t>אחמד טיבי</w:t>
      </w:r>
      <w:r>
        <w:br/>
      </w:r>
      <w:r>
        <w:rPr>
          <w:rFonts w:hint="cs"/>
          <w:b/>
          <w:bCs/>
          <w:rtl/>
        </w:rPr>
        <w:t xml:space="preserve"> </w:t>
      </w:r>
      <w:r>
        <w:tab/>
      </w:r>
      <w:r>
        <w:tab/>
      </w:r>
      <w:r>
        <w:tab/>
      </w:r>
      <w:r>
        <w:tab/>
      </w:r>
      <w:r>
        <w:rPr>
          <w:rFonts w:hint="cs"/>
          <w:b/>
          <w:bCs/>
          <w:rtl/>
        </w:rPr>
        <w:t>עידית סילמן</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אמילי חיה מואטי</w:t>
      </w:r>
      <w:r>
        <w:br/>
      </w:r>
      <w:r>
        <w:rPr>
          <w:rFonts w:hint="cs"/>
          <w:b/>
          <w:bCs/>
          <w:rtl/>
        </w:rPr>
        <w:t xml:space="preserve"> </w:t>
      </w:r>
      <w:r>
        <w:tab/>
      </w:r>
      <w:r>
        <w:tab/>
      </w:r>
      <w:r>
        <w:tab/>
      </w:r>
      <w:r>
        <w:tab/>
      </w:r>
      <w:r>
        <w:rPr>
          <w:rFonts w:hint="cs"/>
          <w:b/>
          <w:bCs/>
          <w:rtl/>
        </w:rPr>
        <w:t>מופיד מרעי</w:t>
      </w:r>
      <w:r>
        <w:br/>
      </w:r>
      <w:r>
        <w:rPr>
          <w:rFonts w:hint="cs"/>
          <w:b/>
          <w:bCs/>
          <w:rtl/>
        </w:rPr>
        <w:t xml:space="preserve"> </w:t>
      </w:r>
      <w:r>
        <w:tab/>
      </w:r>
      <w:r>
        <w:tab/>
      </w:r>
      <w:r>
        <w:tab/>
      </w:r>
      <w:r>
        <w:tab/>
      </w:r>
      <w:r>
        <w:rPr>
          <w:rFonts w:hint="cs"/>
          <w:b/>
          <w:bCs/>
          <w:rtl/>
        </w:rPr>
        <w:t>מיכל וולדיגר</w:t>
      </w:r>
      <w:r>
        <w:br/>
      </w:r>
      <w:r>
        <w:rPr>
          <w:rFonts w:hint="cs"/>
          <w:b/>
          <w:bCs/>
          <w:rtl/>
        </w:rPr>
        <w:t xml:space="preserve"> </w:t>
      </w:r>
      <w:r>
        <w:tab/>
      </w:r>
      <w:r>
        <w:tab/>
      </w:r>
      <w:r>
        <w:tab/>
      </w:r>
      <w:r>
        <w:tab/>
      </w:r>
      <w:r>
        <w:rPr>
          <w:rFonts w:hint="cs"/>
          <w:b/>
          <w:bCs/>
          <w:rtl/>
        </w:rPr>
        <w:t>משה ארבל</w:t>
      </w:r>
      <w:r>
        <w:br/>
      </w:r>
      <w:r>
        <w:rPr>
          <w:rFonts w:hint="cs"/>
          <w:b/>
          <w:bCs/>
          <w:rtl/>
        </w:rPr>
        <w:t xml:space="preserve"> </w:t>
      </w:r>
      <w:r>
        <w:tab/>
      </w:r>
      <w:r>
        <w:tab/>
      </w:r>
      <w:r>
        <w:tab/>
      </w:r>
      <w:r>
        <w:tab/>
      </w:r>
      <w:r>
        <w:rPr>
          <w:rFonts w:hint="cs"/>
          <w:b/>
          <w:bCs/>
          <w:rtl/>
        </w:rPr>
        <w:t>משה אבוטבול</w:t>
      </w:r>
      <w:r>
        <w:br/>
      </w:r>
      <w:r>
        <w:rPr>
          <w:rFonts w:hint="cs"/>
          <w:b/>
          <w:bCs/>
          <w:rtl/>
        </w:rPr>
        <w:t xml:space="preserve"> </w:t>
      </w:r>
      <w:r>
        <w:tab/>
      </w:r>
      <w:r>
        <w:tab/>
      </w:r>
      <w:r>
        <w:tab/>
      </w:r>
      <w:r>
        <w:tab/>
      </w:r>
      <w:r>
        <w:rPr>
          <w:rFonts w:hint="cs"/>
          <w:b/>
          <w:bCs/>
          <w:rtl/>
        </w:rPr>
        <w:t>שירלי פינטו קדוש</w:t>
      </w:r>
      <w:r>
        <w:br/>
      </w:r>
      <w:r>
        <w:rPr>
          <w:rFonts w:hint="cs"/>
          <w:b/>
          <w:bCs/>
          <w:rtl/>
        </w:rPr>
        <w:t xml:space="preserve"> </w:t>
      </w:r>
      <w:r>
        <w:tab/>
      </w:r>
      <w:r>
        <w:tab/>
      </w:r>
      <w:r>
        <w:tab/>
      </w:r>
      <w:r>
        <w:tab/>
      </w:r>
      <w:r>
        <w:rPr>
          <w:rFonts w:hint="cs"/>
          <w:b/>
          <w:bCs/>
          <w:rtl/>
        </w:rPr>
        <w:t>אימאן ח'טיב יאסין</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______________________________________________</w:t>
      </w:r>
      <w:r>
        <w:br/>
      </w:r>
      <w:r>
        <w:rPr>
          <w:rtl/>
        </w:rPr>
        <w:t>מצטרפים: חברי הכנסת</w:t>
      </w:r>
      <w:bookmarkEnd w:id="4"/>
      <w:r w:rsidRPr="00CF1AA2" w:rsidR="002200A1">
        <w:rPr>
          <w:rFonts w:hint="cs"/>
          <w:rtl/>
        </w:rPr>
        <w:tab/>
      </w:r>
      <w:bookmarkStart w:name="LGS_PM_NamesJoin" w:id="5"/>
      <w:r>
        <w:rPr>
          <w:rFonts w:hint="cs"/>
          <w:rtl/>
        </w:rPr>
        <w:t>יוסף טייב</w:t>
      </w:r>
      <w:r>
        <w:br/>
      </w:r>
      <w:r>
        <w:rPr>
          <w:rFonts w:hint="cs"/>
          <w:rtl/>
        </w:rPr>
        <w:t xml:space="preserve"> </w:t>
      </w:r>
      <w:r>
        <w:tab/>
      </w:r>
      <w:r>
        <w:tab/>
      </w:r>
      <w:r>
        <w:tab/>
      </w:r>
      <w:r>
        <w:tab/>
      </w:r>
      <w:r>
        <w:rPr>
          <w:rFonts w:hint="cs"/>
          <w:rtl/>
        </w:rPr>
        <w:t>טטיאנה מזרסקי</w:t>
      </w:r>
      <w:r>
        <w:br/>
      </w:r>
      <w:r>
        <w:rPr>
          <w:rFonts w:hint="cs"/>
          <w:rtl/>
        </w:rPr>
        <w:t xml:space="preserve"> </w:t>
      </w:r>
      <w:r>
        <w:tab/>
      </w:r>
      <w:r>
        <w:tab/>
      </w:r>
      <w:r>
        <w:tab/>
      </w:r>
      <w:r>
        <w:tab/>
      </w:r>
      <w:r>
        <w:rPr>
          <w:rFonts w:hint="cs"/>
          <w:rtl/>
        </w:rPr>
        <w:t>ולדימיר בליאק</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פ/3509/24</w:t>
      </w:r>
      <w:bookmarkEnd w:id="6"/>
    </w:p>
    <w:p w:rsidR="00E13C27" w:rsidP="00E13C27" w:rsidRDefault="00E13C27" w14:paraId="7F6961AC" w14:textId="77777777">
      <w:pPr>
        <w:spacing w:before="0" w:line="360" w:lineRule="auto"/>
        <w:ind w:left="2880" w:firstLine="720"/>
        <w:rPr>
          <w:rFonts w:cs="David"/>
          <w:sz w:val="26"/>
          <w:szCs w:val="26"/>
          <w:rtl/>
        </w:rPr>
      </w:pPr>
    </w:p>
    <w:p w:rsidR="00E13C27" w:rsidP="00C24C0D" w:rsidRDefault="00A92459" w14:paraId="7F6961AE" w14:textId="2E426371">
      <w:pPr>
        <w:pStyle w:val="HeadHatzaotHok"/>
        <w:rPr>
          <w:rtl/>
        </w:rPr>
      </w:pPr>
      <w:bookmarkStart w:name="LGS_Subject" w:id="7"/>
      <w:r xmlns:w="http://schemas.openxmlformats.org/wordprocessingml/2006/main">
        <w:rPr xmlns:w="http://schemas.openxmlformats.org/wordprocessingml/2006/main">
          <w:rFonts w:hint="cs"/>
          <w:rtl/>
        </w:rPr>
        <w:t xml:space="preserve">הצעת חוק הסדרת העיסוק במקצועות הבריאות (תיקון – הסדרת העיסוק בניתוח התנהגות), התשפ"ב–2022</w:t>
      </w:r>
      <w:bookmarkStart w:name="_GoBack" w:id="8"/>
      <w:bookmarkEnd w:id="8"/>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Pr="005634BF" w:rsidR="00090BA5" w:rsidTr="005C38F7" w14:paraId="3941548C" w14:textId="77777777">
        <w:trPr>
          <w:cantSplit/>
          <w:trHeight w:val="60"/>
        </w:trPr>
        <w:tc>
          <w:tcPr>
            <w:tcW w:w="1871" w:type="dxa"/>
          </w:tcPr>
          <w:p w:rsidRPr="00EF34A3" w:rsidR="00090BA5" w:rsidP="005C38F7" w:rsidRDefault="00090BA5" w14:paraId="23F56312" w14:textId="77777777">
            <w:pPr>
              <w:pStyle w:val="TableSideHeading"/>
              <w:ind w:right="0"/>
            </w:pPr>
            <w:r w:rsidRPr="00EF34A3">
              <w:rPr>
                <w:rtl/>
              </w:rPr>
              <w:t xml:space="preserve">תיקון סעיף </w:t>
            </w:r>
            <w:r>
              <w:rPr>
                <w:rFonts w:hint="cs"/>
                <w:rtl/>
              </w:rPr>
              <w:t>2</w:t>
            </w:r>
          </w:p>
        </w:tc>
        <w:tc>
          <w:tcPr>
            <w:tcW w:w="624" w:type="dxa"/>
          </w:tcPr>
          <w:p w:rsidRPr="005634BF" w:rsidR="00090BA5" w:rsidP="005C38F7" w:rsidRDefault="00090BA5" w14:paraId="17E67CDD" w14:textId="77777777">
            <w:pPr>
              <w:tabs>
                <w:tab w:val="left" w:pos="624"/>
                <w:tab w:val="left" w:pos="1247"/>
              </w:tabs>
              <w:snapToGrid w:val="0"/>
              <w:spacing w:before="0" w:line="360" w:lineRule="auto"/>
              <w:ind w:right="57" w:firstLine="0"/>
              <w:jc w:val="left"/>
              <w:rPr>
                <w:rFonts w:ascii="Arial" w:hAnsi="Arial" w:eastAsia="Arial Unicode MS" w:cs="David"/>
                <w:sz w:val="20"/>
                <w:szCs w:val="26"/>
              </w:rPr>
            </w:pPr>
            <w:r>
              <w:rPr>
                <w:rFonts w:hint="cs" w:ascii="Arial" w:hAnsi="Arial" w:eastAsia="Arial Unicode MS" w:cs="David"/>
                <w:sz w:val="20"/>
                <w:szCs w:val="26"/>
                <w:rtl/>
              </w:rPr>
              <w:t>1.</w:t>
            </w:r>
          </w:p>
        </w:tc>
        <w:tc>
          <w:tcPr>
            <w:tcW w:w="7146" w:type="dxa"/>
          </w:tcPr>
          <w:p w:rsidRPr="00EF34A3" w:rsidR="00090BA5" w:rsidP="005C38F7" w:rsidRDefault="00090BA5" w14:paraId="0050DD2A" w14:textId="7F443F03">
            <w:pPr>
              <w:pStyle w:val="TableBlock"/>
            </w:pPr>
            <w:r w:rsidRPr="00BA5F88">
              <w:rPr>
                <w:color w:val="auto"/>
                <w:rtl/>
              </w:rPr>
              <w:t>בחוק הסדרת העיסוק במקצועות הבריאות, התשס"ח–2008‏</w:t>
            </w:r>
            <w:r w:rsidRPr="00BA5F88">
              <w:rPr>
                <w:rStyle w:val="a6"/>
                <w:color w:val="auto"/>
                <w:rtl/>
              </w:rPr>
              <w:footnoteReference w:id="2"/>
            </w:r>
            <w:r w:rsidRPr="00BA5F88">
              <w:rPr>
                <w:color w:val="auto"/>
                <w:rtl/>
              </w:rPr>
              <w:t xml:space="preserve"> (להלן – החוק העיקרי), בסעיף 2, אחרי ההגדרה </w:t>
            </w:r>
            <w:r w:rsidR="002A13AC">
              <w:rPr>
                <w:rFonts w:hint="cs"/>
                <w:color w:val="auto"/>
                <w:rtl/>
              </w:rPr>
              <w:t>"</w:t>
            </w:r>
            <w:r w:rsidRPr="00BA5F88">
              <w:rPr>
                <w:color w:val="auto"/>
                <w:rtl/>
              </w:rPr>
              <w:t>"</w:t>
            </w:r>
            <w:r>
              <w:rPr>
                <w:rFonts w:hint="cs"/>
                <w:color w:val="auto"/>
                <w:rtl/>
              </w:rPr>
              <w:t>תזונאי</w:t>
            </w:r>
            <w:r w:rsidRPr="00BA5F88">
              <w:rPr>
                <w:color w:val="auto"/>
                <w:rtl/>
              </w:rPr>
              <w:t>"</w:t>
            </w:r>
            <w:r>
              <w:rPr>
                <w:rFonts w:hint="cs"/>
                <w:color w:val="auto"/>
                <w:rtl/>
              </w:rPr>
              <w:t>, "דיאטן"</w:t>
            </w:r>
            <w:r w:rsidR="002A13AC">
              <w:rPr>
                <w:rFonts w:hint="cs"/>
                <w:color w:val="auto"/>
                <w:rtl/>
              </w:rPr>
              <w:t>"</w:t>
            </w:r>
            <w:r w:rsidRPr="00BA5F88">
              <w:rPr>
                <w:color w:val="auto"/>
                <w:rtl/>
              </w:rPr>
              <w:t xml:space="preserve"> יבוא:</w:t>
            </w:r>
            <w:r>
              <w:rPr>
                <w:rFonts w:hint="cs"/>
                <w:color w:val="auto"/>
                <w:rtl/>
              </w:rPr>
              <w:t xml:space="preserve"> </w:t>
            </w:r>
          </w:p>
        </w:tc>
      </w:tr>
      <w:tr w:rsidRPr="005634BF" w:rsidR="00090BA5" w:rsidTr="005C38F7" w14:paraId="3A3BCA4A" w14:textId="77777777">
        <w:trPr>
          <w:cantSplit/>
          <w:trHeight w:val="60"/>
        </w:trPr>
        <w:tc>
          <w:tcPr>
            <w:tcW w:w="1871" w:type="dxa"/>
          </w:tcPr>
          <w:p w:rsidRPr="00EF34A3" w:rsidR="00090BA5" w:rsidP="005C38F7" w:rsidRDefault="00090BA5" w14:paraId="1A5552DC" w14:textId="77777777">
            <w:pPr>
              <w:pStyle w:val="TableSideHeading"/>
              <w:ind w:right="0"/>
              <w:rPr>
                <w:rtl/>
              </w:rPr>
            </w:pPr>
          </w:p>
        </w:tc>
        <w:tc>
          <w:tcPr>
            <w:tcW w:w="624" w:type="dxa"/>
          </w:tcPr>
          <w:p w:rsidR="00090BA5" w:rsidP="005C38F7" w:rsidRDefault="00090BA5" w14:paraId="5658752C" w14:textId="77777777">
            <w:pPr>
              <w:tabs>
                <w:tab w:val="left" w:pos="624"/>
                <w:tab w:val="left" w:pos="1247"/>
              </w:tabs>
              <w:snapToGrid w:val="0"/>
              <w:spacing w:before="0" w:line="360" w:lineRule="auto"/>
              <w:ind w:right="57" w:firstLine="0"/>
              <w:jc w:val="left"/>
              <w:rPr>
                <w:rFonts w:ascii="Arial" w:hAnsi="Arial" w:eastAsia="Arial Unicode MS" w:cs="David"/>
                <w:sz w:val="20"/>
                <w:szCs w:val="26"/>
                <w:rtl/>
              </w:rPr>
            </w:pPr>
          </w:p>
        </w:tc>
        <w:tc>
          <w:tcPr>
            <w:tcW w:w="7146" w:type="dxa"/>
          </w:tcPr>
          <w:p w:rsidRPr="00BA5F88" w:rsidR="00090BA5" w:rsidP="005C38F7" w:rsidRDefault="00090BA5" w14:paraId="1A93FC1E" w14:textId="77777777">
            <w:pPr>
              <w:pStyle w:val="TableBlock"/>
              <w:rPr>
                <w:color w:val="auto"/>
                <w:rtl/>
              </w:rPr>
            </w:pPr>
            <w:r>
              <w:rPr>
                <w:rFonts w:hint="cs"/>
                <w:color w:val="auto"/>
                <w:rtl/>
              </w:rPr>
              <w:t xml:space="preserve">""מנתח התנהגות" </w:t>
            </w:r>
            <w:r>
              <w:rPr>
                <w:color w:val="auto"/>
                <w:rtl/>
              </w:rPr>
              <w:t>–</w:t>
            </w:r>
            <w:r>
              <w:rPr>
                <w:rFonts w:hint="cs"/>
                <w:color w:val="auto"/>
                <w:rtl/>
              </w:rPr>
              <w:t xml:space="preserve"> מי שניתנה לו תעודת מנתח התנהגות".</w:t>
            </w:r>
          </w:p>
        </w:tc>
      </w:tr>
      <w:tr w:rsidRPr="005634BF" w:rsidR="00090BA5" w:rsidTr="005C38F7" w14:paraId="4512E4F5" w14:textId="77777777">
        <w:trPr>
          <w:cantSplit/>
          <w:trHeight w:val="60"/>
        </w:trPr>
        <w:tc>
          <w:tcPr>
            <w:tcW w:w="1871" w:type="dxa"/>
          </w:tcPr>
          <w:p w:rsidRPr="00EF34A3" w:rsidR="00090BA5" w:rsidP="005C38F7" w:rsidRDefault="00090BA5" w14:paraId="09062B7B" w14:textId="77777777">
            <w:pPr>
              <w:pStyle w:val="TableSideHeading"/>
              <w:rPr>
                <w:rtl/>
              </w:rPr>
            </w:pPr>
            <w:r>
              <w:rPr>
                <w:rFonts w:hint="cs"/>
                <w:rtl/>
              </w:rPr>
              <w:t>תיקון התוספת הראשונה</w:t>
            </w:r>
          </w:p>
        </w:tc>
        <w:tc>
          <w:tcPr>
            <w:tcW w:w="624" w:type="dxa"/>
          </w:tcPr>
          <w:p w:rsidRPr="005634BF" w:rsidR="00090BA5" w:rsidP="005C38F7" w:rsidRDefault="00210849" w14:paraId="4CBEC13C" w14:textId="0CB00A4E">
            <w:pPr>
              <w:tabs>
                <w:tab w:val="left" w:pos="624"/>
                <w:tab w:val="left" w:pos="1247"/>
              </w:tabs>
              <w:snapToGrid w:val="0"/>
              <w:spacing w:before="0" w:line="360" w:lineRule="auto"/>
              <w:ind w:right="57" w:firstLine="0"/>
              <w:jc w:val="left"/>
              <w:rPr>
                <w:rFonts w:ascii="Arial" w:hAnsi="Arial" w:eastAsia="Arial Unicode MS" w:cs="David"/>
                <w:sz w:val="20"/>
                <w:szCs w:val="26"/>
              </w:rPr>
            </w:pPr>
            <w:r>
              <w:rPr>
                <w:rFonts w:hint="cs" w:ascii="Arial" w:hAnsi="Arial" w:eastAsia="Arial Unicode MS" w:cs="David"/>
                <w:sz w:val="20"/>
                <w:szCs w:val="26"/>
                <w:rtl/>
              </w:rPr>
              <w:t>2</w:t>
            </w:r>
            <w:r w:rsidR="00090BA5">
              <w:rPr>
                <w:rFonts w:hint="cs" w:ascii="Arial" w:hAnsi="Arial" w:eastAsia="Arial Unicode MS" w:cs="David"/>
                <w:sz w:val="20"/>
                <w:szCs w:val="26"/>
                <w:rtl/>
              </w:rPr>
              <w:t>.</w:t>
            </w:r>
          </w:p>
        </w:tc>
        <w:tc>
          <w:tcPr>
            <w:tcW w:w="7146" w:type="dxa"/>
          </w:tcPr>
          <w:p w:rsidRPr="00EF34A3" w:rsidR="00090BA5" w:rsidP="005C38F7" w:rsidRDefault="00090BA5" w14:paraId="4D07F370" w14:textId="4A38E69A">
            <w:pPr>
              <w:pStyle w:val="TableBlock"/>
              <w:rPr>
                <w:rtl/>
              </w:rPr>
            </w:pPr>
            <w:r>
              <w:rPr>
                <w:rFonts w:hint="cs"/>
                <w:rtl/>
              </w:rPr>
              <w:t>בתוספת הראשונה לחוק</w:t>
            </w:r>
            <w:r w:rsidR="0076105B">
              <w:rPr>
                <w:rFonts w:hint="cs"/>
                <w:rtl/>
              </w:rPr>
              <w:t xml:space="preserve"> העיקרי</w:t>
            </w:r>
            <w:r>
              <w:rPr>
                <w:rFonts w:hint="cs"/>
                <w:rtl/>
              </w:rPr>
              <w:t>, אחרי פרט 8 יבוא:</w:t>
            </w:r>
          </w:p>
        </w:tc>
      </w:tr>
      <w:tr w:rsidRPr="005634BF" w:rsidR="00090BA5" w:rsidTr="005C38F7" w14:paraId="202F40C7" w14:textId="77777777">
        <w:trPr>
          <w:cantSplit/>
          <w:trHeight w:val="60"/>
        </w:trPr>
        <w:tc>
          <w:tcPr>
            <w:tcW w:w="1871" w:type="dxa"/>
          </w:tcPr>
          <w:p w:rsidR="00090BA5" w:rsidP="005C38F7" w:rsidRDefault="00090BA5" w14:paraId="00E6599C" w14:textId="77777777">
            <w:pPr>
              <w:pStyle w:val="TableSideHeading"/>
              <w:rPr>
                <w:rtl/>
              </w:rPr>
            </w:pPr>
          </w:p>
        </w:tc>
        <w:tc>
          <w:tcPr>
            <w:tcW w:w="624" w:type="dxa"/>
          </w:tcPr>
          <w:p w:rsidR="00090BA5" w:rsidP="005C38F7" w:rsidRDefault="00090BA5" w14:paraId="2008578B" w14:textId="77777777">
            <w:pPr>
              <w:tabs>
                <w:tab w:val="left" w:pos="624"/>
                <w:tab w:val="left" w:pos="1247"/>
              </w:tabs>
              <w:snapToGrid w:val="0"/>
              <w:spacing w:before="0" w:line="360" w:lineRule="auto"/>
              <w:ind w:right="57" w:firstLine="0"/>
              <w:jc w:val="left"/>
              <w:rPr>
                <w:rFonts w:ascii="Arial" w:hAnsi="Arial" w:eastAsia="Arial Unicode MS" w:cs="David"/>
                <w:sz w:val="20"/>
                <w:szCs w:val="26"/>
                <w:rtl/>
              </w:rPr>
            </w:pPr>
          </w:p>
        </w:tc>
        <w:tc>
          <w:tcPr>
            <w:tcW w:w="7146"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0"/>
              <w:gridCol w:w="1105"/>
              <w:gridCol w:w="3543"/>
              <w:gridCol w:w="1783"/>
            </w:tblGrid>
            <w:tr w:rsidR="00090BA5" w:rsidTr="002A13AC" w14:paraId="5666C5E3" w14:textId="77777777">
              <w:tc>
                <w:tcPr>
                  <w:tcW w:w="700" w:type="dxa"/>
                </w:tcPr>
                <w:p w:rsidRPr="001C21EA" w:rsidR="00090BA5" w:rsidP="005C38F7" w:rsidRDefault="00090BA5" w14:paraId="7B1326DE" w14:textId="77777777">
                  <w:pPr>
                    <w:pStyle w:val="TableBlock"/>
                    <w:rPr>
                      <w:rtl/>
                    </w:rPr>
                  </w:pPr>
                  <w:r>
                    <w:rPr>
                      <w:rFonts w:hint="cs"/>
                      <w:rtl/>
                    </w:rPr>
                    <w:t>"9.</w:t>
                  </w:r>
                </w:p>
              </w:tc>
              <w:tc>
                <w:tcPr>
                  <w:tcW w:w="1105" w:type="dxa"/>
                </w:tcPr>
                <w:p w:rsidR="00090BA5" w:rsidP="005C38F7" w:rsidRDefault="00090BA5" w14:paraId="28C700E8" w14:textId="77777777">
                  <w:pPr>
                    <w:pStyle w:val="TableBlock"/>
                    <w:rPr>
                      <w:rtl/>
                    </w:rPr>
                  </w:pPr>
                  <w:r>
                    <w:rPr>
                      <w:rFonts w:hint="cs"/>
                      <w:rtl/>
                    </w:rPr>
                    <w:t>ניתוח התנהגות</w:t>
                  </w:r>
                </w:p>
              </w:tc>
              <w:tc>
                <w:tcPr>
                  <w:tcW w:w="3543" w:type="dxa"/>
                </w:tcPr>
                <w:p w:rsidR="00090BA5" w:rsidP="002A13AC" w:rsidRDefault="00090BA5" w14:paraId="49DD13FA" w14:textId="056A9AEB">
                  <w:pPr>
                    <w:pStyle w:val="TableBlock"/>
                    <w:jc w:val="left"/>
                    <w:rPr>
                      <w:rtl/>
                    </w:rPr>
                  </w:pPr>
                  <w:r>
                    <w:rPr>
                      <w:rFonts w:hint="cs"/>
                      <w:rtl/>
                    </w:rPr>
                    <w:t>(</w:t>
                  </w:r>
                  <w:r w:rsidR="001D13B0">
                    <w:rPr>
                      <w:rFonts w:hint="cs"/>
                      <w:rtl/>
                    </w:rPr>
                    <w:t xml:space="preserve">1) </w:t>
                  </w:r>
                  <w:r w:rsidR="002A13AC">
                    <w:rPr>
                      <w:rtl/>
                    </w:rPr>
                    <w:tab/>
                  </w:r>
                  <w:r>
                    <w:rPr>
                      <w:rFonts w:hint="cs"/>
                      <w:rtl/>
                    </w:rPr>
                    <w:t>תואר אקדמי שני בניתוח התנהגות</w:t>
                  </w:r>
                  <w:r w:rsidR="0076105B">
                    <w:rPr>
                      <w:rFonts w:hint="cs"/>
                      <w:rtl/>
                    </w:rPr>
                    <w:t xml:space="preserve"> או </w:t>
                  </w:r>
                  <w:r>
                    <w:rPr>
                      <w:rFonts w:hint="cs"/>
                      <w:rtl/>
                    </w:rPr>
                    <w:t>תעוד</w:t>
                  </w:r>
                  <w:r w:rsidR="0076105B">
                    <w:rPr>
                      <w:rFonts w:hint="cs"/>
                      <w:rtl/>
                    </w:rPr>
                    <w:t>ת הכשרה מקצועית ב</w:t>
                  </w:r>
                  <w:r>
                    <w:rPr>
                      <w:rFonts w:hint="cs"/>
                      <w:rtl/>
                    </w:rPr>
                    <w:t>ניתוח התנהגות</w:t>
                  </w:r>
                  <w:r w:rsidR="00C24C0D">
                    <w:rPr>
                      <w:rFonts w:hint="cs"/>
                      <w:rtl/>
                    </w:rPr>
                    <w:t>;</w:t>
                  </w:r>
                </w:p>
              </w:tc>
              <w:tc>
                <w:tcPr>
                  <w:tcW w:w="1783" w:type="dxa"/>
                </w:tcPr>
                <w:p w:rsidR="00090BA5" w:rsidP="005C38F7" w:rsidRDefault="00090BA5" w14:paraId="4154344A" w14:textId="77777777">
                  <w:pPr>
                    <w:pStyle w:val="TableBlock"/>
                    <w:rPr>
                      <w:rtl/>
                    </w:rPr>
                  </w:pPr>
                  <w:r>
                    <w:rPr>
                      <w:rFonts w:hint="cs"/>
                      <w:rtl/>
                    </w:rPr>
                    <w:t>תעודת מנתח התנהגות"</w:t>
                  </w:r>
                </w:p>
              </w:tc>
            </w:tr>
            <w:tr w:rsidR="002A13AC" w:rsidTr="002A13AC" w14:paraId="2684F39D" w14:textId="77777777">
              <w:tc>
                <w:tcPr>
                  <w:tcW w:w="700" w:type="dxa"/>
                </w:tcPr>
                <w:p w:rsidR="002A13AC" w:rsidP="005C38F7" w:rsidRDefault="002A13AC" w14:paraId="3107F19D" w14:textId="77777777">
                  <w:pPr>
                    <w:pStyle w:val="TableBlock"/>
                    <w:rPr>
                      <w:rtl/>
                    </w:rPr>
                  </w:pPr>
                </w:p>
              </w:tc>
              <w:tc>
                <w:tcPr>
                  <w:tcW w:w="1105" w:type="dxa"/>
                </w:tcPr>
                <w:p w:rsidR="002A13AC" w:rsidP="005C38F7" w:rsidRDefault="002A13AC" w14:paraId="18CCEEDA" w14:textId="77777777">
                  <w:pPr>
                    <w:pStyle w:val="TableBlock"/>
                    <w:rPr>
                      <w:rtl/>
                    </w:rPr>
                  </w:pPr>
                </w:p>
              </w:tc>
              <w:tc>
                <w:tcPr>
                  <w:tcW w:w="3543" w:type="dxa"/>
                </w:tcPr>
                <w:p w:rsidR="002A13AC" w:rsidP="002A13AC" w:rsidRDefault="002A13AC" w14:paraId="08F3DA5F" w14:textId="65C5D7C0">
                  <w:pPr>
                    <w:pStyle w:val="TableBlock"/>
                    <w:jc w:val="left"/>
                    <w:rPr>
                      <w:rtl/>
                    </w:rPr>
                  </w:pPr>
                  <w:r>
                    <w:rPr>
                      <w:rFonts w:hint="cs"/>
                      <w:rtl/>
                    </w:rPr>
                    <w:t xml:space="preserve">(2) </w:t>
                  </w:r>
                  <w:r>
                    <w:rPr>
                      <w:rtl/>
                    </w:rPr>
                    <w:tab/>
                  </w:r>
                  <w:r>
                    <w:rPr>
                      <w:rFonts w:hint="cs"/>
                      <w:rtl/>
                    </w:rPr>
                    <w:t>הכשרה מעשית במשך תקופה שנקבעה בתקנות</w:t>
                  </w:r>
                  <w:r w:rsidR="00C24C0D">
                    <w:rPr>
                      <w:rFonts w:hint="cs"/>
                      <w:rtl/>
                    </w:rPr>
                    <w:t>;</w:t>
                  </w:r>
                </w:p>
              </w:tc>
              <w:tc>
                <w:tcPr>
                  <w:tcW w:w="1783" w:type="dxa"/>
                </w:tcPr>
                <w:p w:rsidR="002A13AC" w:rsidP="005C38F7" w:rsidRDefault="002A13AC" w14:paraId="0E0D1255" w14:textId="77777777">
                  <w:pPr>
                    <w:pStyle w:val="TableBlock"/>
                    <w:rPr>
                      <w:rtl/>
                    </w:rPr>
                  </w:pPr>
                </w:p>
              </w:tc>
            </w:tr>
            <w:tr w:rsidR="002A13AC" w:rsidTr="002A13AC" w14:paraId="26368FB1" w14:textId="77777777">
              <w:tc>
                <w:tcPr>
                  <w:tcW w:w="700" w:type="dxa"/>
                </w:tcPr>
                <w:p w:rsidR="002A13AC" w:rsidP="005C38F7" w:rsidRDefault="002A13AC" w14:paraId="7F3909BE" w14:textId="77777777">
                  <w:pPr>
                    <w:pStyle w:val="TableBlock"/>
                    <w:rPr>
                      <w:rtl/>
                    </w:rPr>
                  </w:pPr>
                </w:p>
              </w:tc>
              <w:tc>
                <w:tcPr>
                  <w:tcW w:w="1105" w:type="dxa"/>
                </w:tcPr>
                <w:p w:rsidR="002A13AC" w:rsidP="005C38F7" w:rsidRDefault="002A13AC" w14:paraId="4A37BD1A" w14:textId="77777777">
                  <w:pPr>
                    <w:pStyle w:val="TableBlock"/>
                    <w:rPr>
                      <w:rtl/>
                    </w:rPr>
                  </w:pPr>
                </w:p>
              </w:tc>
              <w:tc>
                <w:tcPr>
                  <w:tcW w:w="3543" w:type="dxa"/>
                </w:tcPr>
                <w:p w:rsidR="002A13AC" w:rsidP="002A13AC" w:rsidRDefault="002A13AC" w14:paraId="575E6AAE" w14:textId="71F2CB4C">
                  <w:pPr>
                    <w:pStyle w:val="TableBlock"/>
                    <w:jc w:val="left"/>
                    <w:rPr>
                      <w:rtl/>
                    </w:rPr>
                  </w:pPr>
                  <w:r>
                    <w:rPr>
                      <w:rFonts w:hint="cs"/>
                      <w:rtl/>
                    </w:rPr>
                    <w:t xml:space="preserve">(3) </w:t>
                  </w:r>
                  <w:r>
                    <w:rPr>
                      <w:rtl/>
                    </w:rPr>
                    <w:tab/>
                  </w:r>
                  <w:r>
                    <w:rPr>
                      <w:rFonts w:hint="cs"/>
                      <w:rtl/>
                    </w:rPr>
                    <w:t>עמידה בבחינות שקבע המנהל</w:t>
                  </w:r>
                  <w:r w:rsidR="00C24C0D">
                    <w:rPr>
                      <w:rFonts w:hint="cs"/>
                      <w:rtl/>
                    </w:rPr>
                    <w:t>.</w:t>
                  </w:r>
                </w:p>
              </w:tc>
              <w:tc>
                <w:tcPr>
                  <w:tcW w:w="1783" w:type="dxa"/>
                </w:tcPr>
                <w:p w:rsidR="002A13AC" w:rsidP="005C38F7" w:rsidRDefault="002A13AC" w14:paraId="5C2F860D" w14:textId="77777777">
                  <w:pPr>
                    <w:pStyle w:val="TableBlock"/>
                    <w:rPr>
                      <w:rtl/>
                    </w:rPr>
                  </w:pPr>
                </w:p>
              </w:tc>
            </w:tr>
          </w:tbl>
          <w:p w:rsidR="00090BA5" w:rsidP="005C38F7" w:rsidRDefault="00090BA5" w14:paraId="3FC2687C" w14:textId="77777777">
            <w:pPr>
              <w:pStyle w:val="TableBlock"/>
              <w:rPr>
                <w:rtl/>
              </w:rPr>
            </w:pPr>
          </w:p>
        </w:tc>
      </w:tr>
      <w:tr w:rsidRPr="005634BF" w:rsidR="00090BA5" w:rsidTr="005C38F7" w14:paraId="66C47FBA" w14:textId="77777777">
        <w:trPr>
          <w:cantSplit/>
          <w:trHeight w:val="60"/>
        </w:trPr>
        <w:tc>
          <w:tcPr>
            <w:tcW w:w="1871" w:type="dxa"/>
          </w:tcPr>
          <w:p w:rsidR="00090BA5" w:rsidP="005C38F7" w:rsidRDefault="00090BA5" w14:paraId="4FD4E311" w14:textId="77777777">
            <w:pPr>
              <w:pStyle w:val="TableSideHeading"/>
              <w:rPr>
                <w:rtl/>
              </w:rPr>
            </w:pPr>
            <w:r>
              <w:rPr>
                <w:rFonts w:hint="cs"/>
                <w:rtl/>
              </w:rPr>
              <w:t>תיקון התוספת השלישית</w:t>
            </w:r>
          </w:p>
        </w:tc>
        <w:tc>
          <w:tcPr>
            <w:tcW w:w="624" w:type="dxa"/>
          </w:tcPr>
          <w:p w:rsidR="00090BA5" w:rsidP="005C38F7" w:rsidRDefault="00210849" w14:paraId="3517D5AC" w14:textId="77E050E0">
            <w:pPr>
              <w:tabs>
                <w:tab w:val="left" w:pos="624"/>
                <w:tab w:val="left" w:pos="1247"/>
              </w:tabs>
              <w:snapToGrid w:val="0"/>
              <w:spacing w:before="0" w:line="360" w:lineRule="auto"/>
              <w:ind w:right="57" w:firstLine="0"/>
              <w:jc w:val="left"/>
              <w:rPr>
                <w:rFonts w:ascii="Arial" w:hAnsi="Arial" w:eastAsia="Arial Unicode MS" w:cs="David"/>
                <w:sz w:val="20"/>
                <w:szCs w:val="26"/>
                <w:rtl/>
              </w:rPr>
            </w:pPr>
            <w:r>
              <w:rPr>
                <w:rFonts w:hint="cs" w:ascii="Arial" w:hAnsi="Arial" w:eastAsia="Arial Unicode MS" w:cs="David"/>
                <w:sz w:val="20"/>
                <w:szCs w:val="26"/>
                <w:rtl/>
              </w:rPr>
              <w:t>3</w:t>
            </w:r>
            <w:r w:rsidR="00090BA5">
              <w:rPr>
                <w:rFonts w:hint="cs" w:ascii="Arial" w:hAnsi="Arial" w:eastAsia="Arial Unicode MS" w:cs="David"/>
                <w:sz w:val="20"/>
                <w:szCs w:val="26"/>
                <w:rtl/>
              </w:rPr>
              <w:t>.</w:t>
            </w:r>
          </w:p>
        </w:tc>
        <w:tc>
          <w:tcPr>
            <w:tcW w:w="7146" w:type="dxa"/>
          </w:tcPr>
          <w:p w:rsidR="00090BA5" w:rsidP="005C38F7" w:rsidRDefault="00090BA5" w14:paraId="6E6D00CC" w14:textId="7816DF31">
            <w:pPr>
              <w:pStyle w:val="TableBlock"/>
              <w:keepLines w:val="0"/>
              <w:rPr>
                <w:rtl/>
              </w:rPr>
            </w:pPr>
            <w:r>
              <w:rPr>
                <w:rFonts w:hint="cs"/>
                <w:rtl/>
              </w:rPr>
              <w:t>בתוספת השלישית לחוק</w:t>
            </w:r>
            <w:r w:rsidR="0068089B">
              <w:rPr>
                <w:rFonts w:hint="cs"/>
                <w:rtl/>
              </w:rPr>
              <w:t xml:space="preserve"> העיקרי</w:t>
            </w:r>
            <w:r>
              <w:rPr>
                <w:rFonts w:hint="cs"/>
                <w:rtl/>
              </w:rPr>
              <w:t xml:space="preserve">, אחרי פרט 8 יבוא: </w:t>
            </w:r>
          </w:p>
        </w:tc>
      </w:tr>
      <w:tr w:rsidRPr="005634BF" w:rsidR="00090BA5" w:rsidTr="005C38F7" w14:paraId="29FF6ECE" w14:textId="77777777">
        <w:trPr>
          <w:cantSplit/>
          <w:trHeight w:val="60"/>
        </w:trPr>
        <w:tc>
          <w:tcPr>
            <w:tcW w:w="1871" w:type="dxa"/>
          </w:tcPr>
          <w:p w:rsidR="00090BA5" w:rsidP="005C38F7" w:rsidRDefault="00090BA5" w14:paraId="1B64F8E2" w14:textId="77777777">
            <w:pPr>
              <w:pStyle w:val="TableSideHeading"/>
              <w:rPr>
                <w:rtl/>
              </w:rPr>
            </w:pPr>
          </w:p>
        </w:tc>
        <w:tc>
          <w:tcPr>
            <w:tcW w:w="624" w:type="dxa"/>
          </w:tcPr>
          <w:p w:rsidR="00090BA5" w:rsidP="005C38F7" w:rsidRDefault="00090BA5" w14:paraId="0BACC8AD" w14:textId="77777777">
            <w:pPr>
              <w:tabs>
                <w:tab w:val="left" w:pos="624"/>
                <w:tab w:val="left" w:pos="1247"/>
              </w:tabs>
              <w:snapToGrid w:val="0"/>
              <w:spacing w:before="0" w:line="360" w:lineRule="auto"/>
              <w:ind w:right="57" w:firstLine="0"/>
              <w:jc w:val="left"/>
              <w:rPr>
                <w:rFonts w:ascii="Arial" w:hAnsi="Arial" w:eastAsia="Arial Unicode MS" w:cs="David"/>
                <w:sz w:val="20"/>
                <w:szCs w:val="26"/>
                <w:rtl/>
              </w:rPr>
            </w:pPr>
          </w:p>
        </w:tc>
        <w:tc>
          <w:tcPr>
            <w:tcW w:w="7146" w:type="dxa"/>
          </w:tcPr>
          <w:tbl>
            <w:tblPr>
              <w:tblStyle w:val="ae"/>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65"/>
              <w:gridCol w:w="3989"/>
              <w:gridCol w:w="2377"/>
            </w:tblGrid>
            <w:tr w:rsidR="00090BA5" w:rsidTr="002A13AC" w14:paraId="3BC26EA9" w14:textId="77777777">
              <w:tc>
                <w:tcPr>
                  <w:tcW w:w="765" w:type="dxa"/>
                </w:tcPr>
                <w:p w:rsidR="00090BA5" w:rsidP="005C38F7" w:rsidRDefault="00090BA5" w14:paraId="7E9B4EC4" w14:textId="77777777">
                  <w:pPr>
                    <w:pStyle w:val="TableBlock"/>
                    <w:rPr>
                      <w:rtl/>
                    </w:rPr>
                  </w:pPr>
                  <w:r>
                    <w:rPr>
                      <w:rFonts w:hint="cs"/>
                      <w:rtl/>
                    </w:rPr>
                    <w:t>"9.</w:t>
                  </w:r>
                </w:p>
              </w:tc>
              <w:tc>
                <w:tcPr>
                  <w:tcW w:w="3989" w:type="dxa"/>
                </w:tcPr>
                <w:p w:rsidR="00090BA5" w:rsidP="0076105B" w:rsidRDefault="00090BA5" w14:paraId="27299EB4" w14:textId="08D76D6F">
                  <w:pPr>
                    <w:pStyle w:val="TableBlock"/>
                    <w:rPr>
                      <w:rtl/>
                    </w:rPr>
                  </w:pPr>
                  <w:r>
                    <w:rPr>
                      <w:rFonts w:hint="cs"/>
                      <w:rtl/>
                    </w:rPr>
                    <w:t>ניתוח התנהגות</w:t>
                  </w:r>
                </w:p>
              </w:tc>
              <w:tc>
                <w:tcPr>
                  <w:tcW w:w="2377" w:type="dxa"/>
                </w:tcPr>
                <w:p w:rsidR="00090BA5" w:rsidP="0076105B" w:rsidRDefault="00090BA5" w14:paraId="02BA2FA5" w14:textId="7A6F8FEE">
                  <w:pPr>
                    <w:pStyle w:val="TableBlock"/>
                    <w:rPr>
                      <w:rtl/>
                    </w:rPr>
                  </w:pPr>
                  <w:r>
                    <w:rPr>
                      <w:rFonts w:hint="cs"/>
                      <w:rtl/>
                    </w:rPr>
                    <w:t>מנתח התנהגות"</w:t>
                  </w:r>
                </w:p>
              </w:tc>
            </w:tr>
          </w:tbl>
          <w:p w:rsidR="00090BA5" w:rsidP="005C38F7" w:rsidRDefault="00090BA5" w14:paraId="2D1C1932" w14:textId="77777777">
            <w:pPr>
              <w:pStyle w:val="TableBlock"/>
              <w:rPr>
                <w:rtl/>
              </w:rPr>
            </w:pPr>
          </w:p>
        </w:tc>
      </w:tr>
      <w:tr w:rsidRPr="005634BF" w:rsidR="00090BA5" w:rsidTr="005C38F7" w14:paraId="45CC810D" w14:textId="77777777">
        <w:trPr>
          <w:cantSplit/>
          <w:trHeight w:val="60"/>
        </w:trPr>
        <w:tc>
          <w:tcPr>
            <w:tcW w:w="1871" w:type="dxa"/>
          </w:tcPr>
          <w:p w:rsidR="00090BA5" w:rsidP="005C38F7" w:rsidRDefault="00090BA5" w14:paraId="474A8DEE" w14:textId="77777777">
            <w:pPr>
              <w:pStyle w:val="TableSideHeading"/>
              <w:rPr>
                <w:color w:val="auto"/>
                <w:rtl/>
              </w:rPr>
            </w:pPr>
            <w:r>
              <w:rPr>
                <w:rFonts w:hint="cs"/>
                <w:color w:val="auto"/>
                <w:rtl/>
              </w:rPr>
              <w:t xml:space="preserve">תיקון חוק </w:t>
            </w:r>
          </w:p>
          <w:p w:rsidR="00090BA5" w:rsidP="002A13AC" w:rsidRDefault="00090BA5" w14:paraId="684DA97C" w14:textId="0B8A9DF7">
            <w:pPr>
              <w:pStyle w:val="TableSideHeading"/>
              <w:rPr>
                <w:rtl/>
              </w:rPr>
            </w:pPr>
            <w:r>
              <w:rPr>
                <w:rFonts w:hint="cs"/>
                <w:color w:val="auto"/>
                <w:rtl/>
              </w:rPr>
              <w:t>חינוך מיוחד</w:t>
            </w:r>
          </w:p>
        </w:tc>
        <w:tc>
          <w:tcPr>
            <w:tcW w:w="624" w:type="dxa"/>
          </w:tcPr>
          <w:p w:rsidRPr="001D13B0" w:rsidR="00090BA5" w:rsidP="005C38F7" w:rsidRDefault="00210849" w14:paraId="066BE460" w14:textId="4C7AF6B1">
            <w:pPr>
              <w:tabs>
                <w:tab w:val="left" w:pos="624"/>
                <w:tab w:val="left" w:pos="1247"/>
              </w:tabs>
              <w:snapToGrid w:val="0"/>
              <w:spacing w:before="0" w:line="360" w:lineRule="auto"/>
              <w:ind w:right="57" w:firstLine="0"/>
              <w:jc w:val="left"/>
              <w:rPr>
                <w:rFonts w:ascii="Arial" w:hAnsi="Arial" w:eastAsia="Arial Unicode MS" w:cs="David"/>
                <w:sz w:val="20"/>
                <w:szCs w:val="26"/>
                <w:rtl/>
              </w:rPr>
            </w:pPr>
            <w:r>
              <w:rPr>
                <w:rFonts w:hint="cs" w:ascii="Arial" w:hAnsi="Arial" w:eastAsia="Arial Unicode MS" w:cs="David"/>
                <w:sz w:val="20"/>
                <w:szCs w:val="26"/>
                <w:rtl/>
              </w:rPr>
              <w:t>4</w:t>
            </w:r>
            <w:r w:rsidRPr="001D13B0" w:rsidR="001D13B0">
              <w:rPr>
                <w:rFonts w:hint="cs" w:ascii="Arial" w:hAnsi="Arial" w:eastAsia="Arial Unicode MS" w:cs="David"/>
                <w:sz w:val="20"/>
                <w:szCs w:val="26"/>
                <w:rtl/>
              </w:rPr>
              <w:t>.</w:t>
            </w:r>
          </w:p>
        </w:tc>
        <w:tc>
          <w:tcPr>
            <w:tcW w:w="7146" w:type="dxa"/>
          </w:tcPr>
          <w:p w:rsidR="00090BA5" w:rsidP="00A97B6D" w:rsidRDefault="001D13B0" w14:paraId="7424E0AF" w14:textId="31F135AF">
            <w:pPr>
              <w:pStyle w:val="TableBlock"/>
              <w:rPr>
                <w:rtl/>
              </w:rPr>
            </w:pPr>
            <w:r>
              <w:rPr>
                <w:rFonts w:hint="cs"/>
                <w:color w:val="auto"/>
                <w:rtl/>
              </w:rPr>
              <w:t>ב</w:t>
            </w:r>
            <w:r w:rsidRPr="00507CBD" w:rsidR="00090BA5">
              <w:rPr>
                <w:rFonts w:hint="cs"/>
                <w:color w:val="auto"/>
                <w:rtl/>
              </w:rPr>
              <w:t xml:space="preserve">חוק </w:t>
            </w:r>
            <w:r w:rsidR="00090BA5">
              <w:rPr>
                <w:rFonts w:hint="cs"/>
                <w:color w:val="auto"/>
                <w:rtl/>
              </w:rPr>
              <w:t>חינוך מיוחד, התשמ"ח</w:t>
            </w:r>
            <w:r w:rsidR="00090BA5">
              <w:rPr>
                <w:color w:val="auto"/>
                <w:rtl/>
              </w:rPr>
              <w:t>–</w:t>
            </w:r>
            <w:r w:rsidR="00090BA5">
              <w:rPr>
                <w:rFonts w:hint="cs"/>
                <w:color w:val="auto"/>
                <w:rtl/>
              </w:rPr>
              <w:t>1988</w:t>
            </w:r>
            <w:r w:rsidR="00090BA5">
              <w:rPr>
                <w:rStyle w:val="a6"/>
                <w:color w:val="auto"/>
                <w:rtl/>
              </w:rPr>
              <w:footnoteReference w:id="3"/>
            </w:r>
            <w:r w:rsidRPr="00507CBD" w:rsidR="00090BA5">
              <w:rPr>
                <w:rFonts w:hint="cs"/>
                <w:color w:val="auto"/>
                <w:rtl/>
              </w:rPr>
              <w:t xml:space="preserve">, </w:t>
            </w:r>
            <w:r w:rsidRPr="00507CBD">
              <w:rPr>
                <w:rFonts w:hint="cs"/>
                <w:color w:val="auto"/>
                <w:rtl/>
              </w:rPr>
              <w:t xml:space="preserve">בסעיף </w:t>
            </w:r>
            <w:r w:rsidR="002A13AC">
              <w:rPr>
                <w:rFonts w:hint="cs"/>
                <w:color w:val="auto"/>
                <w:rtl/>
              </w:rPr>
              <w:t>18</w:t>
            </w:r>
            <w:r>
              <w:rPr>
                <w:rFonts w:hint="cs"/>
                <w:color w:val="auto"/>
                <w:rtl/>
              </w:rPr>
              <w:t>(ג)</w:t>
            </w:r>
            <w:r w:rsidR="002A13AC">
              <w:rPr>
                <w:rFonts w:hint="cs"/>
                <w:color w:val="auto"/>
                <w:rtl/>
              </w:rPr>
              <w:t>,</w:t>
            </w:r>
            <w:r w:rsidRPr="00507CBD">
              <w:rPr>
                <w:rFonts w:hint="cs"/>
                <w:color w:val="auto"/>
                <w:rtl/>
              </w:rPr>
              <w:t xml:space="preserve"> </w:t>
            </w:r>
            <w:r w:rsidR="00090BA5">
              <w:rPr>
                <w:rFonts w:hint="cs"/>
                <w:color w:val="auto"/>
                <w:rtl/>
              </w:rPr>
              <w:t>אחרי "הריפוי בדיבור" יבוא</w:t>
            </w:r>
            <w:r w:rsidR="00210849">
              <w:rPr>
                <w:rFonts w:hint="cs"/>
                <w:color w:val="auto"/>
                <w:rtl/>
              </w:rPr>
              <w:t xml:space="preserve"> </w:t>
            </w:r>
            <w:r w:rsidR="00090BA5">
              <w:rPr>
                <w:rFonts w:hint="cs"/>
                <w:color w:val="auto"/>
                <w:rtl/>
              </w:rPr>
              <w:t xml:space="preserve">"ניתוח </w:t>
            </w:r>
            <w:r w:rsidR="00A97B6D">
              <w:rPr>
                <w:rFonts w:hint="cs"/>
                <w:color w:val="auto"/>
                <w:rtl/>
              </w:rPr>
              <w:t>ה</w:t>
            </w:r>
            <w:r w:rsidR="00090BA5">
              <w:rPr>
                <w:rFonts w:hint="cs"/>
                <w:color w:val="auto"/>
                <w:rtl/>
              </w:rPr>
              <w:t xml:space="preserve">התנהגות" ואחרי </w:t>
            </w:r>
            <w:r w:rsidR="00A97B6D">
              <w:rPr>
                <w:rFonts w:hint="cs"/>
                <w:color w:val="auto"/>
                <w:rtl/>
              </w:rPr>
              <w:t>"מרפא בעיסוק</w:t>
            </w:r>
            <w:r w:rsidR="00090BA5">
              <w:rPr>
                <w:rFonts w:hint="cs"/>
                <w:color w:val="auto"/>
                <w:rtl/>
              </w:rPr>
              <w:t>" יבוא "מנתח התנהגות".</w:t>
            </w:r>
          </w:p>
        </w:tc>
      </w:tr>
      <w:tr w:rsidRPr="005634BF" w:rsidR="00090BA5" w:rsidTr="005C38F7" w14:paraId="5E5952E8" w14:textId="77777777">
        <w:trPr>
          <w:cantSplit/>
          <w:trHeight w:val="60"/>
        </w:trPr>
        <w:tc>
          <w:tcPr>
            <w:tcW w:w="1871" w:type="dxa"/>
          </w:tcPr>
          <w:p w:rsidR="00090BA5" w:rsidP="005C38F7" w:rsidRDefault="00090BA5" w14:paraId="328D0B43" w14:textId="77777777">
            <w:pPr>
              <w:pStyle w:val="TableSideHeading"/>
              <w:rPr>
                <w:rtl/>
              </w:rPr>
            </w:pPr>
            <w:r>
              <w:rPr>
                <w:rFonts w:hint="cs"/>
                <w:rtl/>
              </w:rPr>
              <w:t>תיקון חוק זכויות החולה</w:t>
            </w:r>
          </w:p>
        </w:tc>
        <w:tc>
          <w:tcPr>
            <w:tcW w:w="624" w:type="dxa"/>
          </w:tcPr>
          <w:p w:rsidRPr="001D13B0" w:rsidR="00090BA5" w:rsidP="005C38F7" w:rsidRDefault="00210849" w14:paraId="67F5D637" w14:textId="2D9E4A34">
            <w:pPr>
              <w:tabs>
                <w:tab w:val="left" w:pos="624"/>
                <w:tab w:val="left" w:pos="1247"/>
              </w:tabs>
              <w:snapToGrid w:val="0"/>
              <w:spacing w:before="0" w:line="360" w:lineRule="auto"/>
              <w:ind w:right="57" w:firstLine="0"/>
              <w:jc w:val="left"/>
              <w:rPr>
                <w:rFonts w:ascii="Arial" w:hAnsi="Arial" w:eastAsia="Arial Unicode MS" w:cs="David"/>
                <w:sz w:val="20"/>
                <w:szCs w:val="26"/>
                <w:rtl/>
              </w:rPr>
            </w:pPr>
            <w:r>
              <w:rPr>
                <w:rFonts w:hint="cs" w:ascii="Arial" w:hAnsi="Arial" w:eastAsia="Arial Unicode MS" w:cs="David"/>
                <w:sz w:val="20"/>
                <w:szCs w:val="26"/>
                <w:rtl/>
              </w:rPr>
              <w:t>5</w:t>
            </w:r>
            <w:r w:rsidRPr="001D13B0" w:rsidR="00090BA5">
              <w:rPr>
                <w:rFonts w:hint="cs" w:ascii="Arial" w:hAnsi="Arial" w:eastAsia="Arial Unicode MS" w:cs="David"/>
                <w:sz w:val="20"/>
                <w:szCs w:val="26"/>
                <w:rtl/>
              </w:rPr>
              <w:t>.</w:t>
            </w:r>
          </w:p>
        </w:tc>
        <w:tc>
          <w:tcPr>
            <w:tcW w:w="7146" w:type="dxa"/>
          </w:tcPr>
          <w:p w:rsidR="00090BA5" w:rsidP="0076105B" w:rsidRDefault="001D13B0" w14:paraId="5D27E3C1" w14:textId="2FE2921E">
            <w:pPr>
              <w:pStyle w:val="TableBlock"/>
              <w:rPr>
                <w:rtl/>
              </w:rPr>
            </w:pPr>
            <w:r>
              <w:rPr>
                <w:rFonts w:hint="cs"/>
                <w:color w:val="auto"/>
                <w:rtl/>
              </w:rPr>
              <w:t>ב</w:t>
            </w:r>
            <w:r w:rsidR="00090BA5">
              <w:rPr>
                <w:rFonts w:hint="cs"/>
                <w:color w:val="auto"/>
                <w:rtl/>
              </w:rPr>
              <w:t xml:space="preserve">חוק זכויות החולה </w:t>
            </w:r>
            <w:r w:rsidRPr="00507CBD" w:rsidR="00090BA5">
              <w:rPr>
                <w:color w:val="auto"/>
                <w:rtl/>
              </w:rPr>
              <w:t>התשנ"ו–1996</w:t>
            </w:r>
            <w:r w:rsidRPr="00507CBD" w:rsidR="00090BA5">
              <w:rPr>
                <w:rStyle w:val="a6"/>
                <w:color w:val="auto"/>
                <w:rtl/>
              </w:rPr>
              <w:footnoteReference w:id="4"/>
            </w:r>
            <w:r>
              <w:rPr>
                <w:rFonts w:hint="cs"/>
                <w:color w:val="auto"/>
                <w:rtl/>
              </w:rPr>
              <w:t xml:space="preserve">, בסעיף 2 </w:t>
            </w:r>
            <w:r>
              <w:rPr>
                <w:color w:val="auto"/>
                <w:rtl/>
              </w:rPr>
              <w:t>–</w:t>
            </w:r>
          </w:p>
        </w:tc>
      </w:tr>
      <w:tr w:rsidR="002A13AC" w:rsidTr="00525304" w14:paraId="4950AB50" w14:textId="77777777">
        <w:trPr>
          <w:cantSplit/>
          <w:trHeight w:val="60"/>
        </w:trPr>
        <w:tc>
          <w:tcPr>
            <w:tcW w:w="1871" w:type="dxa"/>
          </w:tcPr>
          <w:p w:rsidR="002A13AC" w:rsidRDefault="002A13AC" w14:paraId="71791556" w14:textId="77777777">
            <w:pPr>
              <w:pStyle w:val="TableSideHeading"/>
            </w:pPr>
          </w:p>
        </w:tc>
        <w:tc>
          <w:tcPr>
            <w:tcW w:w="624" w:type="dxa"/>
          </w:tcPr>
          <w:p w:rsidR="002A13AC" w:rsidRDefault="002A13AC" w14:paraId="4D34844B" w14:textId="77777777">
            <w:pPr>
              <w:pStyle w:val="TableText"/>
            </w:pPr>
          </w:p>
        </w:tc>
        <w:tc>
          <w:tcPr>
            <w:tcW w:w="7146" w:type="dxa"/>
          </w:tcPr>
          <w:p w:rsidR="002A13AC" w:rsidRDefault="002A13AC" w14:paraId="685CC078" w14:textId="762A22F5">
            <w:pPr>
              <w:pStyle w:val="TableBlock"/>
            </w:pPr>
            <w:r>
              <w:rPr>
                <w:rFonts w:hint="cs"/>
                <w:rtl/>
              </w:rPr>
              <w:t>(1)</w:t>
            </w:r>
            <w:r>
              <w:rPr>
                <w:rtl/>
              </w:rPr>
              <w:tab/>
            </w:r>
            <w:r>
              <w:rPr>
                <w:rFonts w:hint="cs"/>
                <w:rtl/>
              </w:rPr>
              <w:t>בהגדרה "מטפל", אחרי "מרפא בעיסוק" יבוא "מנתח התנהגות";</w:t>
            </w:r>
          </w:p>
        </w:tc>
      </w:tr>
      <w:tr w:rsidR="002A13AC" w:rsidTr="00C57248" w14:paraId="6AB24752" w14:textId="77777777">
        <w:trPr>
          <w:cantSplit/>
          <w:trHeight w:val="60"/>
        </w:trPr>
        <w:tc>
          <w:tcPr>
            <w:tcW w:w="1871" w:type="dxa"/>
          </w:tcPr>
          <w:p w:rsidR="002A13AC" w:rsidRDefault="002A13AC" w14:paraId="141E0143" w14:textId="77777777">
            <w:pPr>
              <w:pStyle w:val="TableSideHeading"/>
            </w:pPr>
          </w:p>
        </w:tc>
        <w:tc>
          <w:tcPr>
            <w:tcW w:w="624" w:type="dxa"/>
          </w:tcPr>
          <w:p w:rsidR="002A13AC" w:rsidP="0076105B" w:rsidRDefault="002A13AC" w14:paraId="5E233198" w14:textId="77777777">
            <w:pPr>
              <w:pStyle w:val="TableText"/>
            </w:pPr>
          </w:p>
        </w:tc>
        <w:tc>
          <w:tcPr>
            <w:tcW w:w="7146" w:type="dxa"/>
          </w:tcPr>
          <w:p w:rsidR="002A13AC" w:rsidP="0076105B" w:rsidRDefault="002A13AC" w14:paraId="34BDA6BC" w14:textId="66251DCC">
            <w:pPr>
              <w:pStyle w:val="TableBlock"/>
              <w:rPr>
                <w:rtl/>
              </w:rPr>
            </w:pPr>
            <w:r>
              <w:rPr>
                <w:rFonts w:hint="cs"/>
                <w:rtl/>
              </w:rPr>
              <w:t>(2)</w:t>
            </w:r>
            <w:r>
              <w:rPr>
                <w:rtl/>
              </w:rPr>
              <w:tab/>
            </w:r>
            <w:r w:rsidRPr="009039F9">
              <w:rPr>
                <w:rtl/>
              </w:rPr>
              <w:t xml:space="preserve">בהגדרה ""מרפא בעיסוק", פיזיותרפיסט", "קלינאי תקשורת", "תזונאי-דיאטן", "קרימינולוג קליני", "פודיאטר", פודיאטר מנתח", כירופרקט"", </w:t>
            </w:r>
            <w:r>
              <w:rPr>
                <w:rFonts w:hint="cs"/>
                <w:rtl/>
              </w:rPr>
              <w:t>אחרי "מרפא בעיסוק" יבוא "מנתח התנהגות".</w:t>
            </w:r>
          </w:p>
        </w:tc>
      </w:tr>
      <w:tr w:rsidRPr="005634BF" w:rsidR="00090BA5" w:rsidTr="005C38F7" w14:paraId="5D942954" w14:textId="77777777">
        <w:trPr>
          <w:cantSplit/>
          <w:trHeight w:val="60"/>
        </w:trPr>
        <w:tc>
          <w:tcPr>
            <w:tcW w:w="1871" w:type="dxa"/>
          </w:tcPr>
          <w:p w:rsidR="00090BA5" w:rsidP="005C38F7" w:rsidRDefault="00090BA5" w14:paraId="23CE686C" w14:textId="77777777">
            <w:pPr>
              <w:pStyle w:val="TableSideHeading"/>
              <w:rPr>
                <w:color w:val="auto"/>
                <w:rtl/>
              </w:rPr>
            </w:pPr>
            <w:r>
              <w:rPr>
                <w:rFonts w:hint="cs"/>
                <w:color w:val="auto"/>
                <w:rtl/>
              </w:rPr>
              <w:t xml:space="preserve">תיקון חוק שיקום </w:t>
            </w:r>
          </w:p>
          <w:p w:rsidR="00090BA5" w:rsidP="002A13AC" w:rsidRDefault="00090BA5" w14:paraId="58FDD7C6" w14:textId="0025A364">
            <w:pPr>
              <w:pStyle w:val="TableSideHeading"/>
              <w:rPr>
                <w:rtl/>
              </w:rPr>
            </w:pPr>
            <w:r>
              <w:rPr>
                <w:rFonts w:hint="cs"/>
                <w:color w:val="auto"/>
                <w:rtl/>
              </w:rPr>
              <w:t>נכי נפש בקהילה</w:t>
            </w:r>
          </w:p>
        </w:tc>
        <w:tc>
          <w:tcPr>
            <w:tcW w:w="624" w:type="dxa"/>
          </w:tcPr>
          <w:p w:rsidRPr="001D13B0" w:rsidR="00090BA5" w:rsidP="005C38F7" w:rsidRDefault="00210849" w14:paraId="1D4BBD05" w14:textId="61167D37">
            <w:pPr>
              <w:tabs>
                <w:tab w:val="left" w:pos="624"/>
                <w:tab w:val="left" w:pos="1247"/>
              </w:tabs>
              <w:snapToGrid w:val="0"/>
              <w:spacing w:before="0" w:line="360" w:lineRule="auto"/>
              <w:ind w:right="57" w:firstLine="0"/>
              <w:jc w:val="left"/>
              <w:rPr>
                <w:rFonts w:ascii="Arial" w:hAnsi="Arial" w:eastAsia="Arial Unicode MS" w:cs="David"/>
                <w:sz w:val="20"/>
                <w:szCs w:val="26"/>
                <w:rtl/>
              </w:rPr>
            </w:pPr>
            <w:r>
              <w:rPr>
                <w:rFonts w:hint="cs" w:ascii="Arial" w:hAnsi="Arial" w:eastAsia="Arial Unicode MS" w:cs="David"/>
                <w:sz w:val="20"/>
                <w:szCs w:val="26"/>
                <w:rtl/>
              </w:rPr>
              <w:t>6</w:t>
            </w:r>
            <w:r w:rsidRPr="001D13B0" w:rsidR="00090BA5">
              <w:rPr>
                <w:rFonts w:hint="cs" w:ascii="Arial" w:hAnsi="Arial" w:eastAsia="Arial Unicode MS" w:cs="David"/>
                <w:sz w:val="20"/>
                <w:szCs w:val="26"/>
                <w:rtl/>
              </w:rPr>
              <w:t>.</w:t>
            </w:r>
          </w:p>
        </w:tc>
        <w:tc>
          <w:tcPr>
            <w:tcW w:w="7146" w:type="dxa"/>
          </w:tcPr>
          <w:p w:rsidR="00090BA5" w:rsidP="002A13AC" w:rsidRDefault="001D13B0" w14:paraId="7D9F267B" w14:textId="093AEDB0">
            <w:pPr>
              <w:pStyle w:val="TableBlock"/>
              <w:rPr>
                <w:rtl/>
              </w:rPr>
            </w:pPr>
            <w:r>
              <w:rPr>
                <w:rFonts w:hint="cs"/>
                <w:color w:val="auto"/>
                <w:rtl/>
              </w:rPr>
              <w:t>ב</w:t>
            </w:r>
            <w:r w:rsidRPr="00F71A47" w:rsidR="00090BA5">
              <w:rPr>
                <w:rFonts w:hint="cs"/>
                <w:color w:val="auto"/>
                <w:rtl/>
              </w:rPr>
              <w:t xml:space="preserve">חוק </w:t>
            </w:r>
            <w:r w:rsidRPr="00B15CBF" w:rsidR="00090BA5">
              <w:rPr>
                <w:rFonts w:hint="cs"/>
                <w:color w:val="auto"/>
                <w:rtl/>
              </w:rPr>
              <w:t>שיקום נכי נפש בקהילה, התש"ס</w:t>
            </w:r>
            <w:r w:rsidR="002A13AC">
              <w:rPr>
                <w:rFonts w:hint="eastAsia"/>
                <w:color w:val="auto"/>
                <w:rtl/>
              </w:rPr>
              <w:t>–</w:t>
            </w:r>
            <w:r w:rsidRPr="00B15CBF" w:rsidR="00090BA5">
              <w:rPr>
                <w:rFonts w:hint="cs"/>
                <w:color w:val="auto"/>
                <w:rtl/>
              </w:rPr>
              <w:t>2000</w:t>
            </w:r>
            <w:r w:rsidR="00090BA5">
              <w:rPr>
                <w:rStyle w:val="a6"/>
                <w:color w:val="auto"/>
                <w:rtl/>
              </w:rPr>
              <w:footnoteReference w:id="5"/>
            </w:r>
            <w:r w:rsidR="00090BA5">
              <w:rPr>
                <w:rFonts w:hint="cs"/>
                <w:color w:val="auto"/>
                <w:rtl/>
              </w:rPr>
              <w:t xml:space="preserve">, </w:t>
            </w:r>
            <w:r>
              <w:rPr>
                <w:rFonts w:hint="cs"/>
                <w:color w:val="auto"/>
                <w:rtl/>
              </w:rPr>
              <w:t>בסעיף 2</w:t>
            </w:r>
            <w:r w:rsidR="00A97B6D">
              <w:rPr>
                <w:rFonts w:hint="cs"/>
                <w:color w:val="auto"/>
                <w:rtl/>
              </w:rPr>
              <w:t>,</w:t>
            </w:r>
            <w:r w:rsidR="002A13AC">
              <w:rPr>
                <w:rFonts w:hint="cs"/>
                <w:color w:val="auto"/>
                <w:rtl/>
              </w:rPr>
              <w:t xml:space="preserve"> </w:t>
            </w:r>
            <w:r w:rsidR="00A97B6D">
              <w:rPr>
                <w:rFonts w:hint="cs"/>
                <w:color w:val="auto"/>
                <w:rtl/>
              </w:rPr>
              <w:t>ב</w:t>
            </w:r>
            <w:r w:rsidR="00090BA5">
              <w:rPr>
                <w:rFonts w:hint="cs"/>
                <w:color w:val="auto"/>
                <w:rtl/>
              </w:rPr>
              <w:t>הגדרה "עובד מקצועי", אחרי "עובד סיעודי" יבוא "מנתח התנהגות".</w:t>
            </w:r>
          </w:p>
        </w:tc>
      </w:tr>
      <w:tr w:rsidRPr="005634BF" w:rsidR="00665D65" w:rsidTr="005C38F7" w14:paraId="0A793813" w14:textId="77777777">
        <w:trPr>
          <w:cantSplit/>
          <w:trHeight w:val="60"/>
        </w:trPr>
        <w:tc>
          <w:tcPr>
            <w:tcW w:w="1871" w:type="dxa"/>
          </w:tcPr>
          <w:p w:rsidR="00665D65" w:rsidP="005C38F7" w:rsidRDefault="00665D65" w14:paraId="253810B8" w14:textId="6768DFF5">
            <w:pPr>
              <w:pStyle w:val="TableSideHeading"/>
              <w:rPr>
                <w:color w:val="auto"/>
                <w:rtl/>
              </w:rPr>
            </w:pPr>
            <w:r>
              <w:rPr>
                <w:rFonts w:hint="cs"/>
                <w:color w:val="auto"/>
                <w:rtl/>
              </w:rPr>
              <w:t>תחילה</w:t>
            </w:r>
          </w:p>
        </w:tc>
        <w:tc>
          <w:tcPr>
            <w:tcW w:w="624" w:type="dxa"/>
          </w:tcPr>
          <w:p w:rsidR="00665D65" w:rsidP="00210849" w:rsidRDefault="00210849" w14:paraId="72E61E09" w14:textId="09CD5E18">
            <w:pPr>
              <w:pStyle w:val="TableText"/>
              <w:rPr>
                <w:rtl/>
              </w:rPr>
            </w:pPr>
            <w:r>
              <w:rPr>
                <w:rFonts w:hint="cs"/>
                <w:rtl/>
              </w:rPr>
              <w:t>7.</w:t>
            </w:r>
          </w:p>
        </w:tc>
        <w:tc>
          <w:tcPr>
            <w:tcW w:w="7146" w:type="dxa"/>
          </w:tcPr>
          <w:p w:rsidR="00665D65" w:rsidDel="001D13B0" w:rsidP="005C38F7" w:rsidRDefault="00665D65" w14:paraId="011B2C25" w14:textId="723BEBAE">
            <w:pPr>
              <w:pStyle w:val="TableBlock"/>
              <w:rPr>
                <w:color w:val="auto"/>
                <w:rtl/>
              </w:rPr>
            </w:pPr>
            <w:r>
              <w:rPr>
                <w:rFonts w:hint="cs"/>
                <w:color w:val="auto"/>
                <w:rtl/>
              </w:rPr>
              <w:t>תחילתו של חוק זה שישה חודשים מיום פרסומו.</w:t>
            </w:r>
          </w:p>
        </w:tc>
      </w:tr>
    </w:tbl>
    <w:p w:rsidR="002D1EE3" w:rsidP="002D1EE3" w:rsidRDefault="002D1EE3" w14:paraId="7F6961CA" w14:textId="77777777">
      <w:pPr>
        <w:pStyle w:val="HeadDivreiHesber"/>
        <w:rPr>
          <w:rtl/>
        </w:rPr>
      </w:pPr>
      <w:r w:rsidRPr="0027450A">
        <w:rPr>
          <w:rFonts w:hint="cs"/>
          <w:rtl/>
        </w:rPr>
        <w:t>דברי הסבר</w:t>
      </w:r>
    </w:p>
    <w:p w:rsidRPr="001D13B0" w:rsidR="00090BA5" w:rsidP="002A13AC" w:rsidRDefault="00090BA5" w14:paraId="355C9CB7" w14:textId="5AE47314">
      <w:pPr>
        <w:pStyle w:val="Hesber"/>
        <w:rPr>
          <w:rtl/>
        </w:rPr>
      </w:pPr>
      <w:r w:rsidRPr="001D13B0">
        <w:rPr>
          <w:rtl/>
        </w:rPr>
        <w:t xml:space="preserve">מטרתו של חוק זה להסדיר את מקצוע </w:t>
      </w:r>
      <w:r w:rsidRPr="001D13B0">
        <w:rPr>
          <w:rFonts w:hint="cs"/>
          <w:rtl/>
        </w:rPr>
        <w:t>ניתוח ההתנהגות</w:t>
      </w:r>
      <w:r w:rsidRPr="001D13B0">
        <w:rPr>
          <w:rtl/>
        </w:rPr>
        <w:t xml:space="preserve"> בחוק.</w:t>
      </w:r>
      <w:r w:rsidR="002A13AC">
        <w:rPr>
          <w:rFonts w:hint="cs"/>
          <w:rtl/>
        </w:rPr>
        <w:t xml:space="preserve"> </w:t>
      </w:r>
      <w:r w:rsidRPr="001D13B0">
        <w:rPr>
          <w:rtl/>
        </w:rPr>
        <w:t>חוק הסדרת העיסוק במקצועות הבריאות, התשס"ח–2008 (להלן – החוק), מסדיר כיום את העיסוק במקצועות ריפוי בעיסוק, פיזיותרפיה, טיפול בהפרעות בתקשורת ותזונה-דיאטנות,</w:t>
      </w:r>
      <w:r w:rsidR="00210849">
        <w:rPr>
          <w:rFonts w:hint="cs"/>
          <w:rtl/>
        </w:rPr>
        <w:t xml:space="preserve"> </w:t>
      </w:r>
      <w:r w:rsidRPr="001D13B0">
        <w:rPr>
          <w:rtl/>
        </w:rPr>
        <w:t xml:space="preserve">קרימינולוגיה קלינית, פודיאטריה, פודיאטריה ניתוחית וכירופרקטיקה. </w:t>
      </w:r>
    </w:p>
    <w:p w:rsidRPr="001D13B0" w:rsidR="00090BA5" w:rsidP="001D13B0" w:rsidRDefault="00090BA5" w14:paraId="3CF4D8EB" w14:textId="5A0F3CAA">
      <w:pPr>
        <w:pStyle w:val="Hesber"/>
        <w:rPr>
          <w:rtl/>
        </w:rPr>
      </w:pPr>
      <w:r w:rsidRPr="001D13B0">
        <w:rPr>
          <w:rtl/>
        </w:rPr>
        <w:t xml:space="preserve">בהצעת חוק זו מוצע להסדיר </w:t>
      </w:r>
      <w:r w:rsidRPr="001D13B0">
        <w:rPr>
          <w:rFonts w:hint="cs"/>
          <w:rtl/>
        </w:rPr>
        <w:t xml:space="preserve">את </w:t>
      </w:r>
      <w:r w:rsidRPr="001D13B0">
        <w:rPr>
          <w:rtl/>
        </w:rPr>
        <w:t xml:space="preserve">הטיפול </w:t>
      </w:r>
      <w:r w:rsidRPr="001D13B0">
        <w:rPr>
          <w:rFonts w:hint="cs"/>
          <w:rtl/>
        </w:rPr>
        <w:t>בניתוח</w:t>
      </w:r>
      <w:r w:rsidRPr="001D13B0">
        <w:rPr>
          <w:rtl/>
        </w:rPr>
        <w:t xml:space="preserve"> </w:t>
      </w:r>
      <w:r w:rsidRPr="001D13B0">
        <w:rPr>
          <w:rFonts w:hint="cs"/>
          <w:rtl/>
        </w:rPr>
        <w:t xml:space="preserve">התנהגות </w:t>
      </w:r>
      <w:r w:rsidRPr="001D13B0">
        <w:rPr>
          <w:rtl/>
        </w:rPr>
        <w:t>כדי להבטיח את הרמה המקצועית ההולמת של העוסקים ב</w:t>
      </w:r>
      <w:r w:rsidRPr="001D13B0">
        <w:rPr>
          <w:rFonts w:hint="cs"/>
          <w:rtl/>
        </w:rPr>
        <w:t>מקצ</w:t>
      </w:r>
      <w:r w:rsidRPr="001D13B0">
        <w:rPr>
          <w:rtl/>
        </w:rPr>
        <w:t>ו</w:t>
      </w:r>
      <w:r w:rsidRPr="001D13B0">
        <w:rPr>
          <w:rFonts w:hint="cs"/>
          <w:rtl/>
        </w:rPr>
        <w:t>ע זה</w:t>
      </w:r>
      <w:r w:rsidRPr="001D13B0">
        <w:rPr>
          <w:rtl/>
        </w:rPr>
        <w:t xml:space="preserve"> ולהגן על בריאות הציבור</w:t>
      </w:r>
      <w:r w:rsidRPr="001D13B0">
        <w:rPr>
          <w:rFonts w:hint="cs"/>
          <w:rtl/>
        </w:rPr>
        <w:t xml:space="preserve">, בשים לב לכך </w:t>
      </w:r>
      <w:r w:rsidR="002A13AC">
        <w:rPr>
          <w:rFonts w:hint="cs"/>
          <w:rtl/>
        </w:rPr>
        <w:t>שילדים בגיל הרך וקטינים בכלל ה</w:t>
      </w:r>
      <w:r w:rsidRPr="001D13B0">
        <w:rPr>
          <w:rFonts w:hint="cs"/>
          <w:rtl/>
        </w:rPr>
        <w:t xml:space="preserve">ם הקבוצה העיקרית </w:t>
      </w:r>
      <w:r w:rsidR="002A13AC">
        <w:rPr>
          <w:rFonts w:hint="cs"/>
          <w:rtl/>
        </w:rPr>
        <w:t>ש</w:t>
      </w:r>
      <w:r w:rsidRPr="001D13B0">
        <w:rPr>
          <w:rFonts w:hint="cs"/>
          <w:rtl/>
        </w:rPr>
        <w:t>לה ניתן טיפול בניתוח התנהגות.</w:t>
      </w:r>
    </w:p>
    <w:p w:rsidRPr="001D13B0" w:rsidR="00090BA5" w:rsidP="002A13AC" w:rsidRDefault="00090BA5" w14:paraId="1832914E" w14:textId="35F083CD">
      <w:pPr>
        <w:pStyle w:val="Hesber"/>
        <w:rPr>
          <w:rtl/>
        </w:rPr>
      </w:pPr>
      <w:r w:rsidRPr="001D13B0">
        <w:rPr>
          <w:rtl/>
        </w:rPr>
        <w:t xml:space="preserve">מקצוע ניתוח התנהגות מהווה מקצוע בתחום בריאות הנפש בעולם. הארגון העולמי </w:t>
      </w:r>
      <w:r w:rsidRPr="001D13B0">
        <w:t xml:space="preserve">Association for </w:t>
      </w:r>
      <w:r w:rsidRPr="001D13B0">
        <w:lastRenderedPageBreak/>
        <w:t>Behavior Analysis International (ABAI)</w:t>
      </w:r>
      <w:r w:rsidRPr="001D13B0">
        <w:rPr>
          <w:rtl/>
        </w:rPr>
        <w:t xml:space="preserve"> מוביל את ההכרה (אקרדיטציה) לתכניות לימוד בתחום ניתוח התנהגות. בשנת 2000 הוקם בארה</w:t>
      </w:r>
      <w:r w:rsidR="002A13AC">
        <w:rPr>
          <w:rFonts w:hint="cs"/>
          <w:rtl/>
        </w:rPr>
        <w:t>"</w:t>
      </w:r>
      <w:r w:rsidRPr="001D13B0">
        <w:rPr>
          <w:rtl/>
        </w:rPr>
        <w:t xml:space="preserve">ב ועד מנהל של מקצוע ניתוח התנהגות </w:t>
      </w:r>
      <w:r w:rsidRPr="001D13B0">
        <w:t>Behavior Analyst Certification Board (BACB)</w:t>
      </w:r>
      <w:r w:rsidRPr="001D13B0">
        <w:rPr>
          <w:rtl/>
        </w:rPr>
        <w:t xml:space="preserve"> אשר הסדיר את המקצוע בארה"ב על ידי קביעת סטנדרטים, קוד אתי, ומבחני הסמכה בנושא.</w:t>
      </w:r>
    </w:p>
    <w:p w:rsidRPr="001D13B0" w:rsidR="00090BA5" w:rsidP="002E4149" w:rsidRDefault="00090BA5" w14:paraId="66FD2052" w14:textId="382342CE">
      <w:pPr>
        <w:pStyle w:val="Hesber"/>
        <w:rPr>
          <w:rtl/>
        </w:rPr>
      </w:pPr>
      <w:r w:rsidRPr="001D13B0">
        <w:rPr>
          <w:rtl/>
        </w:rPr>
        <w:t xml:space="preserve">בישראל תחום ניתוח התנהגות </w:t>
      </w:r>
      <w:r w:rsidR="002E4149">
        <w:rPr>
          <w:rFonts w:hint="cs"/>
          <w:rtl/>
        </w:rPr>
        <w:t>קיים</w:t>
      </w:r>
      <w:r w:rsidRPr="001D13B0" w:rsidR="001D13B0">
        <w:rPr>
          <w:rtl/>
        </w:rPr>
        <w:t xml:space="preserve"> </w:t>
      </w:r>
      <w:r w:rsidRPr="001D13B0">
        <w:rPr>
          <w:rtl/>
        </w:rPr>
        <w:t xml:space="preserve">מזה כ-30 שנה במערכות שונות </w:t>
      </w:r>
      <w:r w:rsidRPr="001D13B0">
        <w:rPr>
          <w:rFonts w:hint="cs"/>
          <w:rtl/>
        </w:rPr>
        <w:t xml:space="preserve">לרבות </w:t>
      </w:r>
      <w:r w:rsidRPr="001D13B0">
        <w:rPr>
          <w:rtl/>
        </w:rPr>
        <w:t>חינוך (פורמלי/מיוחד/</w:t>
      </w:r>
      <w:r w:rsidR="001D13B0">
        <w:rPr>
          <w:rFonts w:hint="cs"/>
          <w:rtl/>
        </w:rPr>
        <w:t>א-</w:t>
      </w:r>
      <w:r w:rsidRPr="001D13B0">
        <w:rPr>
          <w:rtl/>
        </w:rPr>
        <w:t>פורמלי), רווחה, משפחה, בריאות ובריאות הנפש.</w:t>
      </w:r>
      <w:r w:rsidRPr="001D13B0">
        <w:rPr>
          <w:rFonts w:hint="cs"/>
          <w:rtl/>
        </w:rPr>
        <w:t xml:space="preserve"> </w:t>
      </w:r>
      <w:r w:rsidRPr="001D13B0">
        <w:rPr>
          <w:rtl/>
        </w:rPr>
        <w:t>ניתוח התנהגות הינה פרופסיה המיושמת כחלק בלתי נפרד מהטיפול במגוון תחומים: אוטיזם, הפרעות התנהגות, הפרעות נפשיות ועוד.</w:t>
      </w:r>
      <w:r w:rsidRPr="001D13B0">
        <w:rPr>
          <w:rFonts w:hint="cs"/>
          <w:rtl/>
        </w:rPr>
        <w:t xml:space="preserve"> א</w:t>
      </w:r>
      <w:r w:rsidRPr="001D13B0">
        <w:rPr>
          <w:rtl/>
        </w:rPr>
        <w:t>נשי מקצוע בתחום ניתוח התנהגות מועסקים כיום בגני תקשורת, מעונות יום שיקומים, מחלקות אשפוז פסיכיאטריות ובמערכת החינוך המיוחד והרגיל במתן שירותי טיפול ותמיכה בתלמידים בעלי צרכים מיוחדים.</w:t>
      </w:r>
    </w:p>
    <w:p w:rsidRPr="001D13B0" w:rsidR="00090BA5" w:rsidP="001D13B0" w:rsidRDefault="00090BA5" w14:paraId="17CDD277" w14:textId="77777777">
      <w:pPr>
        <w:pStyle w:val="Hesber"/>
        <w:rPr>
          <w:rtl/>
        </w:rPr>
      </w:pPr>
      <w:r w:rsidRPr="001D13B0">
        <w:rPr>
          <w:rFonts w:hint="cs"/>
          <w:rtl/>
        </w:rPr>
        <w:t>המצב הקיים בו אין הסדרה של המקצוע פוגע בציבור במספר מובנים עיקריים שיפורטו להלן, ומסכן את הציבור ובכלל זה אוכלוסייה רחבת היקף של קטינים עם צרכים מיוחדים. לכך שלא קיים פיקוח על איכות הטיפול שניתן בתחום ניתוח ההתנהגות עלולות להיות השלכות הרות גורל על המטופלים. זאת בשים לב לכך שהטיפול ניתן, בדרך כלל, או פעמים רבות, בשלבים קריטיים בהתפתחותו של הילד. טיפול שאינו הולם ימנע מהילד להשיג את אבני הדרך הנחוצות לו, ולעיתים יגרום לרגרסיה והתדרדרות בתפקוד.</w:t>
      </w:r>
    </w:p>
    <w:p w:rsidRPr="001D13B0" w:rsidR="00090BA5" w:rsidP="001D13B0" w:rsidRDefault="00090BA5" w14:paraId="4E0FEF8E" w14:textId="77777777">
      <w:pPr>
        <w:pStyle w:val="Hesber"/>
        <w:rPr>
          <w:rtl/>
        </w:rPr>
      </w:pPr>
      <w:r w:rsidRPr="001D13B0">
        <w:rPr>
          <w:rFonts w:hint="cs"/>
          <w:rtl/>
        </w:rPr>
        <w:t>בנוסף, ללא הסדרה והכרה המאפשרות מתן טיפול במימון המדינה, נפגעות אוכלוסיות מוחלשות שידן אינה משגת לממן את הטיפולים בעצמן. כמובן שנגרמת גם פגיעה באוכלוסיות נוספות שנאלצות להוציא מכיסן סכומים גבוהים ביותר, על מנת להעניק טיפול חיוני זה של ניתוח התנהגות.</w:t>
      </w:r>
    </w:p>
    <w:p w:rsidRPr="001D13B0" w:rsidR="00090BA5" w:rsidP="002A13AC" w:rsidRDefault="00090BA5" w14:paraId="5465E9A2" w14:textId="7084FABB">
      <w:pPr>
        <w:pStyle w:val="Hesber"/>
      </w:pPr>
      <w:r w:rsidRPr="001D13B0">
        <w:rPr>
          <w:rFonts w:hint="cs"/>
          <w:rtl/>
        </w:rPr>
        <w:t>הטעמים המנויים לעיל להסדרת מקצוע</w:t>
      </w:r>
      <w:r w:rsidR="00210849">
        <w:rPr>
          <w:rFonts w:hint="cs"/>
          <w:rtl/>
        </w:rPr>
        <w:t xml:space="preserve"> </w:t>
      </w:r>
      <w:r w:rsidRPr="001D13B0">
        <w:rPr>
          <w:rFonts w:hint="cs"/>
          <w:rtl/>
        </w:rPr>
        <w:t xml:space="preserve">ניתוח </w:t>
      </w:r>
      <w:r w:rsidR="002E4149">
        <w:rPr>
          <w:rFonts w:hint="cs"/>
          <w:rtl/>
        </w:rPr>
        <w:t>ה</w:t>
      </w:r>
      <w:r w:rsidRPr="001D13B0">
        <w:rPr>
          <w:rFonts w:hint="cs"/>
          <w:rtl/>
        </w:rPr>
        <w:t>התנהגות</w:t>
      </w:r>
      <w:r w:rsidR="002A13AC">
        <w:rPr>
          <w:rFonts w:hint="cs"/>
          <w:rtl/>
        </w:rPr>
        <w:t xml:space="preserve"> הם </w:t>
      </w:r>
      <w:r w:rsidRPr="001D13B0">
        <w:rPr>
          <w:rFonts w:hint="cs"/>
          <w:rtl/>
        </w:rPr>
        <w:t>בין הטעמים המרכזיים שהובילו לחקיקת החוק להסדרת מקצועות הבריאות</w:t>
      </w:r>
      <w:r w:rsidR="002A13AC">
        <w:rPr>
          <w:rFonts w:hint="cs"/>
          <w:rtl/>
        </w:rPr>
        <w:t>,</w:t>
      </w:r>
      <w:r w:rsidR="002E4149">
        <w:rPr>
          <w:rFonts w:hint="cs"/>
          <w:rtl/>
        </w:rPr>
        <w:t xml:space="preserve"> התשס"ח</w:t>
      </w:r>
      <w:r w:rsidR="002A13AC">
        <w:rPr>
          <w:rFonts w:hint="eastAsia"/>
          <w:rtl/>
        </w:rPr>
        <w:t>–</w:t>
      </w:r>
      <w:r w:rsidR="002E4149">
        <w:rPr>
          <w:rFonts w:hint="cs"/>
          <w:rtl/>
        </w:rPr>
        <w:t>2008</w:t>
      </w:r>
      <w:r w:rsidR="002A13AC">
        <w:rPr>
          <w:rFonts w:hint="cs"/>
          <w:rtl/>
        </w:rPr>
        <w:t xml:space="preserve"> </w:t>
      </w:r>
      <w:r w:rsidRPr="001D13B0">
        <w:rPr>
          <w:rFonts w:hint="cs"/>
          <w:rtl/>
        </w:rPr>
        <w:t xml:space="preserve">ולהוספת </w:t>
      </w:r>
      <w:r w:rsidR="003541F0">
        <w:rPr>
          <w:rFonts w:hint="cs"/>
          <w:rtl/>
        </w:rPr>
        <w:t>מקצועות בריאות לחוק</w:t>
      </w:r>
      <w:r w:rsidRPr="001D13B0">
        <w:rPr>
          <w:rFonts w:hint="cs"/>
          <w:rtl/>
        </w:rPr>
        <w:t xml:space="preserve"> לאורך השנים.</w:t>
      </w:r>
    </w:p>
    <w:p w:rsidRPr="001D13B0" w:rsidR="00090BA5" w:rsidP="002A13AC" w:rsidRDefault="00090BA5" w14:paraId="64C0DDE4" w14:textId="3F812FB0">
      <w:pPr>
        <w:pStyle w:val="Hesber"/>
        <w:rPr>
          <w:rtl/>
        </w:rPr>
      </w:pPr>
      <w:r w:rsidRPr="001D13B0">
        <w:rPr>
          <w:rFonts w:hint="cs"/>
          <w:rtl/>
        </w:rPr>
        <w:t xml:space="preserve">ניתוח ההתנהגות </w:t>
      </w:r>
      <w:r w:rsidR="002A13AC">
        <w:rPr>
          <w:rFonts w:hint="cs"/>
          <w:rtl/>
        </w:rPr>
        <w:t>הוא</w:t>
      </w:r>
      <w:r w:rsidRPr="001D13B0">
        <w:rPr>
          <w:rFonts w:hint="cs"/>
          <w:rtl/>
        </w:rPr>
        <w:t xml:space="preserve"> טיפול בסיסי שניתן היום למרבית הילדים עם האוטיזם, ולילדים רבים נוספים, בדיוק באותו אופן </w:t>
      </w:r>
      <w:r w:rsidR="002A13AC">
        <w:rPr>
          <w:rFonts w:hint="cs"/>
          <w:rtl/>
        </w:rPr>
        <w:t>ש</w:t>
      </w:r>
      <w:r w:rsidRPr="001D13B0">
        <w:rPr>
          <w:rFonts w:hint="cs"/>
          <w:rtl/>
        </w:rPr>
        <w:t>בו ניתן לאוכלוסיות רבות טיפול על ידי מרפא/ה בעיסוק או באמצעות קלינאי תקשורת (שהינם מקצועות בריאות מוכרים).</w:t>
      </w:r>
    </w:p>
    <w:p w:rsidRPr="001D13B0" w:rsidR="00090BA5" w:rsidP="001D13B0" w:rsidRDefault="00090BA5" w14:paraId="560D5F33" w14:textId="6806CA76">
      <w:pPr>
        <w:pStyle w:val="Hesber"/>
      </w:pPr>
      <w:r w:rsidRPr="001D13B0">
        <w:rPr>
          <w:rFonts w:hint="cs"/>
          <w:rtl/>
        </w:rPr>
        <w:t>אשר על כן קיימת חשיבות רבה להסדרת המקצוע לטובת כלל הציבור בישראל ולקטינים ואוכלוסיות מוחלשות בפרט.</w:t>
      </w:r>
      <w:r w:rsidR="008E42F0">
        <w:rPr>
          <w:rFonts w:hint="cs"/>
          <w:rtl/>
        </w:rPr>
        <w:t xml:space="preserve"> הוראות מעבר לגבי מנתחי התנהגות שעוסקים היום במקצוע ייקבעו בעת הכנת הצעת החוק לקריאה הראשונה. </w:t>
      </w:r>
    </w:p>
    <w:p w:rsidRPr="00090BA5" w:rsidR="00E13C27" w:rsidP="00E13C27" w:rsidRDefault="00E13C27" w14:paraId="7F6961CB" w14:textId="77777777">
      <w:pPr>
        <w:pStyle w:val="Hesber"/>
        <w:rPr>
          <w:rtl/>
        </w:rPr>
      </w:pPr>
    </w:p>
    <w:p w:rsidR="005A20BC" w:rsidRDefault="002A13AC" w14:paraId="0FC2459F" w14:textId="77777777">
      <w:pPr>
        <w:spacing w:before="0" w:line="276" w:lineRule="auto"/>
        <w:jc w:val="left"/>
      </w:pPr>
      <w:bookmarkStart w:name="selectedDocDateB" w:id="9"/>
      <w:bookmarkEnd w:id="9"/>
      <w:r>
        <w:rPr>
          <w:rFonts w:hint="cs" w:ascii="David" w:hAnsi="David" w:eastAsia="David" w:cs="David"/>
          <w:sz w:val="26"/>
          <w:szCs w:val="26"/>
          <w:rtl/>
        </w:rPr>
        <w:t>--------------------------------</w:t>
      </w:r>
    </w:p>
    <w:p w:rsidR="005A20BC" w:rsidRDefault="002A13AC" w14:paraId="2AF598D7" w14:textId="77777777">
      <w:pPr>
        <w:spacing w:before="0" w:line="360" w:lineRule="auto"/>
        <w:jc w:val="left"/>
      </w:pPr>
      <w:r>
        <w:rPr>
          <w:rFonts w:hint="cs" w:ascii="David" w:hAnsi="David" w:eastAsia="David" w:cs="David"/>
          <w:sz w:val="26"/>
          <w:szCs w:val="26"/>
          <w:rtl/>
        </w:rPr>
        <w:t>הוגשה ליו"ר הכנסת והסגנים</w:t>
      </w:r>
    </w:p>
    <w:p w:rsidR="005A20BC" w:rsidRDefault="002A13AC" w14:paraId="2AF52CCD" w14:textId="77777777">
      <w:pPr>
        <w:spacing w:before="0" w:line="360" w:lineRule="auto"/>
        <w:jc w:val="left"/>
      </w:pPr>
      <w:r>
        <w:rPr>
          <w:rFonts w:hint="cs" w:ascii="David" w:hAnsi="David" w:eastAsia="David" w:cs="David"/>
          <w:sz w:val="26"/>
          <w:szCs w:val="26"/>
          <w:rtl/>
        </w:rPr>
        <w:t>והונחה על שולחן הכנסת ביום</w:t>
      </w:r>
    </w:p>
    <w:p w:rsidR="005A20BC" w:rsidRDefault="002A13AC" w14:paraId="1AC46CE5" w14:textId="77777777">
      <w:pPr>
        <w:spacing w:before="0" w:line="360" w:lineRule="auto"/>
        <w:jc w:val="left"/>
      </w:pPr>
      <w:r>
        <w:rPr>
          <w:rFonts w:hint="cs" w:ascii="David" w:hAnsi="David" w:eastAsia="David" w:cs="David"/>
          <w:sz w:val="26"/>
          <w:szCs w:val="26"/>
          <w:rtl/>
        </w:rPr>
        <w:t xml:space="preserve">ד' באדר ב' התשפ"ב (07.03.2022) </w:t>
      </w:r>
    </w:p>
    <w:p w:rsidR="005A20BC" w:rsidRDefault="005A20BC" w14:paraId="7C925E69" w14:textId="77777777"/>
    <w:sectPr w:rsidR="005A20B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9056D8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24C0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802640B" w14:textId="77777777" w:rsidR="00090BA5" w:rsidRDefault="00090BA5" w:rsidP="00090BA5">
      <w:pPr>
        <w:pStyle w:val="a4"/>
        <w:rPr>
          <w:rtl/>
        </w:rPr>
      </w:pPr>
      <w:r>
        <w:rPr>
          <w:rStyle w:val="a6"/>
        </w:rPr>
        <w:footnoteRef/>
      </w:r>
      <w:r>
        <w:rPr>
          <w:rtl/>
        </w:rPr>
        <w:t xml:space="preserve"> </w:t>
      </w:r>
      <w:r>
        <w:rPr>
          <w:rFonts w:hint="eastAsia"/>
          <w:rtl/>
        </w:rPr>
        <w:t>ס</w:t>
      </w:r>
      <w:r>
        <w:rPr>
          <w:rtl/>
        </w:rPr>
        <w:t>"ח התשס"ח, עמ' 720.</w:t>
      </w:r>
    </w:p>
  </w:footnote>
  <w:footnote w:id="3">
    <w:p w14:paraId="2EC4BC62" w14:textId="77777777" w:rsidR="00090BA5" w:rsidRDefault="00090BA5" w:rsidP="00090BA5">
      <w:pPr>
        <w:pStyle w:val="a4"/>
        <w:rPr>
          <w:rtl/>
        </w:rPr>
      </w:pPr>
      <w:r>
        <w:rPr>
          <w:rStyle w:val="a6"/>
        </w:rPr>
        <w:footnoteRef/>
      </w:r>
      <w:r>
        <w:rPr>
          <w:rtl/>
        </w:rPr>
        <w:t xml:space="preserve"> </w:t>
      </w:r>
      <w:hyperlink r:id="rId1" w:history="1">
        <w:r w:rsidRPr="009C3E27">
          <w:rPr>
            <w:rtl/>
          </w:rPr>
          <w:t>ס"ח תשמ"ח מס' 1256</w:t>
        </w:r>
      </w:hyperlink>
      <w:r>
        <w:rPr>
          <w:rFonts w:ascii="FrankRuehl" w:hAnsi="FrankRuehl" w:cs="FrankRuehl"/>
          <w:sz w:val="22"/>
          <w:szCs w:val="22"/>
        </w:rPr>
        <w:t> </w:t>
      </w:r>
    </w:p>
  </w:footnote>
  <w:footnote w:id="4">
    <w:p w14:paraId="4556661F" w14:textId="77777777" w:rsidR="00090BA5" w:rsidRDefault="00090BA5" w:rsidP="00090BA5">
      <w:pPr>
        <w:pStyle w:val="a4"/>
        <w:rPr>
          <w:rtl/>
        </w:rPr>
      </w:pPr>
      <w:r>
        <w:rPr>
          <w:rStyle w:val="a6"/>
        </w:rPr>
        <w:footnoteRef/>
      </w:r>
      <w:r>
        <w:rPr>
          <w:rtl/>
        </w:rPr>
        <w:t xml:space="preserve"> </w:t>
      </w:r>
      <w:r>
        <w:rPr>
          <w:rFonts w:hint="cs"/>
          <w:rtl/>
        </w:rPr>
        <w:t>ס"ח התשנ"ו, עמ' 327.</w:t>
      </w:r>
    </w:p>
  </w:footnote>
  <w:footnote w:id="5">
    <w:p w14:paraId="1E987F51" w14:textId="77777777" w:rsidR="00090BA5" w:rsidRDefault="00090BA5" w:rsidP="00090BA5">
      <w:pPr>
        <w:pStyle w:val="a4"/>
        <w:rPr>
          <w:rtl/>
        </w:rPr>
      </w:pPr>
      <w:r>
        <w:rPr>
          <w:rStyle w:val="a6"/>
        </w:rPr>
        <w:footnoteRef/>
      </w:r>
      <w:r>
        <w:rPr>
          <w:rtl/>
        </w:rPr>
        <w:t xml:space="preserve"> </w:t>
      </w:r>
      <w:hyperlink r:id="rId2" w:history="1">
        <w:r w:rsidRPr="0052708B">
          <w:rPr>
            <w:rtl/>
          </w:rPr>
          <w:t>ס"ח תש"ס מס' 1746</w:t>
        </w:r>
      </w:hyperlink>
      <w:r>
        <w:rPr>
          <w:rFonts w:ascii="FrankRuehl" w:hAnsi="FrankRuehl" w:cs="FrankRuehl"/>
          <w:sz w:val="22"/>
          <w:szCs w:val="22"/>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90BA5"/>
    <w:rsid w:val="000A542E"/>
    <w:rsid w:val="00102B6B"/>
    <w:rsid w:val="001052D4"/>
    <w:rsid w:val="0010644B"/>
    <w:rsid w:val="001207F8"/>
    <w:rsid w:val="00121924"/>
    <w:rsid w:val="001279A8"/>
    <w:rsid w:val="0014195F"/>
    <w:rsid w:val="00152609"/>
    <w:rsid w:val="00153E1B"/>
    <w:rsid w:val="001A0623"/>
    <w:rsid w:val="001C23B0"/>
    <w:rsid w:val="001D13B0"/>
    <w:rsid w:val="001D7AAF"/>
    <w:rsid w:val="00203A7F"/>
    <w:rsid w:val="00210849"/>
    <w:rsid w:val="0021633A"/>
    <w:rsid w:val="002200A1"/>
    <w:rsid w:val="002362BF"/>
    <w:rsid w:val="00241B97"/>
    <w:rsid w:val="002425D1"/>
    <w:rsid w:val="00246756"/>
    <w:rsid w:val="00251E58"/>
    <w:rsid w:val="00254605"/>
    <w:rsid w:val="00266D86"/>
    <w:rsid w:val="002728B4"/>
    <w:rsid w:val="0027600C"/>
    <w:rsid w:val="00292712"/>
    <w:rsid w:val="002A13AC"/>
    <w:rsid w:val="002A487D"/>
    <w:rsid w:val="002C2E29"/>
    <w:rsid w:val="002C3041"/>
    <w:rsid w:val="002D1EE3"/>
    <w:rsid w:val="002E4149"/>
    <w:rsid w:val="002F1D80"/>
    <w:rsid w:val="003232A2"/>
    <w:rsid w:val="00325C14"/>
    <w:rsid w:val="003541F0"/>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125B4"/>
    <w:rsid w:val="00553C9D"/>
    <w:rsid w:val="00562A66"/>
    <w:rsid w:val="005A20BC"/>
    <w:rsid w:val="005B064E"/>
    <w:rsid w:val="005D0F77"/>
    <w:rsid w:val="005D51AE"/>
    <w:rsid w:val="0062674B"/>
    <w:rsid w:val="006363B2"/>
    <w:rsid w:val="00644940"/>
    <w:rsid w:val="00665D65"/>
    <w:rsid w:val="0068089B"/>
    <w:rsid w:val="006818A9"/>
    <w:rsid w:val="006A2D81"/>
    <w:rsid w:val="006C1D0D"/>
    <w:rsid w:val="0070601E"/>
    <w:rsid w:val="00712C72"/>
    <w:rsid w:val="00735FE9"/>
    <w:rsid w:val="0076105B"/>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42F0"/>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55D2"/>
    <w:rsid w:val="009D6E0A"/>
    <w:rsid w:val="009E1E33"/>
    <w:rsid w:val="00A14672"/>
    <w:rsid w:val="00A26BD6"/>
    <w:rsid w:val="00A443CF"/>
    <w:rsid w:val="00A6611D"/>
    <w:rsid w:val="00A82CB7"/>
    <w:rsid w:val="00A92459"/>
    <w:rsid w:val="00A942C1"/>
    <w:rsid w:val="00A97B6D"/>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24C0D"/>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A0CFEBD-2C14-4467-9A33-4579B87F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90BA5"/>
    <w:rPr>
      <w:rFonts w:ascii="Arial" w:eastAsia="Arial Unicode MS" w:hAnsi="Arial" w:cs="David"/>
      <w:snapToGrid w:val="0"/>
      <w:color w:val="000000"/>
      <w:sz w:val="14"/>
      <w:lang w:eastAsia="ja-JP"/>
    </w:rPr>
  </w:style>
  <w:style w:type="table" w:styleId="ae">
    <w:name w:val="Table Grid"/>
    <w:basedOn w:val="a1"/>
    <w:rsid w:val="00090BA5"/>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rsid w:val="00090BA5"/>
    <w:rPr>
      <w:rFonts w:ascii="Times New Roman" w:hAnsi="Times New Roman" w:cs="Times New Roman"/>
      <w:sz w:val="26"/>
      <w:szCs w:val="26"/>
    </w:rPr>
  </w:style>
  <w:style w:type="character" w:styleId="af">
    <w:name w:val="annotation reference"/>
    <w:basedOn w:val="a0"/>
    <w:semiHidden/>
    <w:unhideWhenUsed/>
    <w:rsid w:val="0076105B"/>
    <w:rPr>
      <w:sz w:val="16"/>
      <w:szCs w:val="16"/>
    </w:rPr>
  </w:style>
  <w:style w:type="paragraph" w:styleId="af0">
    <w:name w:val="annotation text"/>
    <w:basedOn w:val="a"/>
    <w:link w:val="af1"/>
    <w:semiHidden/>
    <w:unhideWhenUsed/>
    <w:rsid w:val="0076105B"/>
    <w:pPr>
      <w:spacing w:line="240" w:lineRule="auto"/>
    </w:pPr>
    <w:rPr>
      <w:sz w:val="20"/>
      <w:szCs w:val="20"/>
    </w:rPr>
  </w:style>
  <w:style w:type="character" w:customStyle="1" w:styleId="af1">
    <w:name w:val="טקסט הערה תו"/>
    <w:basedOn w:val="a0"/>
    <w:link w:val="af0"/>
    <w:semiHidden/>
    <w:rsid w:val="0076105B"/>
    <w:rPr>
      <w:rFonts w:ascii="Hadasa Roso SL" w:hAnsi="Hadasa Roso SL" w:cs="Hadasa Roso SL"/>
      <w:color w:val="000000"/>
      <w:spacing w:val="1"/>
      <w:lang w:eastAsia="ja-JP"/>
    </w:rPr>
  </w:style>
  <w:style w:type="paragraph" w:styleId="af2">
    <w:name w:val="annotation subject"/>
    <w:basedOn w:val="af0"/>
    <w:next w:val="af0"/>
    <w:link w:val="af3"/>
    <w:semiHidden/>
    <w:unhideWhenUsed/>
    <w:rsid w:val="0076105B"/>
    <w:rPr>
      <w:b/>
      <w:bCs/>
    </w:rPr>
  </w:style>
  <w:style w:type="character" w:customStyle="1" w:styleId="af3">
    <w:name w:val="נושא הערה תו"/>
    <w:basedOn w:val="af1"/>
    <w:link w:val="af2"/>
    <w:semiHidden/>
    <w:rsid w:val="0076105B"/>
    <w:rPr>
      <w:rFonts w:ascii="Hadasa Roso SL" w:hAnsi="Hadasa Roso SL" w:cs="Hadasa Roso SL"/>
      <w:b/>
      <w:bCs/>
      <w:color w:val="000000"/>
      <w:spacing w:val="1"/>
      <w:lang w:eastAsia="ja-JP"/>
    </w:rPr>
  </w:style>
  <w:style w:type="paragraph" w:styleId="af4">
    <w:name w:val="Revision"/>
    <w:hidden/>
    <w:uiPriority w:val="99"/>
    <w:semiHidden/>
    <w:rsid w:val="0076105B"/>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evo.co.il/Law_word/law14/LAW-1746.pdf" TargetMode="External"/><Relationship Id="rId1" Type="http://schemas.openxmlformats.org/officeDocument/2006/relationships/hyperlink" Target="http://www.nevo.co.il/Law_word/law14/LAW-1256.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6056-CB45-4808-B5D9-B8A0D679A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purl.org/dc/elements/1.1/"/>
    <ds:schemaRef ds:uri="290d5b49-c690-4c6f-bbb9-1e50dab33ee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1EDFBAC-CBBD-4C38-8AC4-625B7858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682</Words>
  <Characters>3892</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גל כהן</cp:lastModifiedBy>
  <cp:revision>11</cp:revision>
  <cp:lastPrinted>2013-07-04T08:25:00Z</cp:lastPrinted>
  <dcterms:created xsi:type="dcterms:W3CDTF">2015-04-20T09:58:00Z</dcterms:created>
  <dcterms:modified xsi:type="dcterms:W3CDTF">2022-03-03T08:33:00Z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2170137</vt:r8>
  </property>
</Properties>
</file>